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topLinePunct w:val="0"/>
        <w:bidi w:val="0"/>
        <w:spacing w:line="360" w:lineRule="auto"/>
        <w:ind w:left="0" w:leftChars="0"/>
        <w:rPr>
          <w:rFonts w:hint="default" w:ascii="Times New Roman" w:hAnsi="Times New Roman" w:eastAsia="仿宋_GB2312" w:cs="Times New Roman"/>
          <w:color w:val="auto"/>
          <w:sz w:val="36"/>
          <w:szCs w:val="36"/>
          <w:highlight w:val="none"/>
        </w:rPr>
      </w:pPr>
    </w:p>
    <w:p>
      <w:pPr>
        <w:keepNext w:val="0"/>
        <w:keepLines w:val="0"/>
        <w:pageBreakBefore w:val="0"/>
        <w:kinsoku/>
        <w:wordWrap/>
        <w:topLinePunct w:val="0"/>
        <w:bidi w:val="0"/>
        <w:spacing w:line="360" w:lineRule="auto"/>
        <w:ind w:left="0" w:leftChars="0"/>
        <w:rPr>
          <w:rFonts w:hint="default" w:ascii="Times New Roman" w:hAnsi="Times New Roman" w:eastAsia="仿宋_GB2312" w:cs="Times New Roman"/>
          <w:color w:val="auto"/>
          <w:sz w:val="36"/>
          <w:szCs w:val="36"/>
          <w:highlight w:val="none"/>
        </w:rPr>
      </w:pPr>
    </w:p>
    <w:p>
      <w:pPr>
        <w:keepNext w:val="0"/>
        <w:keepLines w:val="0"/>
        <w:pageBreakBefore w:val="0"/>
        <w:kinsoku/>
        <w:wordWrap/>
        <w:topLinePunct w:val="0"/>
        <w:bidi w:val="0"/>
        <w:spacing w:line="360" w:lineRule="auto"/>
        <w:ind w:left="0" w:leftChars="0"/>
        <w:rPr>
          <w:rFonts w:hint="default" w:ascii="Times New Roman" w:hAnsi="Times New Roman" w:eastAsia="仿宋_GB2312" w:cs="Times New Roman"/>
          <w:color w:val="auto"/>
          <w:sz w:val="36"/>
          <w:szCs w:val="36"/>
          <w:highlight w:val="none"/>
        </w:rPr>
      </w:pPr>
    </w:p>
    <w:p>
      <w:pPr>
        <w:keepNext w:val="0"/>
        <w:keepLines w:val="0"/>
        <w:pageBreakBefore w:val="0"/>
        <w:kinsoku/>
        <w:wordWrap/>
        <w:topLinePunct w:val="0"/>
        <w:bidi w:val="0"/>
        <w:spacing w:line="360" w:lineRule="auto"/>
        <w:ind w:left="0" w:leftChars="0"/>
        <w:jc w:val="center"/>
        <w:rPr>
          <w:rFonts w:hint="default" w:ascii="Times New Roman" w:hAnsi="Times New Roman" w:eastAsia="方正小标宋_GBK" w:cs="Times New Roman"/>
          <w:color w:val="auto"/>
          <w:sz w:val="72"/>
          <w:szCs w:val="72"/>
          <w:highlight w:val="none"/>
        </w:rPr>
      </w:pPr>
      <w:r>
        <w:rPr>
          <w:rFonts w:hint="default" w:ascii="Times New Roman" w:hAnsi="Times New Roman" w:eastAsia="方正小标宋_GBK" w:cs="Times New Roman"/>
          <w:color w:val="auto"/>
          <w:sz w:val="72"/>
          <w:szCs w:val="72"/>
          <w:highlight w:val="none"/>
        </w:rPr>
        <w:t>建设项目环境影响报告表</w:t>
      </w:r>
    </w:p>
    <w:p>
      <w:pPr>
        <w:keepNext w:val="0"/>
        <w:keepLines w:val="0"/>
        <w:pageBreakBefore w:val="0"/>
        <w:kinsoku/>
        <w:wordWrap/>
        <w:topLinePunct w:val="0"/>
        <w:bidi w:val="0"/>
        <w:spacing w:line="360" w:lineRule="auto"/>
        <w:ind w:left="0" w:leftChars="0"/>
        <w:jc w:val="center"/>
        <w:rPr>
          <w:rFonts w:hint="default" w:ascii="Times New Roman" w:hAnsi="Times New Roman" w:eastAsia="楷体" w:cs="Times New Roman"/>
          <w:color w:val="auto"/>
          <w:sz w:val="48"/>
          <w:szCs w:val="48"/>
          <w:highlight w:val="none"/>
        </w:rPr>
      </w:pPr>
      <w:r>
        <w:rPr>
          <w:rFonts w:hint="default" w:ascii="Times New Roman" w:hAnsi="Times New Roman" w:eastAsia="楷体" w:cs="Times New Roman"/>
          <w:color w:val="auto"/>
          <w:sz w:val="48"/>
          <w:szCs w:val="48"/>
          <w:highlight w:val="none"/>
        </w:rPr>
        <w:t>（污染影响类）</w:t>
      </w:r>
    </w:p>
    <w:p>
      <w:pPr>
        <w:keepNext w:val="0"/>
        <w:keepLines w:val="0"/>
        <w:pageBreakBefore w:val="0"/>
        <w:kinsoku/>
        <w:wordWrap/>
        <w:topLinePunct w:val="0"/>
        <w:bidi w:val="0"/>
        <w:spacing w:line="360" w:lineRule="auto"/>
        <w:ind w:left="0" w:leftChars="0"/>
        <w:jc w:val="center"/>
        <w:rPr>
          <w:rFonts w:hint="default" w:ascii="Times New Roman" w:hAnsi="Times New Roman" w:eastAsia="楷体" w:cs="Times New Roman"/>
          <w:color w:val="auto"/>
          <w:sz w:val="48"/>
          <w:szCs w:val="48"/>
          <w:highlight w:val="none"/>
        </w:rPr>
      </w:pPr>
      <w:r>
        <w:rPr>
          <w:rFonts w:hint="default" w:ascii="Times New Roman" w:hAnsi="Times New Roman" w:eastAsia="楷体" w:cs="Times New Roman"/>
          <w:color w:val="auto"/>
          <w:sz w:val="44"/>
          <w:szCs w:val="44"/>
          <w:highlight w:val="none"/>
        </w:rPr>
        <w:t>（</w:t>
      </w:r>
      <w:r>
        <w:rPr>
          <w:rFonts w:hint="default" w:ascii="Times New Roman" w:hAnsi="Times New Roman" w:eastAsia="楷体" w:cs="Times New Roman"/>
          <w:color w:val="auto"/>
          <w:sz w:val="44"/>
          <w:szCs w:val="44"/>
          <w:highlight w:val="none"/>
          <w:lang w:val="en-US" w:eastAsia="zh-CN"/>
        </w:rPr>
        <w:t>送审</w:t>
      </w:r>
      <w:r>
        <w:rPr>
          <w:rFonts w:hint="default" w:ascii="Times New Roman" w:hAnsi="Times New Roman" w:eastAsia="楷体" w:cs="Times New Roman"/>
          <w:color w:val="auto"/>
          <w:sz w:val="44"/>
          <w:szCs w:val="44"/>
          <w:highlight w:val="none"/>
        </w:rPr>
        <w:t>本）</w:t>
      </w:r>
    </w:p>
    <w:p>
      <w:pPr>
        <w:keepNext w:val="0"/>
        <w:keepLines w:val="0"/>
        <w:pageBreakBefore w:val="0"/>
        <w:kinsoku/>
        <w:wordWrap/>
        <w:topLinePunct w:val="0"/>
        <w:bidi w:val="0"/>
        <w:spacing w:line="360" w:lineRule="auto"/>
        <w:ind w:left="0" w:leftChars="0"/>
        <w:rPr>
          <w:rFonts w:hint="default" w:ascii="Times New Roman" w:hAnsi="Times New Roman" w:eastAsia="仿宋_GB2312" w:cs="Times New Roman"/>
          <w:color w:val="auto"/>
          <w:sz w:val="36"/>
          <w:szCs w:val="36"/>
          <w:highlight w:val="none"/>
        </w:rPr>
      </w:pPr>
    </w:p>
    <w:p>
      <w:pPr>
        <w:keepNext w:val="0"/>
        <w:keepLines w:val="0"/>
        <w:pageBreakBefore w:val="0"/>
        <w:kinsoku/>
        <w:wordWrap/>
        <w:topLinePunct w:val="0"/>
        <w:bidi w:val="0"/>
        <w:spacing w:line="360" w:lineRule="auto"/>
        <w:ind w:left="0" w:leftChars="0"/>
        <w:rPr>
          <w:rFonts w:hint="default" w:ascii="Times New Roman" w:hAnsi="Times New Roman" w:eastAsia="仿宋_GB2312" w:cs="Times New Roman"/>
          <w:color w:val="auto"/>
          <w:sz w:val="36"/>
          <w:szCs w:val="36"/>
          <w:highlight w:val="none"/>
        </w:rPr>
      </w:pPr>
    </w:p>
    <w:p>
      <w:pPr>
        <w:keepNext w:val="0"/>
        <w:keepLines w:val="0"/>
        <w:pageBreakBefore w:val="0"/>
        <w:kinsoku/>
        <w:wordWrap/>
        <w:topLinePunct w:val="0"/>
        <w:bidi w:val="0"/>
        <w:spacing w:line="360" w:lineRule="auto"/>
        <w:ind w:left="0" w:leftChars="0"/>
        <w:jc w:val="center"/>
        <w:rPr>
          <w:rFonts w:hint="default" w:ascii="Times New Roman" w:hAnsi="Times New Roman" w:eastAsia="楷体" w:cs="Times New Roman"/>
          <w:color w:val="auto"/>
          <w:sz w:val="48"/>
          <w:szCs w:val="48"/>
          <w:highlight w:val="none"/>
        </w:rPr>
      </w:pPr>
    </w:p>
    <w:p>
      <w:pPr>
        <w:keepNext w:val="0"/>
        <w:keepLines w:val="0"/>
        <w:pageBreakBefore w:val="0"/>
        <w:kinsoku/>
        <w:wordWrap/>
        <w:topLinePunct w:val="0"/>
        <w:bidi w:val="0"/>
        <w:spacing w:line="360" w:lineRule="auto"/>
        <w:ind w:left="0" w:leftChars="0" w:firstLine="1040"/>
        <w:rPr>
          <w:rFonts w:hint="default" w:ascii="Times New Roman" w:hAnsi="Times New Roman" w:eastAsia="仿宋" w:cs="Times New Roman"/>
          <w:color w:val="auto"/>
          <w:sz w:val="44"/>
          <w:szCs w:val="44"/>
          <w:highlight w:val="none"/>
        </w:rPr>
      </w:pPr>
    </w:p>
    <w:p>
      <w:pPr>
        <w:keepNext w:val="0"/>
        <w:keepLines w:val="0"/>
        <w:pageBreakBefore w:val="0"/>
        <w:kinsoku/>
        <w:wordWrap/>
        <w:topLinePunct w:val="0"/>
        <w:bidi w:val="0"/>
        <w:spacing w:line="360" w:lineRule="auto"/>
        <w:ind w:left="0" w:leftChars="0" w:firstLine="1040"/>
        <w:rPr>
          <w:rFonts w:hint="default" w:ascii="Times New Roman" w:hAnsi="Times New Roman" w:eastAsia="仿宋" w:cs="Times New Roman"/>
          <w:color w:val="auto"/>
          <w:sz w:val="44"/>
          <w:szCs w:val="44"/>
          <w:highlight w:val="none"/>
        </w:rPr>
      </w:pPr>
    </w:p>
    <w:p>
      <w:pPr>
        <w:keepNext w:val="0"/>
        <w:keepLines w:val="0"/>
        <w:pageBreakBefore w:val="0"/>
        <w:kinsoku/>
        <w:wordWrap/>
        <w:topLinePunct w:val="0"/>
        <w:bidi w:val="0"/>
        <w:spacing w:line="360" w:lineRule="auto"/>
        <w:ind w:left="0" w:leftChars="0" w:firstLine="1040"/>
        <w:rPr>
          <w:rFonts w:hint="default" w:ascii="Times New Roman" w:hAnsi="Times New Roman" w:eastAsia="仿宋" w:cs="Times New Roman"/>
          <w:color w:val="auto"/>
          <w:sz w:val="44"/>
          <w:szCs w:val="44"/>
          <w:highlight w:val="none"/>
        </w:rPr>
      </w:pPr>
    </w:p>
    <w:p>
      <w:pPr>
        <w:keepNext w:val="0"/>
        <w:keepLines w:val="0"/>
        <w:pageBreakBefore w:val="0"/>
        <w:kinsoku/>
        <w:wordWrap/>
        <w:topLinePunct w:val="0"/>
        <w:bidi w:val="0"/>
        <w:spacing w:line="360" w:lineRule="auto"/>
        <w:ind w:left="0" w:leftChars="0" w:firstLine="1040"/>
        <w:rPr>
          <w:rFonts w:hint="default" w:ascii="Times New Roman" w:hAnsi="Times New Roman" w:eastAsia="仿宋" w:cs="Times New Roman"/>
          <w:color w:val="auto"/>
          <w:sz w:val="44"/>
          <w:szCs w:val="44"/>
          <w:highlight w:val="none"/>
        </w:rPr>
      </w:pPr>
    </w:p>
    <w:p>
      <w:pPr>
        <w:keepNext w:val="0"/>
        <w:keepLines w:val="0"/>
        <w:pageBreakBefore w:val="0"/>
        <w:kinsoku/>
        <w:wordWrap/>
        <w:topLinePunct w:val="0"/>
        <w:bidi w:val="0"/>
        <w:spacing w:line="360" w:lineRule="auto"/>
        <w:ind w:left="0" w:leftChars="0"/>
        <w:jc w:val="both"/>
        <w:rPr>
          <w:rFonts w:hint="default" w:ascii="Times New Roman" w:hAnsi="Times New Roman" w:eastAsia="仿宋" w:cs="Times New Roman"/>
          <w:color w:val="auto"/>
          <w:sz w:val="36"/>
          <w:szCs w:val="36"/>
          <w:highlight w:val="none"/>
          <w:u w:val="single"/>
          <w:lang w:val="en-US" w:eastAsia="zh-CN"/>
        </w:rPr>
      </w:pPr>
      <w:r>
        <w:rPr>
          <w:rFonts w:hint="default" w:ascii="Times New Roman" w:hAnsi="Times New Roman" w:eastAsia="仿宋" w:cs="Times New Roman"/>
          <w:color w:val="auto"/>
          <w:sz w:val="36"/>
          <w:szCs w:val="36"/>
          <w:highlight w:val="none"/>
          <w:lang w:val="en-US" w:eastAsia="zh-CN"/>
        </w:rPr>
        <w:t>项目名称：</w:t>
      </w:r>
      <w:r>
        <w:rPr>
          <w:rFonts w:hint="default" w:ascii="Times New Roman" w:hAnsi="Times New Roman" w:eastAsia="仿宋" w:cs="Times New Roman"/>
          <w:color w:val="auto"/>
          <w:sz w:val="36"/>
          <w:szCs w:val="36"/>
          <w:highlight w:val="none"/>
          <w:u w:val="single"/>
          <w:lang w:val="en-US" w:eastAsia="zh-CN"/>
        </w:rPr>
        <w:t xml:space="preserve">   </w:t>
      </w:r>
      <w:r>
        <w:rPr>
          <w:rFonts w:hint="default" w:ascii="Times New Roman" w:hAnsi="Times New Roman" w:eastAsia="仿宋" w:cs="Times New Roman"/>
          <w:color w:val="auto"/>
          <w:sz w:val="36"/>
          <w:szCs w:val="36"/>
          <w:highlight w:val="none"/>
          <w:u w:val="single"/>
          <w:lang w:eastAsia="zh-CN"/>
        </w:rPr>
        <w:t>宣汉县乡村水务试点县供水保障工程</w:t>
      </w:r>
      <w:r>
        <w:rPr>
          <w:rFonts w:hint="default" w:ascii="Times New Roman" w:hAnsi="Times New Roman" w:eastAsia="仿宋" w:cs="Times New Roman"/>
          <w:color w:val="auto"/>
          <w:sz w:val="36"/>
          <w:szCs w:val="36"/>
          <w:highlight w:val="none"/>
          <w:u w:val="single"/>
          <w:lang w:val="en-US" w:eastAsia="zh-CN"/>
        </w:rPr>
        <w:t xml:space="preserve">   </w:t>
      </w:r>
    </w:p>
    <w:p>
      <w:pPr>
        <w:keepNext w:val="0"/>
        <w:keepLines w:val="0"/>
        <w:pageBreakBefore w:val="0"/>
        <w:kinsoku/>
        <w:wordWrap/>
        <w:topLinePunct w:val="0"/>
        <w:bidi w:val="0"/>
        <w:spacing w:line="360" w:lineRule="auto"/>
        <w:ind w:left="0" w:leftChars="0" w:firstLine="1800" w:firstLineChars="500"/>
        <w:jc w:val="both"/>
        <w:rPr>
          <w:rFonts w:hint="default" w:ascii="Times New Roman" w:hAnsi="Times New Roman" w:eastAsia="仿宋" w:cs="Times New Roman"/>
          <w:color w:val="auto"/>
          <w:sz w:val="36"/>
          <w:szCs w:val="36"/>
          <w:highlight w:val="none"/>
          <w:u w:val="single"/>
          <w:lang w:val="en-US" w:eastAsia="zh-CN"/>
        </w:rPr>
      </w:pPr>
      <w:r>
        <w:rPr>
          <w:rFonts w:hint="default" w:ascii="Times New Roman" w:hAnsi="Times New Roman" w:eastAsia="仿宋" w:cs="Times New Roman"/>
          <w:color w:val="auto"/>
          <w:sz w:val="36"/>
          <w:szCs w:val="36"/>
          <w:highlight w:val="none"/>
          <w:u w:val="single"/>
          <w:lang w:val="en-US" w:eastAsia="zh-CN"/>
        </w:rPr>
        <w:t xml:space="preserve">           </w:t>
      </w:r>
      <w:r>
        <w:rPr>
          <w:rFonts w:hint="default" w:ascii="Times New Roman" w:hAnsi="Times New Roman" w:eastAsia="仿宋" w:cs="Times New Roman"/>
          <w:color w:val="auto"/>
          <w:sz w:val="36"/>
          <w:szCs w:val="36"/>
          <w:highlight w:val="none"/>
          <w:u w:val="single"/>
          <w:lang w:eastAsia="zh-CN"/>
        </w:rPr>
        <w:t>（新华供水工程）</w:t>
      </w:r>
      <w:r>
        <w:rPr>
          <w:rFonts w:hint="default" w:ascii="Times New Roman" w:hAnsi="Times New Roman" w:eastAsia="仿宋" w:cs="Times New Roman"/>
          <w:color w:val="auto"/>
          <w:sz w:val="36"/>
          <w:szCs w:val="36"/>
          <w:highlight w:val="none"/>
          <w:u w:val="single"/>
          <w:lang w:val="en-US" w:eastAsia="zh-CN"/>
        </w:rPr>
        <w:t xml:space="preserve">           </w:t>
      </w:r>
    </w:p>
    <w:p>
      <w:pPr>
        <w:keepNext w:val="0"/>
        <w:keepLines w:val="0"/>
        <w:pageBreakBefore w:val="0"/>
        <w:kinsoku/>
        <w:wordWrap/>
        <w:topLinePunct w:val="0"/>
        <w:bidi w:val="0"/>
        <w:spacing w:line="360" w:lineRule="auto"/>
        <w:ind w:left="0" w:leftChars="0" w:right="0"/>
        <w:rPr>
          <w:rFonts w:hint="default" w:ascii="Times New Roman" w:hAnsi="Times New Roman" w:eastAsia="仿宋" w:cs="Times New Roman"/>
          <w:color w:val="auto"/>
          <w:sz w:val="36"/>
          <w:szCs w:val="36"/>
          <w:highlight w:val="none"/>
          <w:u w:val="single"/>
          <w:lang w:val="en-US"/>
        </w:rPr>
      </w:pPr>
      <w:r>
        <w:rPr>
          <w:rFonts w:hint="default" w:ascii="Times New Roman" w:hAnsi="Times New Roman" w:eastAsia="仿宋" w:cs="Times New Roman"/>
          <w:color w:val="auto"/>
          <w:sz w:val="36"/>
          <w:szCs w:val="36"/>
          <w:highlight w:val="none"/>
        </w:rPr>
        <w:t>建设单位（盖章）</w:t>
      </w:r>
      <w:r>
        <w:rPr>
          <w:rFonts w:hint="default" w:ascii="Times New Roman" w:hAnsi="Times New Roman" w:eastAsia="仿宋" w:cs="Times New Roman"/>
          <w:color w:val="auto"/>
          <w:sz w:val="36"/>
          <w:szCs w:val="36"/>
          <w:highlight w:val="none"/>
          <w:lang w:eastAsia="zh-CN"/>
        </w:rPr>
        <w:t>：</w:t>
      </w:r>
      <w:r>
        <w:rPr>
          <w:rFonts w:hint="default" w:ascii="Times New Roman" w:hAnsi="Times New Roman" w:eastAsia="仿宋" w:cs="Times New Roman"/>
          <w:color w:val="auto"/>
          <w:sz w:val="36"/>
          <w:szCs w:val="36"/>
          <w:highlight w:val="none"/>
          <w:u w:val="single"/>
          <w:lang w:val="en-US" w:eastAsia="zh-CN"/>
        </w:rPr>
        <w:t xml:space="preserve">   四川汉润水务集团有限公司   </w:t>
      </w:r>
    </w:p>
    <w:p>
      <w:pPr>
        <w:pStyle w:val="18"/>
        <w:keepNext w:val="0"/>
        <w:keepLines w:val="0"/>
        <w:pageBreakBefore w:val="0"/>
        <w:kinsoku/>
        <w:wordWrap/>
        <w:topLinePunct w:val="0"/>
        <w:bidi w:val="0"/>
        <w:spacing w:after="0" w:line="360" w:lineRule="auto"/>
        <w:ind w:left="0" w:leftChars="0" w:firstLine="0" w:firstLineChars="0"/>
        <w:rPr>
          <w:rFonts w:hint="default" w:ascii="Times New Roman" w:hAnsi="Times New Roman" w:eastAsia="仿宋" w:cs="Times New Roman"/>
          <w:color w:val="auto"/>
          <w:sz w:val="36"/>
          <w:szCs w:val="36"/>
          <w:highlight w:val="none"/>
          <w:u w:val="single"/>
          <w:lang w:val="en-US" w:eastAsia="zh-CN"/>
        </w:rPr>
      </w:pPr>
      <w:r>
        <w:rPr>
          <w:rFonts w:hint="default" w:ascii="Times New Roman" w:hAnsi="Times New Roman" w:eastAsia="仿宋" w:cs="Times New Roman"/>
          <w:color w:val="auto"/>
          <w:sz w:val="36"/>
          <w:szCs w:val="36"/>
          <w:highlight w:val="none"/>
        </w:rPr>
        <w:t>编制日期：</w:t>
      </w:r>
      <w:r>
        <w:rPr>
          <w:rFonts w:hint="default" w:ascii="Times New Roman" w:hAnsi="Times New Roman" w:eastAsia="仿宋" w:cs="Times New Roman"/>
          <w:color w:val="auto"/>
          <w:sz w:val="36"/>
          <w:szCs w:val="36"/>
          <w:highlight w:val="none"/>
          <w:u w:val="single"/>
          <w:lang w:val="en-US" w:eastAsia="zh-CN"/>
        </w:rPr>
        <w:t xml:space="preserve">              </w:t>
      </w:r>
      <w:r>
        <w:rPr>
          <w:rFonts w:hint="default" w:ascii="Times New Roman" w:hAnsi="Times New Roman" w:eastAsia="仿宋" w:cs="Times New Roman"/>
          <w:color w:val="auto"/>
          <w:sz w:val="36"/>
          <w:szCs w:val="36"/>
          <w:highlight w:val="none"/>
          <w:u w:val="single"/>
        </w:rPr>
        <w:t>202</w:t>
      </w:r>
      <w:r>
        <w:rPr>
          <w:rFonts w:hint="default" w:ascii="Times New Roman" w:hAnsi="Times New Roman" w:eastAsia="仿宋" w:cs="Times New Roman"/>
          <w:color w:val="auto"/>
          <w:sz w:val="36"/>
          <w:szCs w:val="36"/>
          <w:highlight w:val="none"/>
          <w:u w:val="single"/>
          <w:lang w:val="en-US" w:eastAsia="zh-CN"/>
        </w:rPr>
        <w:t>3</w:t>
      </w:r>
      <w:r>
        <w:rPr>
          <w:rFonts w:hint="default" w:ascii="Times New Roman" w:hAnsi="Times New Roman" w:eastAsia="仿宋" w:cs="Times New Roman"/>
          <w:color w:val="auto"/>
          <w:sz w:val="36"/>
          <w:szCs w:val="36"/>
          <w:highlight w:val="none"/>
          <w:u w:val="single"/>
        </w:rPr>
        <w:t>年</w:t>
      </w:r>
      <w:r>
        <w:rPr>
          <w:rFonts w:hint="default" w:ascii="Times New Roman" w:hAnsi="Times New Roman" w:eastAsia="仿宋" w:cs="Times New Roman"/>
          <w:color w:val="auto"/>
          <w:sz w:val="36"/>
          <w:szCs w:val="36"/>
          <w:highlight w:val="none"/>
          <w:u w:val="single"/>
          <w:lang w:val="en-US" w:eastAsia="zh-CN"/>
        </w:rPr>
        <w:t>7</w:t>
      </w:r>
      <w:r>
        <w:rPr>
          <w:rFonts w:hint="default" w:ascii="Times New Roman" w:hAnsi="Times New Roman" w:eastAsia="仿宋" w:cs="Times New Roman"/>
          <w:color w:val="auto"/>
          <w:sz w:val="36"/>
          <w:szCs w:val="36"/>
          <w:highlight w:val="none"/>
          <w:u w:val="single"/>
        </w:rPr>
        <w:t>月</w:t>
      </w:r>
      <w:r>
        <w:rPr>
          <w:rFonts w:hint="default" w:ascii="Times New Roman" w:hAnsi="Times New Roman" w:eastAsia="仿宋" w:cs="Times New Roman"/>
          <w:color w:val="auto"/>
          <w:sz w:val="36"/>
          <w:szCs w:val="36"/>
          <w:highlight w:val="none"/>
          <w:u w:val="single"/>
          <w:lang w:val="en-US" w:eastAsia="zh-CN"/>
        </w:rPr>
        <w:t xml:space="preserve">              </w:t>
      </w:r>
    </w:p>
    <w:p>
      <w:pPr>
        <w:pStyle w:val="18"/>
        <w:keepNext w:val="0"/>
        <w:keepLines w:val="0"/>
        <w:pageBreakBefore w:val="0"/>
        <w:kinsoku/>
        <w:wordWrap/>
        <w:topLinePunct w:val="0"/>
        <w:bidi w:val="0"/>
        <w:spacing w:after="0" w:line="360" w:lineRule="auto"/>
        <w:ind w:left="0" w:leftChars="0" w:firstLine="0" w:firstLineChars="0"/>
        <w:jc w:val="center"/>
        <w:rPr>
          <w:rFonts w:hint="default" w:ascii="Times New Roman" w:hAnsi="Times New Roman" w:eastAsia="楷体" w:cs="Times New Roman"/>
          <w:color w:val="auto"/>
          <w:sz w:val="36"/>
          <w:szCs w:val="36"/>
          <w:highlight w:val="none"/>
        </w:rPr>
      </w:pPr>
    </w:p>
    <w:p>
      <w:pPr>
        <w:keepNext w:val="0"/>
        <w:keepLines w:val="0"/>
        <w:pageBreakBefore w:val="0"/>
        <w:kinsoku/>
        <w:wordWrap/>
        <w:topLinePunct w:val="0"/>
        <w:bidi w:val="0"/>
        <w:ind w:left="0" w:leftChars="0"/>
        <w:rPr>
          <w:rFonts w:hint="default" w:ascii="Times New Roman" w:hAnsi="Times New Roman" w:eastAsia="楷体" w:cs="Times New Roman"/>
          <w:color w:val="auto"/>
          <w:sz w:val="36"/>
          <w:szCs w:val="36"/>
          <w:highlight w:val="none"/>
        </w:rPr>
      </w:pPr>
    </w:p>
    <w:p>
      <w:pPr>
        <w:pStyle w:val="18"/>
        <w:keepNext w:val="0"/>
        <w:keepLines w:val="0"/>
        <w:pageBreakBefore w:val="0"/>
        <w:kinsoku/>
        <w:wordWrap/>
        <w:topLinePunct w:val="0"/>
        <w:bidi w:val="0"/>
        <w:spacing w:after="0"/>
        <w:ind w:left="0" w:leftChars="0"/>
        <w:rPr>
          <w:rFonts w:hint="default" w:ascii="Times New Roman" w:hAnsi="Times New Roman" w:cs="Times New Roman"/>
          <w:color w:val="auto"/>
          <w:highlight w:val="none"/>
        </w:rPr>
      </w:pPr>
    </w:p>
    <w:p>
      <w:pPr>
        <w:pStyle w:val="18"/>
        <w:keepNext w:val="0"/>
        <w:keepLines w:val="0"/>
        <w:pageBreakBefore w:val="0"/>
        <w:kinsoku/>
        <w:wordWrap/>
        <w:topLinePunct w:val="0"/>
        <w:bidi w:val="0"/>
        <w:spacing w:after="0" w:line="360" w:lineRule="auto"/>
        <w:ind w:left="0" w:leftChars="0" w:firstLine="0" w:firstLineChars="0"/>
        <w:jc w:val="center"/>
        <w:rPr>
          <w:rFonts w:hint="default" w:ascii="Times New Roman" w:hAnsi="Times New Roman" w:eastAsia="仿宋" w:cs="Times New Roman"/>
          <w:color w:val="auto"/>
          <w:sz w:val="36"/>
          <w:szCs w:val="36"/>
          <w:highlight w:val="none"/>
          <w:u w:val="single"/>
        </w:rPr>
        <w:sectPr>
          <w:pgSz w:w="11906" w:h="16838"/>
          <w:pgMar w:top="1440" w:right="1361" w:bottom="1440" w:left="136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楷体" w:cs="Times New Roman"/>
          <w:color w:val="auto"/>
          <w:sz w:val="36"/>
          <w:szCs w:val="36"/>
          <w:highlight w:val="none"/>
        </w:rPr>
        <w:t>中华人民共和国生态环境部</w:t>
      </w:r>
    </w:p>
    <w:p>
      <w:pPr>
        <w:pStyle w:val="25"/>
        <w:keepNext w:val="0"/>
        <w:keepLines w:val="0"/>
        <w:pageBreakBefore w:val="0"/>
        <w:kinsoku/>
        <w:wordWrap/>
        <w:topLinePunct w:val="0"/>
        <w:bidi w:val="0"/>
        <w:ind w:left="0" w:leftChars="0" w:right="0"/>
        <w:jc w:val="center"/>
        <w:rPr>
          <w:rFonts w:hint="default" w:ascii="Times New Roman" w:hAnsi="Times New Roman" w:cs="Times New Roman"/>
          <w:color w:val="auto"/>
          <w:szCs w:val="24"/>
          <w:highlight w:val="none"/>
        </w:rPr>
      </w:pPr>
      <w:r>
        <w:rPr>
          <w:rFonts w:hint="default" w:ascii="Times New Roman" w:hAnsi="Times New Roman" w:eastAsia="黑体" w:cs="Times New Roman"/>
          <w:b w:val="0"/>
          <w:color w:val="auto"/>
          <w:sz w:val="30"/>
          <w:szCs w:val="30"/>
          <w:highlight w:val="none"/>
        </w:rPr>
        <w:t>一、建设项目基本情况</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649"/>
        <w:gridCol w:w="1999"/>
        <w:gridCol w:w="2074"/>
        <w:gridCol w:w="3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建设项目名称</w:t>
            </w:r>
          </w:p>
        </w:tc>
        <w:tc>
          <w:tcPr>
            <w:tcW w:w="3844"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宋体" w:cs="Times New Roman"/>
                <w:color w:val="auto"/>
                <w:sz w:val="24"/>
                <w:szCs w:val="32"/>
                <w:highlight w:val="none"/>
                <w:vertAlign w:val="baseline"/>
                <w:lang w:eastAsia="zh-CN"/>
              </w:rPr>
            </w:pPr>
            <w:r>
              <w:rPr>
                <w:rFonts w:hint="default" w:ascii="Times New Roman" w:hAnsi="Times New Roman" w:eastAsia="宋体" w:cs="Times New Roman"/>
                <w:color w:val="auto"/>
                <w:sz w:val="24"/>
                <w:szCs w:val="32"/>
                <w:highlight w:val="none"/>
                <w:vertAlign w:val="baseline"/>
                <w:lang w:eastAsia="zh-CN"/>
              </w:rPr>
              <w:t>宣汉县乡村水务试点县供水保障工程（新华供水工程）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项目代码</w:t>
            </w:r>
          </w:p>
        </w:tc>
        <w:tc>
          <w:tcPr>
            <w:tcW w:w="3844"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2209-511722-04-01-945435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宋体" w:cs="Times New Roman"/>
                <w:color w:val="auto"/>
                <w:sz w:val="24"/>
                <w:szCs w:val="32"/>
                <w:highlight w:val="none"/>
                <w:vertAlign w:val="baseline"/>
                <w:lang w:eastAsia="zh-CN"/>
              </w:rPr>
            </w:pPr>
            <w:r>
              <w:rPr>
                <w:rFonts w:hint="default" w:ascii="Times New Roman" w:hAnsi="Times New Roman" w:eastAsia="宋体" w:cs="Times New Roman"/>
                <w:color w:val="auto"/>
                <w:sz w:val="24"/>
                <w:szCs w:val="24"/>
                <w:highlight w:val="none"/>
              </w:rPr>
              <w:t>建设单位联系人</w:t>
            </w:r>
          </w:p>
        </w:tc>
        <w:tc>
          <w:tcPr>
            <w:tcW w:w="1063"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向旭东</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宋体" w:cs="Times New Roman"/>
                <w:color w:val="auto"/>
                <w:sz w:val="24"/>
                <w:szCs w:val="32"/>
                <w:highlight w:val="none"/>
                <w:vertAlign w:val="baseline"/>
                <w:lang w:eastAsia="zh-CN"/>
              </w:rPr>
            </w:pPr>
            <w:r>
              <w:rPr>
                <w:rFonts w:hint="default" w:ascii="Times New Roman" w:hAnsi="Times New Roman" w:eastAsia="宋体" w:cs="Times New Roman"/>
                <w:color w:val="auto"/>
                <w:sz w:val="24"/>
                <w:szCs w:val="24"/>
                <w:highlight w:val="none"/>
              </w:rPr>
              <w:t>联系方式</w:t>
            </w:r>
          </w:p>
        </w:tc>
        <w:tc>
          <w:tcPr>
            <w:tcW w:w="167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13795675626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建设地点</w:t>
            </w:r>
          </w:p>
        </w:tc>
        <w:tc>
          <w:tcPr>
            <w:tcW w:w="3844"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32"/>
                <w:highlight w:val="none"/>
                <w:vertAlign w:val="baseline"/>
                <w:lang w:val="en-US" w:eastAsia="zh-CN"/>
              </w:rPr>
              <w:t>新华供水厂：新华镇场镇东北侧巴山大峡谷快速通道旁</w:t>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cs="Times New Roman"/>
                <w:color w:val="auto"/>
                <w:sz w:val="24"/>
                <w:szCs w:val="24"/>
                <w:highlight w:val="none"/>
                <w:lang w:val="en-US" w:eastAsia="zh-CN"/>
              </w:rPr>
              <w:t>中河取水泵房：新华场镇东北侧上游中河右岸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地理坐标</w:t>
            </w:r>
          </w:p>
        </w:tc>
        <w:tc>
          <w:tcPr>
            <w:tcW w:w="3844"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default" w:ascii="Times New Roman" w:hAnsi="Times New Roman" w:eastAsia="宋体" w:cs="Times New Roman"/>
                <w:color w:val="auto"/>
                <w:sz w:val="24"/>
                <w:szCs w:val="32"/>
                <w:highlight w:val="none"/>
                <w:vertAlign w:val="baseline"/>
                <w:lang w:eastAsia="zh-CN"/>
              </w:rPr>
            </w:pPr>
            <w:r>
              <w:rPr>
                <w:rFonts w:hint="default" w:ascii="Times New Roman" w:hAnsi="Times New Roman" w:eastAsia="宋体" w:cs="Times New Roman"/>
                <w:color w:val="auto"/>
                <w:sz w:val="24"/>
                <w:szCs w:val="32"/>
                <w:highlight w:val="none"/>
                <w:vertAlign w:val="baseline"/>
                <w:lang w:val="en-US" w:eastAsia="zh-CN"/>
              </w:rPr>
              <w:t>新华供水厂：</w:t>
            </w:r>
            <w:r>
              <w:rPr>
                <w:rFonts w:hint="default" w:ascii="Times New Roman" w:hAnsi="Times New Roman" w:eastAsia="宋体" w:cs="Times New Roman"/>
                <w:color w:val="auto"/>
                <w:sz w:val="24"/>
                <w:szCs w:val="32"/>
                <w:highlight w:val="none"/>
                <w:vertAlign w:val="baseline"/>
                <w:lang w:eastAsia="zh-CN"/>
              </w:rPr>
              <w:t>东经10</w:t>
            </w:r>
            <w:r>
              <w:rPr>
                <w:rFonts w:hint="default" w:ascii="Times New Roman" w:hAnsi="Times New Roman" w:eastAsia="宋体" w:cs="Times New Roman"/>
                <w:color w:val="auto"/>
                <w:sz w:val="24"/>
                <w:szCs w:val="32"/>
                <w:highlight w:val="none"/>
                <w:vertAlign w:val="baseline"/>
                <w:lang w:val="en-US" w:eastAsia="zh-CN"/>
              </w:rPr>
              <w:t>7°59′58.569″</w:t>
            </w:r>
            <w:r>
              <w:rPr>
                <w:rFonts w:hint="default" w:ascii="Times New Roman" w:hAnsi="Times New Roman" w:eastAsia="宋体" w:cs="Times New Roman"/>
                <w:color w:val="auto"/>
                <w:sz w:val="24"/>
                <w:szCs w:val="32"/>
                <w:highlight w:val="none"/>
                <w:vertAlign w:val="baseline"/>
                <w:lang w:eastAsia="zh-CN"/>
              </w:rPr>
              <w:t>，北纬3</w:t>
            </w:r>
            <w:r>
              <w:rPr>
                <w:rFonts w:hint="default" w:ascii="Times New Roman" w:hAnsi="Times New Roman" w:eastAsia="宋体" w:cs="Times New Roman"/>
                <w:color w:val="auto"/>
                <w:sz w:val="24"/>
                <w:szCs w:val="32"/>
                <w:highlight w:val="none"/>
                <w:vertAlign w:val="baseline"/>
                <w:lang w:val="en-US" w:eastAsia="zh-CN"/>
              </w:rPr>
              <w:t>1°44′50.895″</w:t>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cs="Times New Roman"/>
                <w:color w:val="auto"/>
                <w:sz w:val="24"/>
                <w:szCs w:val="24"/>
                <w:highlight w:val="none"/>
                <w:lang w:val="en-US" w:eastAsia="zh-CN"/>
              </w:rPr>
              <w:t>中河</w:t>
            </w:r>
            <w:r>
              <w:rPr>
                <w:rFonts w:hint="default" w:ascii="Times New Roman" w:hAnsi="Times New Roman" w:eastAsia="宋体" w:cs="Times New Roman"/>
                <w:color w:val="auto"/>
                <w:sz w:val="24"/>
                <w:szCs w:val="32"/>
                <w:highlight w:val="none"/>
                <w:vertAlign w:val="baseline"/>
                <w:lang w:val="en-US" w:eastAsia="zh-CN"/>
              </w:rPr>
              <w:t>取水泵房：</w:t>
            </w:r>
            <w:r>
              <w:rPr>
                <w:rFonts w:hint="default" w:ascii="Times New Roman" w:hAnsi="Times New Roman" w:eastAsia="宋体" w:cs="Times New Roman"/>
                <w:color w:val="auto"/>
                <w:sz w:val="24"/>
                <w:szCs w:val="32"/>
                <w:highlight w:val="none"/>
                <w:vertAlign w:val="baseline"/>
                <w:lang w:eastAsia="zh-CN"/>
              </w:rPr>
              <w:t>东经</w:t>
            </w:r>
            <w:r>
              <w:rPr>
                <w:rFonts w:hint="default" w:ascii="Times New Roman" w:hAnsi="Times New Roman" w:eastAsia="宋体" w:cs="Times New Roman"/>
                <w:color w:val="auto"/>
                <w:sz w:val="24"/>
                <w:szCs w:val="32"/>
                <w:highlight w:val="none"/>
                <w:vertAlign w:val="baseline"/>
                <w:lang w:val="en-US" w:eastAsia="zh-CN"/>
              </w:rPr>
              <w:t>108°0′57.650″，</w:t>
            </w:r>
            <w:r>
              <w:rPr>
                <w:rFonts w:hint="default" w:ascii="Times New Roman" w:hAnsi="Times New Roman" w:eastAsia="宋体" w:cs="Times New Roman"/>
                <w:color w:val="auto"/>
                <w:sz w:val="24"/>
                <w:szCs w:val="32"/>
                <w:highlight w:val="none"/>
                <w:vertAlign w:val="baseline"/>
                <w:lang w:eastAsia="zh-CN"/>
              </w:rPr>
              <w:t>北纬</w:t>
            </w:r>
            <w:r>
              <w:rPr>
                <w:rFonts w:hint="default" w:ascii="Times New Roman" w:hAnsi="Times New Roman" w:eastAsia="宋体" w:cs="Times New Roman"/>
                <w:color w:val="auto"/>
                <w:sz w:val="24"/>
                <w:szCs w:val="32"/>
                <w:highlight w:val="none"/>
                <w:vertAlign w:val="baseline"/>
                <w:lang w:val="en-US" w:eastAsia="zh-CN"/>
              </w:rPr>
              <w:t>31°45′0.320″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国民经济行业类别</w:t>
            </w:r>
          </w:p>
        </w:tc>
        <w:tc>
          <w:tcPr>
            <w:tcW w:w="1063"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4610自来水生产和供应</w:t>
            </w:r>
          </w:p>
        </w:tc>
        <w:tc>
          <w:tcPr>
            <w:tcW w:w="1103"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建设项目</w:t>
            </w:r>
          </w:p>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行业类别</w:t>
            </w:r>
          </w:p>
        </w:tc>
        <w:tc>
          <w:tcPr>
            <w:tcW w:w="167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四十三、水的生产和供应业94自来水生产和供应461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建设性质</w:t>
            </w:r>
          </w:p>
        </w:tc>
        <w:tc>
          <w:tcPr>
            <w:tcW w:w="106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□改建</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□扩建</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□技术改造</w:t>
            </w:r>
          </w:p>
        </w:tc>
        <w:tc>
          <w:tcPr>
            <w:tcW w:w="11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申报情形</w:t>
            </w:r>
          </w:p>
        </w:tc>
        <w:tc>
          <w:tcPr>
            <w:tcW w:w="167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首次申报项目</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□不予批准后再次申报项目</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□超五年重新审核项目</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项目审批（核准/备案）部门（选填）</w:t>
            </w:r>
          </w:p>
        </w:tc>
        <w:tc>
          <w:tcPr>
            <w:tcW w:w="106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eastAsia="zh-CN"/>
              </w:rPr>
              <w:t>宣汉县发展和改革局</w:t>
            </w:r>
          </w:p>
        </w:tc>
        <w:tc>
          <w:tcPr>
            <w:tcW w:w="11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项目审批（核准/备案）文号（选填）</w:t>
            </w:r>
          </w:p>
        </w:tc>
        <w:tc>
          <w:tcPr>
            <w:tcW w:w="167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宣发改审〔2022〕273号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总投资（万元）</w:t>
            </w:r>
          </w:p>
        </w:tc>
        <w:tc>
          <w:tcPr>
            <w:tcW w:w="106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8515</w:t>
            </w:r>
          </w:p>
        </w:tc>
        <w:tc>
          <w:tcPr>
            <w:tcW w:w="11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环保投资（万元）</w:t>
            </w:r>
          </w:p>
        </w:tc>
        <w:tc>
          <w:tcPr>
            <w:tcW w:w="167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119.5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环保投资占比（%）</w:t>
            </w:r>
          </w:p>
        </w:tc>
        <w:tc>
          <w:tcPr>
            <w:tcW w:w="106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1.40</w:t>
            </w:r>
          </w:p>
        </w:tc>
        <w:tc>
          <w:tcPr>
            <w:tcW w:w="11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施工工期</w:t>
            </w:r>
          </w:p>
        </w:tc>
        <w:tc>
          <w:tcPr>
            <w:tcW w:w="167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是否开工建设</w:t>
            </w:r>
          </w:p>
        </w:tc>
        <w:tc>
          <w:tcPr>
            <w:tcW w:w="106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default" w:ascii="Times New Roman" w:hAnsi="Times New Roman" w:eastAsia="宋体" w:cs="Times New Roman"/>
                <w:color w:val="auto"/>
                <w:kern w:val="2"/>
                <w:sz w:val="24"/>
                <w:szCs w:val="24"/>
                <w:highlight w:val="none"/>
                <w:u w:val="single"/>
                <w:lang w:val="en-US" w:eastAsia="zh-CN" w:bidi="ar-SA"/>
              </w:rPr>
            </w:pPr>
            <w:r>
              <w:rPr>
                <w:rFonts w:hint="default" w:ascii="Times New Roman" w:hAnsi="Times New Roman" w:eastAsia="宋体" w:cs="Times New Roman"/>
                <w:color w:val="auto"/>
                <w:sz w:val="24"/>
                <w:szCs w:val="24"/>
                <w:highlight w:val="none"/>
              </w:rPr>
              <w:t>□是：</w:t>
            </w:r>
          </w:p>
        </w:tc>
        <w:tc>
          <w:tcPr>
            <w:tcW w:w="110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用地（用海）面积（m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tc>
        <w:tc>
          <w:tcPr>
            <w:tcW w:w="167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宋体" w:cs="Times New Roman"/>
                <w:color w:val="auto"/>
                <w:sz w:val="24"/>
                <w:szCs w:val="32"/>
                <w:highlight w:val="none"/>
                <w:vertAlign w:val="baseline"/>
                <w:lang w:eastAsia="zh-CN"/>
              </w:rPr>
            </w:pPr>
            <w:r>
              <w:rPr>
                <w:rFonts w:hint="default" w:ascii="Times New Roman" w:hAnsi="Times New Roman" w:cs="Times New Roman"/>
                <w:color w:val="auto"/>
                <w:sz w:val="24"/>
                <w:szCs w:val="24"/>
                <w:highlight w:val="none"/>
              </w:rPr>
              <w:t>专项评价设置情况</w:t>
            </w:r>
          </w:p>
        </w:tc>
        <w:tc>
          <w:tcPr>
            <w:tcW w:w="3844" w:type="pct"/>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根据《建设项目环境影响报告表编制技术指南（污染影响类）（试行）》，本项目专项评价设置情况见下表：</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表1-1</w:t>
            </w:r>
            <w:r>
              <w:rPr>
                <w:rFonts w:hint="default" w:ascii="Times New Roman" w:hAnsi="Times New Roman" w:eastAsia="黑体" w:cs="Times New Roman"/>
                <w:color w:val="auto"/>
                <w:szCs w:val="21"/>
                <w:highlight w:val="none"/>
                <w:lang w:val="en-US" w:eastAsia="zh-CN"/>
              </w:rPr>
              <w:t xml:space="preserve"> </w:t>
            </w:r>
            <w:r>
              <w:rPr>
                <w:rFonts w:hint="default" w:ascii="Times New Roman" w:hAnsi="Times New Roman" w:eastAsia="黑体" w:cs="Times New Roman"/>
                <w:color w:val="auto"/>
                <w:szCs w:val="21"/>
                <w:highlight w:val="none"/>
              </w:rPr>
              <w:t>专项评价设置表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2515"/>
              <w:gridCol w:w="3138"/>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专项评价类别</w:t>
                  </w:r>
                </w:p>
              </w:tc>
              <w:tc>
                <w:tcPr>
                  <w:tcW w:w="179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设置原则</w:t>
                  </w:r>
                </w:p>
              </w:tc>
              <w:tc>
                <w:tcPr>
                  <w:tcW w:w="224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本项目情况</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是否专项评价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w:t>
                  </w:r>
                </w:p>
              </w:tc>
              <w:tc>
                <w:tcPr>
                  <w:tcW w:w="179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排放废气含有有毒有害物、二噁英、苯并[a]芘、氰化物、氯气且厂界外500米范围内有环境空气保护目标的建设项目</w:t>
                  </w:r>
                </w:p>
              </w:tc>
              <w:tc>
                <w:tcPr>
                  <w:tcW w:w="224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rPr>
                    <w:t>排放废气不涉及列入《有毒有害大气污染物名录（2018年）》中的有毒有害物质</w:t>
                  </w:r>
                  <w:r>
                    <w:rPr>
                      <w:rFonts w:hint="default" w:ascii="Times New Roman" w:hAnsi="Times New Roman" w:cs="Times New Roman"/>
                      <w:color w:val="auto"/>
                      <w:sz w:val="21"/>
                      <w:szCs w:val="21"/>
                      <w:highlight w:val="none"/>
                      <w:lang w:eastAsia="zh-CN"/>
                    </w:rPr>
                    <w:t>。</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pct"/>
                  <w:vMerge w:val="restar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w:t>
                  </w:r>
                </w:p>
              </w:tc>
              <w:tc>
                <w:tcPr>
                  <w:tcW w:w="179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新增工业废水直排建设项目（槽罐车外送污水处理厂的除外）</w:t>
                  </w:r>
                </w:p>
              </w:tc>
              <w:tc>
                <w:tcPr>
                  <w:tcW w:w="2240"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项目生活污水（食堂废水先经隔油池处理）经化粪池处理后用于农肥</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不外排</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项目排泥水和反冲洗废水经泥水混合池收集后，经泵提升至浓缩池进行浓缩，其上清液回用至预沉池，底部泥水进入脱水间脱水，其脱水滤液回到泥水混合池，生产废水循环使用，不外排。</w:t>
                  </w:r>
                </w:p>
              </w:tc>
              <w:tc>
                <w:tcPr>
                  <w:tcW w:w="493"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pct"/>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p>
              </w:tc>
              <w:tc>
                <w:tcPr>
                  <w:tcW w:w="179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新增废水直接排放的污水集中处理厂</w:t>
                  </w:r>
                </w:p>
              </w:tc>
              <w:tc>
                <w:tcPr>
                  <w:tcW w:w="224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cs="Times New Roman"/>
                      <w:color w:val="auto"/>
                      <w:sz w:val="21"/>
                      <w:szCs w:val="21"/>
                      <w:highlight w:val="none"/>
                    </w:rPr>
                  </w:pPr>
                </w:p>
              </w:tc>
              <w:tc>
                <w:tcPr>
                  <w:tcW w:w="493"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w:t>
                  </w:r>
                </w:p>
              </w:tc>
              <w:tc>
                <w:tcPr>
                  <w:tcW w:w="179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有毒有害和易燃易爆危险物质存储量超过临界量的建设项目</w:t>
                  </w:r>
                </w:p>
              </w:tc>
              <w:tc>
                <w:tcPr>
                  <w:tcW w:w="224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rPr>
                    <w:t>危险物质存储量未超过临界量</w:t>
                  </w:r>
                  <w:r>
                    <w:rPr>
                      <w:rFonts w:hint="default" w:ascii="Times New Roman" w:hAnsi="Times New Roman" w:cs="Times New Roman"/>
                      <w:color w:val="auto"/>
                      <w:sz w:val="21"/>
                      <w:szCs w:val="21"/>
                      <w:highlight w:val="none"/>
                      <w:lang w:eastAsia="zh-CN"/>
                    </w:rPr>
                    <w:t>。</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w:t>
                  </w:r>
                </w:p>
              </w:tc>
              <w:tc>
                <w:tcPr>
                  <w:tcW w:w="179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取水口下游500米范围内有重要水生生物的自然产卵场、索饵场、越冬场和洄游通道的新增河道取水的污染类建设项目</w:t>
                  </w:r>
                </w:p>
              </w:tc>
              <w:tc>
                <w:tcPr>
                  <w:tcW w:w="224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本项目取水口下游</w:t>
                  </w:r>
                  <w:r>
                    <w:rPr>
                      <w:rFonts w:hint="default" w:ascii="Times New Roman" w:hAnsi="Times New Roman" w:cs="Times New Roman"/>
                      <w:color w:val="auto"/>
                      <w:sz w:val="21"/>
                      <w:szCs w:val="21"/>
                      <w:highlight w:val="none"/>
                    </w:rPr>
                    <w:t>500米范围内</w:t>
                  </w:r>
                  <w:r>
                    <w:rPr>
                      <w:rFonts w:hint="default" w:ascii="Times New Roman" w:hAnsi="Times New Roman" w:cs="Times New Roman"/>
                      <w:color w:val="auto"/>
                      <w:sz w:val="21"/>
                      <w:szCs w:val="21"/>
                      <w:highlight w:val="none"/>
                      <w:lang w:val="en-US" w:eastAsia="zh-CN"/>
                    </w:rPr>
                    <w:t>无</w:t>
                  </w:r>
                  <w:r>
                    <w:rPr>
                      <w:rFonts w:hint="default" w:ascii="Times New Roman" w:hAnsi="Times New Roman" w:cs="Times New Roman"/>
                      <w:color w:val="auto"/>
                      <w:sz w:val="21"/>
                      <w:szCs w:val="21"/>
                      <w:highlight w:val="none"/>
                    </w:rPr>
                    <w:t>重要水生生物的自然产卵场、索饵场、越冬场和洄游通道</w:t>
                  </w:r>
                  <w:r>
                    <w:rPr>
                      <w:rFonts w:hint="default" w:ascii="Times New Roman" w:hAnsi="Times New Roman" w:cs="Times New Roman"/>
                      <w:color w:val="auto"/>
                      <w:sz w:val="21"/>
                      <w:szCs w:val="21"/>
                      <w:highlight w:val="none"/>
                      <w:lang w:eastAsia="zh-CN"/>
                    </w:rPr>
                    <w:t>。</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海洋</w:t>
                  </w:r>
                </w:p>
              </w:tc>
              <w:tc>
                <w:tcPr>
                  <w:tcW w:w="179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直接向海排放污染物的海洋工程建设项目</w:t>
                  </w:r>
                </w:p>
              </w:tc>
              <w:tc>
                <w:tcPr>
                  <w:tcW w:w="224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rPr>
                    <w:t>不涉及</w:t>
                  </w:r>
                  <w:r>
                    <w:rPr>
                      <w:rFonts w:hint="default" w:ascii="Times New Roman" w:hAnsi="Times New Roman" w:cs="Times New Roman"/>
                      <w:color w:val="auto"/>
                      <w:sz w:val="21"/>
                      <w:szCs w:val="21"/>
                      <w:highlight w:val="none"/>
                      <w:lang w:eastAsia="zh-CN"/>
                    </w:rPr>
                    <w:t>。</w:t>
                  </w:r>
                </w:p>
              </w:tc>
              <w:tc>
                <w:tcPr>
                  <w:tcW w:w="49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color w:val="auto"/>
                <w:sz w:val="24"/>
                <w:szCs w:val="32"/>
                <w:highlight w:val="none"/>
                <w:vertAlign w:val="baseline"/>
                <w:lang w:eastAsia="zh-CN"/>
              </w:rPr>
            </w:pPr>
            <w:r>
              <w:rPr>
                <w:rFonts w:hint="default" w:ascii="Times New Roman" w:hAnsi="Times New Roman" w:cs="Times New Roman"/>
                <w:b/>
                <w:bCs/>
                <w:color w:val="auto"/>
                <w:sz w:val="24"/>
                <w:szCs w:val="24"/>
                <w:highlight w:val="none"/>
              </w:rPr>
              <w:t>因此，本项目不需开展专项评价工作。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规划情况</w:t>
            </w:r>
          </w:p>
        </w:tc>
        <w:tc>
          <w:tcPr>
            <w:tcW w:w="3844" w:type="pct"/>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规划环境影响评价情况</w:t>
            </w:r>
          </w:p>
        </w:tc>
        <w:tc>
          <w:tcPr>
            <w:tcW w:w="3844" w:type="pct"/>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sz w:val="24"/>
                <w:szCs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规划及规划环境影响评价符合性分析</w:t>
            </w:r>
          </w:p>
        </w:tc>
        <w:tc>
          <w:tcPr>
            <w:tcW w:w="3844" w:type="pct"/>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其他符合性分析</w:t>
            </w:r>
          </w:p>
        </w:tc>
        <w:tc>
          <w:tcPr>
            <w:tcW w:w="4721" w:type="pct"/>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1、产业政策符合性分析</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cs="Times New Roman"/>
                <w:color w:val="auto"/>
                <w:sz w:val="24"/>
                <w:szCs w:val="32"/>
                <w:highlight w:val="none"/>
                <w:lang w:eastAsia="zh-CN"/>
              </w:rPr>
            </w:pPr>
            <w:r>
              <w:rPr>
                <w:rFonts w:hint="default" w:ascii="Times New Roman" w:hAnsi="Times New Roman" w:cs="Times New Roman"/>
                <w:color w:val="auto"/>
                <w:sz w:val="24"/>
                <w:szCs w:val="32"/>
                <w:highlight w:val="none"/>
                <w:lang w:eastAsia="zh-CN"/>
              </w:rPr>
              <w:t>本项目为自来水生产与供应，属国家发展和改革委员会第29号令《产业结构调整指导目录（2019年本）》中</w:t>
            </w:r>
            <w:r>
              <w:rPr>
                <w:rFonts w:hint="default" w:ascii="Times New Roman" w:hAnsi="Times New Roman" w:cs="Times New Roman"/>
                <w:i/>
                <w:iCs/>
                <w:color w:val="auto"/>
                <w:sz w:val="24"/>
                <w:szCs w:val="32"/>
                <w:highlight w:val="none"/>
                <w:lang w:eastAsia="zh-CN"/>
              </w:rPr>
              <w:t>“第一类鼓励类/二十二、城市基础设施/7、城镇安全饮水工程、供水水源及供水厂工程”，</w:t>
            </w:r>
            <w:r>
              <w:rPr>
                <w:rFonts w:hint="default" w:ascii="Times New Roman" w:hAnsi="Times New Roman" w:cs="Times New Roman"/>
                <w:color w:val="auto"/>
                <w:sz w:val="24"/>
                <w:szCs w:val="32"/>
                <w:highlight w:val="none"/>
                <w:lang w:eastAsia="zh-CN"/>
              </w:rPr>
              <w:t>符合国家现行产业政策。</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cs="Times New Roman"/>
                <w:color w:val="auto"/>
                <w:sz w:val="24"/>
                <w:szCs w:val="32"/>
                <w:highlight w:val="none"/>
                <w:lang w:eastAsia="zh-CN"/>
              </w:rPr>
            </w:pPr>
            <w:r>
              <w:rPr>
                <w:rFonts w:hint="default" w:ascii="Times New Roman" w:hAnsi="Times New Roman" w:cs="Times New Roman"/>
                <w:color w:val="auto"/>
                <w:sz w:val="24"/>
                <w:szCs w:val="32"/>
                <w:highlight w:val="none"/>
                <w:lang w:eastAsia="zh-CN"/>
              </w:rPr>
              <w:t>同时，</w:t>
            </w:r>
            <w:r>
              <w:rPr>
                <w:rFonts w:hint="eastAsia" w:ascii="Times New Roman" w:hAnsi="Times New Roman" w:cs="Times New Roman"/>
                <w:color w:val="auto"/>
                <w:sz w:val="24"/>
                <w:szCs w:val="32"/>
                <w:highlight w:val="none"/>
                <w:lang w:val="en-US" w:eastAsia="zh-CN"/>
              </w:rPr>
              <w:t>项目于</w:t>
            </w:r>
            <w:r>
              <w:rPr>
                <w:rFonts w:hint="default" w:ascii="Times New Roman" w:hAnsi="Times New Roman" w:cs="Times New Roman"/>
                <w:color w:val="auto"/>
                <w:sz w:val="24"/>
                <w:szCs w:val="32"/>
                <w:highlight w:val="none"/>
                <w:lang w:val="en-US" w:eastAsia="zh-CN"/>
              </w:rPr>
              <w:t>2022年9月2日取得了宣汉县发展和改革局出具的“关于宣汉县乡村水务试点县供水保障工程可行性研究报告的批复”（宣发改审〔2022〕273号）</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lang w:val="en-US" w:eastAsia="zh-CN"/>
              </w:rPr>
              <w:t>本项目属于宣汉县乡村水务试点县供水保障工程中的一个子项目（</w:t>
            </w:r>
            <w:r>
              <w:rPr>
                <w:rFonts w:hint="default" w:ascii="Times New Roman" w:hAnsi="Times New Roman" w:eastAsia="宋体" w:cs="Times New Roman"/>
                <w:color w:val="auto"/>
                <w:sz w:val="24"/>
                <w:szCs w:val="32"/>
                <w:highlight w:val="none"/>
                <w:vertAlign w:val="baseline"/>
                <w:lang w:eastAsia="zh-CN"/>
              </w:rPr>
              <w:t>新华供水工程</w:t>
            </w:r>
            <w:r>
              <w:rPr>
                <w:rFonts w:hint="default" w:ascii="Times New Roman" w:hAnsi="Times New Roman" w:cs="Times New Roman"/>
                <w:color w:val="auto"/>
                <w:sz w:val="24"/>
                <w:szCs w:val="32"/>
                <w:highlight w:val="none"/>
                <w:lang w:val="en-US" w:eastAsia="zh-CN"/>
              </w:rPr>
              <w:t>），且项目未使用国家命令禁止的淘汰类和限制类的工艺和设备</w:t>
            </w:r>
            <w:r>
              <w:rPr>
                <w:rFonts w:hint="default" w:ascii="Times New Roman" w:hAnsi="Times New Roman" w:cs="Times New Roman"/>
                <w:color w:val="auto"/>
                <w:sz w:val="24"/>
                <w:szCs w:val="32"/>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rPr>
                <w:rFonts w:hint="default" w:ascii="Times New Roman" w:hAnsi="Times New Roman" w:cs="Times New Roman"/>
                <w:b/>
                <w:bCs/>
                <w:color w:val="auto"/>
                <w:sz w:val="24"/>
                <w:szCs w:val="32"/>
                <w:highlight w:val="none"/>
                <w:lang w:eastAsia="zh-CN"/>
              </w:rPr>
            </w:pPr>
            <w:r>
              <w:rPr>
                <w:rFonts w:hint="default" w:ascii="Times New Roman" w:hAnsi="Times New Roman" w:cs="Times New Roman"/>
                <w:b/>
                <w:bCs/>
                <w:color w:val="auto"/>
                <w:sz w:val="24"/>
                <w:szCs w:val="32"/>
                <w:highlight w:val="none"/>
                <w:lang w:eastAsia="zh-CN"/>
              </w:rPr>
              <w:t>因此，本项目符合国家现行产业政策。</w:t>
            </w:r>
          </w:p>
          <w:p>
            <w:pPr>
              <w:keepNext w:val="0"/>
              <w:keepLines w:val="0"/>
              <w:pageBreakBefore w:val="0"/>
              <w:kinsoku/>
              <w:wordWrap/>
              <w:overflowPunct/>
              <w:topLinePunct w:val="0"/>
              <w:autoSpaceDE/>
              <w:autoSpaceDN/>
              <w:bidi w:val="0"/>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2、用地规划符合性分析</w:t>
            </w:r>
          </w:p>
          <w:p>
            <w:pPr>
              <w:keepNext w:val="0"/>
              <w:keepLines w:val="0"/>
              <w:pageBreakBefore w:val="0"/>
              <w:kinsoku/>
              <w:wordWrap/>
              <w:overflowPunct/>
              <w:topLinePunct w:val="0"/>
              <w:autoSpaceDE/>
              <w:autoSpaceDN/>
              <w:bidi w:val="0"/>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eastAsia="zh-CN"/>
              </w:rPr>
              <w:t>本项目</w:t>
            </w:r>
            <w:r>
              <w:rPr>
                <w:rFonts w:hint="default" w:ascii="Times New Roman" w:hAnsi="Times New Roman" w:cs="Times New Roman"/>
                <w:color w:val="auto"/>
                <w:sz w:val="24"/>
                <w:szCs w:val="32"/>
                <w:highlight w:val="none"/>
                <w:vertAlign w:val="baseline"/>
                <w:lang w:val="en-US" w:eastAsia="zh-CN"/>
              </w:rPr>
              <w:t>位于</w:t>
            </w:r>
            <w:r>
              <w:rPr>
                <w:rFonts w:hint="default" w:ascii="Times New Roman" w:hAnsi="Times New Roman" w:cs="Times New Roman"/>
                <w:color w:val="auto"/>
                <w:sz w:val="24"/>
                <w:szCs w:val="24"/>
                <w:highlight w:val="none"/>
                <w:lang w:val="en-US" w:eastAsia="zh-CN"/>
              </w:rPr>
              <w:t>宣汉县新华镇盐店村，</w:t>
            </w:r>
            <w:r>
              <w:rPr>
                <w:rFonts w:hint="default" w:ascii="Times New Roman" w:hAnsi="Times New Roman" w:cs="Times New Roman"/>
                <w:color w:val="auto"/>
                <w:sz w:val="24"/>
                <w:szCs w:val="32"/>
                <w:highlight w:val="none"/>
                <w:vertAlign w:val="baseline"/>
                <w:lang w:val="en-US" w:eastAsia="zh-CN"/>
              </w:rPr>
              <w:t>用地面积5100m</w:t>
            </w:r>
            <w:r>
              <w:rPr>
                <w:rFonts w:hint="default" w:ascii="Times New Roman" w:hAnsi="Times New Roman" w:cs="Times New Roman"/>
                <w:color w:val="auto"/>
                <w:sz w:val="24"/>
                <w:szCs w:val="32"/>
                <w:highlight w:val="none"/>
                <w:vertAlign w:val="superscript"/>
                <w:lang w:val="en-US" w:eastAsia="zh-CN"/>
              </w:rPr>
              <w:t>2</w:t>
            </w:r>
            <w:r>
              <w:rPr>
                <w:rFonts w:hint="default" w:ascii="Times New Roman" w:hAnsi="Times New Roman" w:cs="Times New Roman"/>
                <w:color w:val="auto"/>
                <w:sz w:val="24"/>
                <w:szCs w:val="32"/>
                <w:highlight w:val="none"/>
                <w:vertAlign w:val="baseline"/>
                <w:lang w:val="en-US" w:eastAsia="zh-CN"/>
              </w:rPr>
              <w:t>，项目</w:t>
            </w:r>
            <w:r>
              <w:rPr>
                <w:rFonts w:hint="default" w:ascii="Times New Roman" w:hAnsi="Times New Roman" w:cs="Times New Roman"/>
                <w:color w:val="auto"/>
                <w:sz w:val="24"/>
                <w:szCs w:val="24"/>
                <w:highlight w:val="none"/>
                <w:lang w:val="en-US" w:eastAsia="zh-CN"/>
              </w:rPr>
              <w:t>已取得</w:t>
            </w:r>
            <w:r>
              <w:rPr>
                <w:rFonts w:hint="default" w:ascii="Times New Roman" w:hAnsi="Times New Roman" w:cs="Times New Roman"/>
                <w:color w:val="auto"/>
                <w:sz w:val="24"/>
                <w:szCs w:val="32"/>
                <w:highlight w:val="none"/>
                <w:vertAlign w:val="baseline"/>
                <w:lang w:eastAsia="zh-CN"/>
              </w:rPr>
              <w:t>宣汉县自然资源局出具的《</w:t>
            </w:r>
            <w:r>
              <w:rPr>
                <w:rFonts w:hint="default" w:ascii="Times New Roman" w:hAnsi="Times New Roman" w:cs="Times New Roman"/>
                <w:color w:val="auto"/>
                <w:sz w:val="24"/>
                <w:szCs w:val="32"/>
                <w:highlight w:val="none"/>
                <w:vertAlign w:val="baseline"/>
                <w:lang w:val="en-US" w:eastAsia="zh-CN"/>
              </w:rPr>
              <w:t>建设项目用地预审与选址意见书</w:t>
            </w:r>
            <w:r>
              <w:rPr>
                <w:rFonts w:hint="default" w:ascii="Times New Roman" w:hAnsi="Times New Roman" w:cs="Times New Roman"/>
                <w:color w:val="auto"/>
                <w:sz w:val="24"/>
                <w:szCs w:val="32"/>
                <w:highlight w:val="none"/>
                <w:vertAlign w:val="baseline"/>
                <w:lang w:eastAsia="zh-CN"/>
              </w:rPr>
              <w:t>》（</w:t>
            </w:r>
            <w:r>
              <w:rPr>
                <w:rFonts w:hint="default" w:ascii="Times New Roman" w:hAnsi="Times New Roman" w:cs="Times New Roman"/>
                <w:color w:val="auto"/>
                <w:sz w:val="24"/>
                <w:szCs w:val="32"/>
                <w:highlight w:val="none"/>
                <w:vertAlign w:val="baseline"/>
                <w:lang w:val="en-US" w:eastAsia="zh-CN"/>
              </w:rPr>
              <w:t>用字第511722-2023-00005</w:t>
            </w:r>
            <w:r>
              <w:rPr>
                <w:rFonts w:hint="default" w:ascii="Times New Roman" w:hAnsi="Times New Roman" w:cs="Times New Roman"/>
                <w:color w:val="auto"/>
                <w:sz w:val="24"/>
                <w:szCs w:val="32"/>
                <w:highlight w:val="none"/>
                <w:vertAlign w:val="baseline"/>
                <w:lang w:eastAsia="zh-CN"/>
              </w:rPr>
              <w:t>号），</w:t>
            </w:r>
            <w:r>
              <w:rPr>
                <w:rFonts w:hint="default" w:ascii="Times New Roman" w:hAnsi="Times New Roman" w:cs="Times New Roman"/>
                <w:color w:val="auto"/>
                <w:sz w:val="24"/>
                <w:szCs w:val="32"/>
                <w:highlight w:val="none"/>
                <w:vertAlign w:val="baseline"/>
                <w:lang w:val="en-US" w:eastAsia="zh-CN"/>
              </w:rPr>
              <w:t>明确项目用地符合国土空间用途管制要求。</w:t>
            </w:r>
          </w:p>
          <w:p>
            <w:pPr>
              <w:keepNext w:val="0"/>
              <w:keepLines w:val="0"/>
              <w:pageBreakBefore w:val="0"/>
              <w:kinsoku/>
              <w:wordWrap/>
              <w:overflowPunct/>
              <w:topLinePunct w:val="0"/>
              <w:autoSpaceDE/>
              <w:autoSpaceDN/>
              <w:bidi w:val="0"/>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因此，本项目符合当地用地规划要求，用地合法。</w:t>
            </w:r>
          </w:p>
          <w:p>
            <w:pPr>
              <w:keepNext w:val="0"/>
              <w:keepLines w:val="0"/>
              <w:pageBreakBefore w:val="0"/>
              <w:kinsoku/>
              <w:wordWrap/>
              <w:overflowPunct/>
              <w:topLinePunct w:val="0"/>
              <w:autoSpaceDE/>
              <w:autoSpaceDN/>
              <w:bidi w:val="0"/>
              <w:spacing w:line="360" w:lineRule="auto"/>
              <w:ind w:firstLine="482"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3、与《宣汉县“十四五”新农水规划》符合性分析</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根据《宣汉县“十四五”新农水规划》内容要求：“十四五”期间，宣汉县规划新（改、扩）建农村供水工程491处规模化供水工程10处，小型供水工程4处），设计供水规模11.39万m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/d，其中新增供水规模6.07万m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工程受益人口87.34万人，其中新增覆盖人口49.20万人。涉及全县87.34万人（新增覆盖人口49.2万人）。到2025年，宣汉县农村自来水普及率达到95%，农村规模化工程供水人口覆盖比例达到80%以上，集中供水工程规范化管理达标水平比例100%，集中供水工程水费收缴率100%。”目前宣汉县现状乡镇居民多数均采用打井等自建水源的方式饮水，水量水质均难以满足农村居民生活需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right="0" w:rightChars="0" w:firstLine="480" w:firstLineChars="200"/>
              <w:jc w:val="left"/>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根据《</w:t>
            </w:r>
            <w:r>
              <w:rPr>
                <w:rFonts w:hint="default" w:ascii="Times New Roman" w:hAnsi="Times New Roman" w:eastAsia="宋体" w:cs="Times New Roman"/>
                <w:color w:val="auto"/>
                <w:sz w:val="24"/>
                <w:szCs w:val="32"/>
                <w:highlight w:val="none"/>
                <w:vertAlign w:val="baseline"/>
                <w:lang w:eastAsia="zh-CN"/>
              </w:rPr>
              <w:t>宣汉县乡村水务试点县供水保障工程</w:t>
            </w:r>
            <w:r>
              <w:rPr>
                <w:rFonts w:hint="default" w:ascii="Times New Roman" w:hAnsi="Times New Roman" w:eastAsia="宋体" w:cs="Times New Roman"/>
                <w:color w:val="auto"/>
                <w:sz w:val="24"/>
                <w:szCs w:val="32"/>
                <w:highlight w:val="none"/>
                <w:vertAlign w:val="baseline"/>
                <w:lang w:val="en-US" w:eastAsia="zh-CN"/>
              </w:rPr>
              <w:t>可行性研究报告</w:t>
            </w:r>
            <w:r>
              <w:rPr>
                <w:rFonts w:hint="default" w:ascii="Times New Roman" w:hAnsi="Times New Roman" w:cs="Times New Roman"/>
                <w:color w:val="auto"/>
                <w:sz w:val="24"/>
                <w:szCs w:val="32"/>
                <w:highlight w:val="none"/>
                <w:vertAlign w:val="baseline"/>
                <w:lang w:val="en-US" w:eastAsia="zh-CN"/>
              </w:rPr>
              <w:t>》可知，新华水厂（本项目）与厂溪水厂一并供给石铁乡、新华镇、厂溪镇、黄金镇，总共供水人口约9.61万人，总共供水牲畜3.88万头。综上，本项目的建设与《宣汉县“十四五”新农水规划》内容相符。</w:t>
            </w:r>
          </w:p>
          <w:p>
            <w:pPr>
              <w:keepNext w:val="0"/>
              <w:keepLines w:val="0"/>
              <w:pageBreakBefore w:val="0"/>
              <w:kinsoku/>
              <w:wordWrap/>
              <w:overflowPunct/>
              <w:topLinePunct w:val="0"/>
              <w:autoSpaceDE/>
              <w:autoSpaceDN/>
              <w:bidi w:val="0"/>
              <w:spacing w:line="360" w:lineRule="auto"/>
              <w:ind w:left="0" w:leftChars="0"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4、“三线一单”符合性分析</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四川省生态环境厅办公室《关于印发〈产业园区规划环评“三线一单”符合性分析技术要点（试行）〉和〈项目环评“三线一单”符合性分析技术要点（试行）〉的通知》（川环办函〔2021〕469号）中相关要求对本项目与“三线一单”的符合性进行分析。本项目位于达州市宣汉县新华镇，不在规划园区内，故需对其进行空间符合性分析及管控要求符合性分析。</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本项目与“三线一单”符合性分析如下：</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（1）与《关于落实生态保护红线、环境质量底线、资源利用上线制定生态环境准入清单实施生态环境分区管控的通知》（川府发〔2020〕9号）符合性分析</w:t>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根据四川省人民政府发布的川府发〔2020〕9号，本项目</w:t>
            </w:r>
            <w:r>
              <w:rPr>
                <w:rFonts w:hint="default" w:ascii="Times New Roman" w:hAnsi="Times New Roman" w:eastAsia="宋体" w:cs="Times New Roman"/>
                <w:color w:val="auto"/>
                <w:sz w:val="24"/>
                <w:szCs w:val="32"/>
                <w:highlight w:val="none"/>
                <w:vertAlign w:val="baseline"/>
                <w:lang w:val="en-US" w:eastAsia="zh-CN"/>
              </w:rPr>
              <w:t>新华供水厂</w:t>
            </w:r>
            <w:r>
              <w:rPr>
                <w:rFonts w:hint="default" w:ascii="Times New Roman" w:hAnsi="Times New Roman" w:cs="Times New Roman"/>
                <w:color w:val="auto"/>
                <w:sz w:val="24"/>
                <w:szCs w:val="24"/>
                <w:highlight w:val="none"/>
                <w:lang w:val="en-US" w:eastAsia="zh-CN"/>
              </w:rPr>
              <w:t>位于</w:t>
            </w:r>
            <w:r>
              <w:rPr>
                <w:rFonts w:hint="default" w:ascii="Times New Roman" w:hAnsi="Times New Roman" w:eastAsia="宋体" w:cs="Times New Roman"/>
                <w:color w:val="auto"/>
                <w:sz w:val="24"/>
                <w:szCs w:val="32"/>
                <w:highlight w:val="none"/>
                <w:vertAlign w:val="baseline"/>
                <w:lang w:val="en-US" w:eastAsia="zh-CN"/>
              </w:rPr>
              <w:t>新华镇场镇东北侧巴山大峡谷快速通道旁</w:t>
            </w:r>
            <w:r>
              <w:rPr>
                <w:rFonts w:hint="eastAsia" w:ascii="Times New Roman" w:hAnsi="Times New Roman" w:eastAsia="宋体" w:cs="Times New Roman"/>
                <w:color w:val="auto"/>
                <w:sz w:val="24"/>
                <w:szCs w:val="32"/>
                <w:highlight w:val="none"/>
                <w:vertAlign w:val="baseline"/>
                <w:lang w:val="en-US" w:eastAsia="zh-CN"/>
              </w:rPr>
              <w:t>，</w:t>
            </w:r>
            <w:r>
              <w:rPr>
                <w:rFonts w:hint="default" w:ascii="Times New Roman" w:hAnsi="Times New Roman" w:cs="Times New Roman"/>
                <w:color w:val="auto"/>
                <w:sz w:val="24"/>
                <w:szCs w:val="24"/>
                <w:highlight w:val="none"/>
                <w:lang w:val="en-US" w:eastAsia="zh-CN"/>
              </w:rPr>
              <w:t>中河取水泵房位于新华场镇东北侧上游中河右岸，</w:t>
            </w:r>
            <w:r>
              <w:rPr>
                <w:rFonts w:hint="eastAsia" w:ascii="Times New Roman" w:hAnsi="Times New Roman" w:cs="Times New Roman"/>
                <w:color w:val="auto"/>
                <w:sz w:val="24"/>
                <w:szCs w:val="24"/>
                <w:highlight w:val="none"/>
                <w:lang w:val="en-US" w:eastAsia="zh-CN"/>
              </w:rPr>
              <w:t>均</w:t>
            </w:r>
            <w:r>
              <w:rPr>
                <w:rFonts w:hint="default" w:ascii="Times New Roman" w:hAnsi="Times New Roman" w:cs="Times New Roman"/>
                <w:color w:val="auto"/>
                <w:sz w:val="24"/>
                <w:szCs w:val="24"/>
                <w:highlight w:val="none"/>
                <w:lang w:val="en-US" w:eastAsia="zh-CN"/>
              </w:rPr>
              <w:t>为一般管控单元，所在区域</w:t>
            </w:r>
            <w:r>
              <w:rPr>
                <w:rFonts w:hint="eastAsia" w:ascii="Times New Roman" w:hAnsi="Times New Roman" w:cs="Times New Roman"/>
                <w:color w:val="auto"/>
                <w:sz w:val="24"/>
                <w:szCs w:val="24"/>
                <w:highlight w:val="none"/>
                <w:lang w:val="en-US" w:eastAsia="zh-CN"/>
              </w:rPr>
              <w:t>均</w:t>
            </w:r>
            <w:r>
              <w:rPr>
                <w:rFonts w:hint="default" w:ascii="Times New Roman" w:hAnsi="Times New Roman" w:cs="Times New Roman"/>
                <w:color w:val="auto"/>
                <w:sz w:val="24"/>
                <w:szCs w:val="24"/>
                <w:highlight w:val="none"/>
                <w:lang w:val="en-US" w:eastAsia="zh-CN"/>
              </w:rPr>
              <w:t>属于川东北经济区。</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本项目与四川省生态环境分区管控情况相符性分析见表1-2。</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表1-</w:t>
            </w:r>
            <w:r>
              <w:rPr>
                <w:rFonts w:hint="default" w:ascii="Times New Roman" w:hAnsi="Times New Roman" w:eastAsia="黑体" w:cs="Times New Roman"/>
                <w:color w:val="auto"/>
                <w:szCs w:val="21"/>
                <w:highlight w:val="none"/>
                <w:lang w:val="en-US" w:eastAsia="zh-CN"/>
              </w:rPr>
              <w:t xml:space="preserve">2 </w:t>
            </w:r>
            <w:r>
              <w:rPr>
                <w:rFonts w:hint="default" w:ascii="Times New Roman" w:hAnsi="Times New Roman" w:eastAsia="黑体" w:cs="Times New Roman"/>
                <w:color w:val="auto"/>
                <w:szCs w:val="21"/>
                <w:highlight w:val="none"/>
              </w:rPr>
              <w:t>项目与四川省生态环境分区管控情况相符性分析</w:t>
            </w:r>
          </w:p>
          <w:tbl>
            <w:tblPr>
              <w:tblStyle w:val="19"/>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3273"/>
              <w:gridCol w:w="4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环境管控单元类型</w:t>
                  </w:r>
                </w:p>
              </w:tc>
              <w:tc>
                <w:tcPr>
                  <w:tcW w:w="18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总体生态环境管控要求</w:t>
                  </w:r>
                </w:p>
              </w:tc>
              <w:tc>
                <w:tcPr>
                  <w:tcW w:w="248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优先保护单元</w:t>
                  </w:r>
                </w:p>
              </w:tc>
              <w:tc>
                <w:tcPr>
                  <w:tcW w:w="18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优先保护单元中，应以生态环境保护优先为原则，严格执行相关法律、法规要求，严守生态环境质量底线，确保生态环境功能不降低。</w:t>
                  </w:r>
                </w:p>
              </w:tc>
              <w:tc>
                <w:tcPr>
                  <w:tcW w:w="248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z w:val="21"/>
                      <w:szCs w:val="21"/>
                      <w:highlight w:val="none"/>
                      <w:lang w:val="en-US" w:eastAsia="zh-CN"/>
                    </w:rPr>
                    <w:t>供水厂</w:t>
                  </w:r>
                  <w:r>
                    <w:rPr>
                      <w:rFonts w:hint="eastAsia" w:ascii="Times New Roman" w:hAnsi="Times New Roman" w:cs="Times New Roman"/>
                      <w:color w:val="auto"/>
                      <w:sz w:val="21"/>
                      <w:szCs w:val="21"/>
                      <w:highlight w:val="none"/>
                      <w:lang w:val="en-US" w:eastAsia="zh-CN"/>
                    </w:rPr>
                    <w:t>、取水泵房均</w:t>
                  </w:r>
                  <w:r>
                    <w:rPr>
                      <w:rFonts w:hint="default" w:ascii="Times New Roman" w:hAnsi="Times New Roman" w:cs="Times New Roman"/>
                      <w:color w:val="auto"/>
                      <w:sz w:val="21"/>
                      <w:szCs w:val="21"/>
                      <w:highlight w:val="none"/>
                      <w:lang w:val="en-US" w:eastAsia="zh-CN"/>
                    </w:rPr>
                    <w:t>位于一般管控单元</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bCs/>
                      <w:color w:val="auto"/>
                      <w:sz w:val="21"/>
                      <w:szCs w:val="21"/>
                      <w:highlight w:val="none"/>
                      <w:vertAlign w:val="baseline"/>
                      <w:lang w:val="en-US" w:eastAsia="zh-CN" w:bidi="en-US"/>
                    </w:rPr>
                    <w:t>建设单位在采取本项目提出的环保措施后，废水、废气、噪声能够达标排放，固废能够得到妥善处置，能够落实生态环境保护基本要求。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重点管控单元</w:t>
                  </w:r>
                </w:p>
              </w:tc>
              <w:tc>
                <w:tcPr>
                  <w:tcW w:w="18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点管控单元中，针对环境质量是否达标以及经济社会发展水平等因素制定别化的生态环境准入要求。对环境质量不达标区域，环境质量不达标区域，提出污染物削减比例要求，对环境质量达标区域，提出允许排放量建议指标。</w:t>
                  </w:r>
                </w:p>
              </w:tc>
              <w:tc>
                <w:tcPr>
                  <w:tcW w:w="2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一般管控单元</w:t>
                  </w:r>
                </w:p>
              </w:tc>
              <w:tc>
                <w:tcPr>
                  <w:tcW w:w="18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一般管控单元中，执行区域生态环境保护的基本要求。重点加强农业、生活等领域污染治理。</w:t>
                  </w:r>
                </w:p>
              </w:tc>
              <w:tc>
                <w:tcPr>
                  <w:tcW w:w="248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区域</w:t>
                  </w:r>
                </w:p>
              </w:tc>
              <w:tc>
                <w:tcPr>
                  <w:tcW w:w="18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总体生态环境管控要求</w:t>
                  </w:r>
                </w:p>
              </w:tc>
              <w:tc>
                <w:tcPr>
                  <w:tcW w:w="248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川东北经济区</w:t>
                  </w:r>
                </w:p>
              </w:tc>
              <w:tc>
                <w:tcPr>
                  <w:tcW w:w="18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①控制农村面源污染，提高废水收集处理率，加快乡镇污水处理基础设施建设。</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②建设流域水环境风险联防联控体系。</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③提高大气污染治理水平。</w:t>
                  </w:r>
                </w:p>
              </w:tc>
              <w:tc>
                <w:tcPr>
                  <w:tcW w:w="248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项目生活污水（食堂废水先经隔油池处理）经化粪池处理后用于农肥</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项目排泥水和反冲洗废水经泥水混合池收集后，经泵提升至浓缩池进行浓缩，其上清液回用至预沉池，底部泥水进入脱水间脱水，其脱水滤液回到泥水混合池，生产废水循环使用，不外排。</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综上，本项目符合川府发〔2020〕9号相关内容。</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（2）与《关于落实生态保护红线、环境质量底线、资源利用上线制定生态环境准人清单实施生态环境分区管控的通知》（达市府发〔2021〕17号）符合性分析</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根据达州市人民政府发布的达市府发〔2021〕17号，本项目</w:t>
            </w:r>
            <w:r>
              <w:rPr>
                <w:rFonts w:hint="default" w:ascii="Times New Roman" w:hAnsi="Times New Roman" w:eastAsia="宋体" w:cs="Times New Roman"/>
                <w:color w:val="auto"/>
                <w:sz w:val="24"/>
                <w:szCs w:val="32"/>
                <w:highlight w:val="none"/>
                <w:vertAlign w:val="baseline"/>
                <w:lang w:val="en-US" w:eastAsia="zh-CN"/>
              </w:rPr>
              <w:t>新华供水厂</w:t>
            </w:r>
            <w:r>
              <w:rPr>
                <w:rFonts w:hint="default" w:ascii="Times New Roman" w:hAnsi="Times New Roman" w:cs="Times New Roman"/>
                <w:color w:val="auto"/>
                <w:sz w:val="24"/>
                <w:szCs w:val="24"/>
                <w:highlight w:val="none"/>
                <w:lang w:val="en-US" w:eastAsia="zh-CN"/>
              </w:rPr>
              <w:t>位于</w:t>
            </w:r>
            <w:r>
              <w:rPr>
                <w:rFonts w:hint="default" w:ascii="Times New Roman" w:hAnsi="Times New Roman" w:eastAsia="宋体" w:cs="Times New Roman"/>
                <w:color w:val="auto"/>
                <w:sz w:val="24"/>
                <w:szCs w:val="32"/>
                <w:highlight w:val="none"/>
                <w:vertAlign w:val="baseline"/>
                <w:lang w:val="en-US" w:eastAsia="zh-CN"/>
              </w:rPr>
              <w:t>新华镇场镇东北侧巴山大峡谷快速通道旁</w:t>
            </w:r>
            <w:r>
              <w:rPr>
                <w:rFonts w:hint="eastAsia" w:ascii="Times New Roman" w:hAnsi="Times New Roman" w:eastAsia="宋体" w:cs="Times New Roman"/>
                <w:color w:val="auto"/>
                <w:sz w:val="24"/>
                <w:szCs w:val="32"/>
                <w:highlight w:val="none"/>
                <w:vertAlign w:val="baseline"/>
                <w:lang w:val="en-US" w:eastAsia="zh-CN"/>
              </w:rPr>
              <w:t>，</w:t>
            </w:r>
            <w:r>
              <w:rPr>
                <w:rFonts w:hint="default" w:ascii="Times New Roman" w:hAnsi="Times New Roman" w:cs="Times New Roman"/>
                <w:color w:val="auto"/>
                <w:sz w:val="24"/>
                <w:szCs w:val="24"/>
                <w:highlight w:val="none"/>
                <w:lang w:val="en-US" w:eastAsia="zh-CN"/>
              </w:rPr>
              <w:t>中河取水泵房位于新华场镇东北侧上游中河右岸，</w:t>
            </w:r>
            <w:r>
              <w:rPr>
                <w:rFonts w:hint="eastAsia" w:ascii="Times New Roman" w:hAnsi="Times New Roman" w:cs="Times New Roman"/>
                <w:color w:val="auto"/>
                <w:sz w:val="24"/>
                <w:szCs w:val="24"/>
                <w:highlight w:val="none"/>
                <w:lang w:val="en-US" w:eastAsia="zh-CN"/>
              </w:rPr>
              <w:t>均</w:t>
            </w:r>
            <w:r>
              <w:rPr>
                <w:rFonts w:hint="default" w:ascii="Times New Roman" w:hAnsi="Times New Roman" w:cs="Times New Roman"/>
                <w:color w:val="auto"/>
                <w:sz w:val="24"/>
                <w:szCs w:val="24"/>
                <w:highlight w:val="none"/>
                <w:lang w:val="en-US" w:eastAsia="zh-CN"/>
              </w:rPr>
              <w:t>为一般管控单元。</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①达州市生态环境分区管控及其要求</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达州市行政区域从生态环境保护角度划分为优先保护、重点管控和一般管控三类环境管控单元。项目与达州市环境管控单元相符性分析如下表。</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表1-</w:t>
            </w:r>
            <w:r>
              <w:rPr>
                <w:rFonts w:hint="default" w:ascii="Times New Roman" w:hAnsi="Times New Roman" w:eastAsia="黑体" w:cs="Times New Roman"/>
                <w:color w:val="auto"/>
                <w:szCs w:val="21"/>
                <w:highlight w:val="none"/>
                <w:lang w:val="en-US" w:eastAsia="zh-CN"/>
              </w:rPr>
              <w:t>3 项目与达州市环境管控单元相符性分析表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120"/>
              <w:gridCol w:w="440"/>
              <w:gridCol w:w="5401"/>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647"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环境管控单元分类</w:t>
                  </w:r>
                </w:p>
              </w:tc>
              <w:tc>
                <w:tcPr>
                  <w:tcW w:w="254"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数量</w:t>
                  </w:r>
                </w:p>
              </w:tc>
              <w:tc>
                <w:tcPr>
                  <w:tcW w:w="3121"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管控要求</w:t>
                  </w:r>
                </w:p>
              </w:tc>
              <w:tc>
                <w:tcPr>
                  <w:tcW w:w="722"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47"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优先保护单元</w:t>
                  </w:r>
                </w:p>
              </w:tc>
              <w:tc>
                <w:tcPr>
                  <w:tcW w:w="254"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17个</w:t>
                  </w:r>
                </w:p>
              </w:tc>
              <w:tc>
                <w:tcPr>
                  <w:tcW w:w="3121"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以生态环境保护为主的区域，全市划分优先保护单元17个，主要包括生态保护红线、自然保护地、饮用水水源保护区等，应以生态环境保护优先为原则，严格执行相关法律、法规要求，严守生态环境质量底线，确保生态环境功能不降低。</w:t>
                  </w:r>
                </w:p>
              </w:tc>
              <w:tc>
                <w:tcPr>
                  <w:tcW w:w="722" w:type="pct"/>
                  <w:vMerge w:val="restar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本项目水厂位于一般管控单元，项目为自来水供应项目，建成后严格执行相关法律、法规要求，严守生态环境质量底线，确保生态环境功能不降低。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647"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重点管控单元</w:t>
                  </w:r>
                </w:p>
              </w:tc>
              <w:tc>
                <w:tcPr>
                  <w:tcW w:w="254"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22个</w:t>
                  </w:r>
                </w:p>
              </w:tc>
              <w:tc>
                <w:tcPr>
                  <w:tcW w:w="3121"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涉及水、大气、土壤、自然资源等资源环境要素重点管控的区域，全市划分重点管控单元22个，主要包括人口密集的城镇规划区和产业集聚的工业园区（工业集聚区）等，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722" w:type="pct"/>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3"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647"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一般管控单元</w:t>
                  </w:r>
                </w:p>
              </w:tc>
              <w:tc>
                <w:tcPr>
                  <w:tcW w:w="254"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7个</w:t>
                  </w:r>
                </w:p>
              </w:tc>
              <w:tc>
                <w:tcPr>
                  <w:tcW w:w="3121"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除优先保护单元和重点管控单元之外的其他区域，全市共划分一般管控单元7个。执行区域生态环境保护的基本要求，重点加强农业、生活等领域污染治理。</w:t>
                  </w:r>
                </w:p>
              </w:tc>
              <w:tc>
                <w:tcPr>
                  <w:tcW w:w="722" w:type="pct"/>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②达州市及宣汉县管控要求</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项目达州市及宣汉县总体管控要求与本项目符合性分析，见下表。</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表1-</w:t>
            </w:r>
            <w:r>
              <w:rPr>
                <w:rFonts w:hint="default" w:ascii="Times New Roman" w:hAnsi="Times New Roman" w:eastAsia="黑体" w:cs="Times New Roman"/>
                <w:color w:val="auto"/>
                <w:szCs w:val="21"/>
                <w:highlight w:val="none"/>
                <w:lang w:val="en-US" w:eastAsia="zh-CN"/>
              </w:rPr>
              <w:t>4 项目与达州市及宣汉县总体管控要求符合性分析表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4486"/>
              <w:gridCol w:w="2565"/>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市域</w:t>
                  </w:r>
                </w:p>
              </w:tc>
              <w:tc>
                <w:tcPr>
                  <w:tcW w:w="2592"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总体管控要求</w:t>
                  </w:r>
                </w:p>
              </w:tc>
              <w:tc>
                <w:tcPr>
                  <w:tcW w:w="1482"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522"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达州市</w:t>
                  </w:r>
                </w:p>
              </w:tc>
              <w:tc>
                <w:tcPr>
                  <w:tcW w:w="2592"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1．对钢铁行业提出严格资源环境绩效水平要求；</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2．高污染企业限期退城入园；</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3．普光气田开发污染防治和环境管理等方面要达到国内先进水平；</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4．引进项目应符合园区规划环评和区域产业准入清单要求；</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5．长江干支流岸线1km范围内，不得新建、扩建化工园区和化工项目；</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6．严控产业转移环境准入；</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7．造纸等产业污染治理和环境管理应达到国内先进水平。优化制浆造纸产业布局，提升行业清洁生产水平，推动制浆造纸工业向节能、环保、绿色方向发展。</w:t>
                  </w:r>
                </w:p>
              </w:tc>
              <w:tc>
                <w:tcPr>
                  <w:tcW w:w="1482"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1.本项目不属于钢铁行业；</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2.本项目不属于高污染企业；</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3.本项目不属于普光气田开发项目；</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4.本项目为自来水供应项目，属于市政工程项目；</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5.本项目不属于化工项目；</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6.本项目为自来水供应项目，不涉及环境准入；</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7.本项目不属于造纸产业。</w:t>
                  </w:r>
                </w:p>
              </w:tc>
              <w:tc>
                <w:tcPr>
                  <w:tcW w:w="522"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2"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宣汉县</w:t>
                  </w:r>
                </w:p>
              </w:tc>
              <w:tc>
                <w:tcPr>
                  <w:tcW w:w="2592"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1．加强小流域水环境保护，推动农村环保基础设施建设，全面推进农村环境综合整治、生活污水处理项目。大力开展沿河畜禽养殖污染整治，大力推广生态种植，减少农药化肥使用量；</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2．打好升级版污染防治攻坚战。持续优化调整产业布局，以PM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和臭氧污染协同控制为重点，全面开展VOCs治理，实施移动源整治，持续推进空气质量精细化管理；</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优化天然气化工、硫化工、锂钾综合开发、冶金建材、新材料等产业布局，切实做好危险化学品生产、使用、贮运、废弃全过程的安全防范措施，妥善处理好锂钾综合开发产业副产物及“三废”的综合利用途径或处置去向。</w:t>
                  </w:r>
                </w:p>
              </w:tc>
              <w:tc>
                <w:tcPr>
                  <w:tcW w:w="1482"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cs="Times New Roman"/>
                      <w:color w:val="auto"/>
                      <w:sz w:val="21"/>
                      <w:szCs w:val="21"/>
                      <w:highlight w:val="none"/>
                    </w:rPr>
                    <w:t>项目为</w:t>
                  </w:r>
                  <w:r>
                    <w:rPr>
                      <w:rFonts w:hint="default" w:ascii="Times New Roman" w:hAnsi="Times New Roman" w:cs="Times New Roman"/>
                      <w:b w:val="0"/>
                      <w:bCs/>
                      <w:color w:val="auto"/>
                      <w:szCs w:val="21"/>
                      <w:highlight w:val="none"/>
                      <w:lang w:val="en-US" w:eastAsia="zh-CN"/>
                    </w:rPr>
                    <w:t>供水</w:t>
                  </w:r>
                  <w:r>
                    <w:rPr>
                      <w:rFonts w:hint="default" w:ascii="Times New Roman" w:hAnsi="Times New Roman" w:cs="Times New Roman"/>
                      <w:b w:val="0"/>
                      <w:bCs/>
                      <w:color w:val="auto"/>
                      <w:szCs w:val="21"/>
                      <w:highlight w:val="none"/>
                      <w:lang w:eastAsia="zh-CN"/>
                    </w:rPr>
                    <w:t>工程</w:t>
                  </w:r>
                  <w:r>
                    <w:rPr>
                      <w:rFonts w:hint="default" w:ascii="Times New Roman" w:hAnsi="Times New Roman" w:cs="Times New Roman"/>
                      <w:color w:val="auto"/>
                      <w:sz w:val="21"/>
                      <w:szCs w:val="21"/>
                      <w:highlight w:val="none"/>
                    </w:rPr>
                    <w:t>，不属于畜禽养殖；</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2.本项目不涉及VOCs污染物排放；</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3.本项目不属于天然气化工、硫化工、锂钾综合开发、冶金建材、新材料等产业。</w:t>
                  </w:r>
                </w:p>
              </w:tc>
              <w:tc>
                <w:tcPr>
                  <w:tcW w:w="522" w:type="pc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pPr>
              <w:keepNext w:val="0"/>
              <w:keepLines w:val="0"/>
              <w:pageBreakBefore w:val="0"/>
              <w:kinsoku/>
              <w:wordWrap/>
              <w:overflowPunct/>
              <w:topLinePunct w:val="0"/>
              <w:autoSpaceDE/>
              <w:autoSpaceDN/>
              <w:bidi w:val="0"/>
              <w:spacing w:line="360" w:lineRule="auto"/>
              <w:ind w:left="0" w:leftChars="0"/>
              <w:jc w:val="center"/>
              <w:rPr>
                <w:rFonts w:hint="default" w:ascii="Times New Roman" w:hAnsi="Times New Roman" w:cs="Times New Roman"/>
                <w:b w:val="0"/>
                <w:bCs/>
                <w:color w:val="auto"/>
                <w:szCs w:val="21"/>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1560830</wp:posOffset>
                      </wp:positionH>
                      <wp:positionV relativeFrom="paragraph">
                        <wp:posOffset>460375</wp:posOffset>
                      </wp:positionV>
                      <wp:extent cx="981075" cy="317500"/>
                      <wp:effectExtent l="4445" t="4445" r="24130" b="478155"/>
                      <wp:wrapNone/>
                      <wp:docPr id="21" name="矩形标注 21"/>
                      <wp:cNvGraphicFramePr/>
                      <a:graphic xmlns:a="http://schemas.openxmlformats.org/drawingml/2006/main">
                        <a:graphicData uri="http://schemas.microsoft.com/office/word/2010/wordprocessingShape">
                          <wps:wsp>
                            <wps:cNvSpPr>
                              <a:spLocks noChangeArrowheads="1"/>
                            </wps:cNvSpPr>
                            <wps:spPr bwMode="auto">
                              <a:xfrm>
                                <a:off x="0" y="0"/>
                                <a:ext cx="981075" cy="317500"/>
                              </a:xfrm>
                              <a:prstGeom prst="wedgeRectCallout">
                                <a:avLst>
                                  <a:gd name="adj1" fmla="val 50157"/>
                                  <a:gd name="adj2" fmla="val 191000"/>
                                </a:avLst>
                              </a:prstGeom>
                              <a:solidFill>
                                <a:srgbClr val="FFFFFF"/>
                              </a:solidFill>
                              <a:ln w="9525">
                                <a:solidFill>
                                  <a:srgbClr val="FF0000"/>
                                </a:solidFill>
                                <a:miter lim="800000"/>
                              </a:ln>
                              <a:effectLst/>
                            </wps:spPr>
                            <wps:txbx>
                              <w:txbxContent>
                                <w:p>
                                  <w:pPr>
                                    <w:jc w:val="center"/>
                                    <w:rPr>
                                      <w:rFonts w:hint="eastAsia" w:eastAsia="宋体"/>
                                      <w:color w:val="FF0000"/>
                                      <w:lang w:val="en-US" w:eastAsia="zh-CN"/>
                                    </w:rPr>
                                  </w:pPr>
                                  <w:r>
                                    <w:rPr>
                                      <w:rFonts w:hint="eastAsia"/>
                                      <w:color w:val="FF0000"/>
                                    </w:rPr>
                                    <w:t>项目所在</w:t>
                                  </w:r>
                                  <w:r>
                                    <w:rPr>
                                      <w:rFonts w:hint="eastAsia"/>
                                      <w:color w:val="FF0000"/>
                                      <w:lang w:val="en-US" w:eastAsia="zh-CN"/>
                                    </w:rPr>
                                    <w:t>地</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122.9pt;margin-top:36.25pt;height:25pt;width:77.25pt;z-index:251660288;mso-width-relative:page;mso-height-relative:page;" fillcolor="#FFFFFF" filled="t" stroked="t" coordsize="21600,21600" o:gfxdata="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AJwsW2QAAAAoBAAAPAAAAAAAAAAEAIAAAACIAAABkcnMv&#10;ZG93bnJldi54bWxQSwECFAAUAAAACACHTuJAnoyI0XQCAADtBAAADgAAAAAAAAABACAAAAAoAQAA&#10;ZHJzL2Uyb0RvYy54bWxQSwUGAAAAAAYABgBZAQAADgYAAAAA&#10;" adj="21634,52056">
                      <v:fill on="t" focussize="0,0"/>
                      <v:stroke color="#FF0000" miterlimit="8" joinstyle="miter"/>
                      <v:imagedata o:title=""/>
                      <o:lock v:ext="edit" aspectratio="f"/>
                      <v:textbox>
                        <w:txbxContent>
                          <w:p>
                            <w:pPr>
                              <w:jc w:val="center"/>
                              <w:rPr>
                                <w:rFonts w:hint="eastAsia" w:eastAsia="宋体"/>
                                <w:color w:val="FF0000"/>
                                <w:lang w:val="en-US" w:eastAsia="zh-CN"/>
                              </w:rPr>
                            </w:pPr>
                            <w:r>
                              <w:rPr>
                                <w:rFonts w:hint="eastAsia"/>
                                <w:color w:val="FF0000"/>
                              </w:rPr>
                              <w:t>项目所在</w:t>
                            </w:r>
                            <w:r>
                              <w:rPr>
                                <w:rFonts w:hint="eastAsia"/>
                                <w:color w:val="FF0000"/>
                                <w:lang w:val="en-US" w:eastAsia="zh-CN"/>
                              </w:rPr>
                              <w:t>地</w:t>
                            </w:r>
                          </w:p>
                        </w:txbxContent>
                      </v:textbox>
                    </v:shape>
                  </w:pict>
                </mc:Fallback>
              </mc:AlternateContent>
            </w:r>
            <w:r>
              <w:rPr>
                <w:rFonts w:hint="default" w:ascii="Times New Roman" w:hAnsi="Times New Roman" w:cs="Times New Roman"/>
                <w:color w:val="auto"/>
                <w:sz w:val="28"/>
                <w:szCs w:val="28"/>
                <w:highlight w:val="none"/>
              </w:rPr>
              <w:drawing>
                <wp:inline distT="0" distB="0" distL="114300" distR="114300">
                  <wp:extent cx="4871085" cy="3181350"/>
                  <wp:effectExtent l="0" t="0" r="5715" b="0"/>
                  <wp:docPr id="23" name="图片 5" descr="达州市生态保护红线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达州市生态保护红线分布图"/>
                          <pic:cNvPicPr>
                            <a:picLocks noChangeAspect="1"/>
                          </pic:cNvPicPr>
                        </pic:nvPicPr>
                        <pic:blipFill>
                          <a:blip r:embed="rId5"/>
                          <a:stretch>
                            <a:fillRect/>
                          </a:stretch>
                        </pic:blipFill>
                        <pic:spPr>
                          <a:xfrm>
                            <a:off x="0" y="0"/>
                            <a:ext cx="4871085" cy="318135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360" w:lineRule="auto"/>
              <w:ind w:left="0" w:leftChars="0"/>
              <w:jc w:val="center"/>
              <w:rPr>
                <w:rFonts w:hint="default" w:ascii="Times New Roman" w:hAnsi="Times New Roman" w:cs="Times New Roman"/>
                <w:b/>
                <w:bCs w:val="0"/>
                <w:color w:val="auto"/>
                <w:szCs w:val="21"/>
                <w:highlight w:val="none"/>
              </w:rPr>
            </w:pPr>
            <w:r>
              <w:rPr>
                <w:rFonts w:hint="default" w:ascii="Times New Roman" w:hAnsi="Times New Roman" w:eastAsia="黑体" w:cs="Times New Roman"/>
                <w:color w:val="auto"/>
                <w:szCs w:val="21"/>
                <w:highlight w:val="none"/>
              </w:rPr>
              <w:t>图1-</w:t>
            </w:r>
            <w:r>
              <w:rPr>
                <w:rFonts w:hint="default" w:ascii="Times New Roman" w:hAnsi="Times New Roman" w:eastAsia="黑体" w:cs="Times New Roman"/>
                <w:color w:val="auto"/>
                <w:szCs w:val="21"/>
                <w:highlight w:val="none"/>
                <w:lang w:val="en-US" w:eastAsia="zh-CN"/>
              </w:rPr>
              <w:t>1</w:t>
            </w:r>
            <w:r>
              <w:rPr>
                <w:rFonts w:hint="eastAsia" w:ascii="Times New Roman" w:hAnsi="Times New Roman" w:eastAsia="黑体" w:cs="Times New Roman"/>
                <w:color w:val="auto"/>
                <w:szCs w:val="21"/>
                <w:highlight w:val="none"/>
                <w:lang w:val="en-US" w:eastAsia="zh-CN"/>
              </w:rPr>
              <w:t xml:space="preserve"> </w:t>
            </w:r>
            <w:r>
              <w:rPr>
                <w:rFonts w:hint="default" w:ascii="Times New Roman" w:hAnsi="Times New Roman" w:eastAsia="黑体" w:cs="Times New Roman"/>
                <w:color w:val="auto"/>
                <w:szCs w:val="21"/>
                <w:highlight w:val="none"/>
                <w:lang w:val="en-US" w:eastAsia="zh-CN"/>
              </w:rPr>
              <w:t>项目与达州市</w:t>
            </w:r>
            <w:r>
              <w:rPr>
                <w:rFonts w:hint="default" w:ascii="Times New Roman" w:hAnsi="Times New Roman" w:eastAsia="黑体" w:cs="Times New Roman"/>
                <w:color w:val="auto"/>
                <w:szCs w:val="21"/>
                <w:highlight w:val="none"/>
              </w:rPr>
              <w:t>生态</w:t>
            </w:r>
            <w:r>
              <w:rPr>
                <w:rFonts w:hint="default" w:ascii="Times New Roman" w:hAnsi="Times New Roman" w:eastAsia="黑体" w:cs="Times New Roman"/>
                <w:color w:val="auto"/>
                <w:szCs w:val="21"/>
                <w:highlight w:val="none"/>
                <w:lang w:val="en-US" w:eastAsia="zh-CN"/>
              </w:rPr>
              <w:t>保护</w:t>
            </w:r>
            <w:r>
              <w:rPr>
                <w:rFonts w:hint="default" w:ascii="Times New Roman" w:hAnsi="Times New Roman" w:eastAsia="黑体" w:cs="Times New Roman"/>
                <w:color w:val="auto"/>
                <w:szCs w:val="21"/>
                <w:highlight w:val="none"/>
              </w:rPr>
              <w:t>红线</w:t>
            </w:r>
            <w:r>
              <w:rPr>
                <w:rFonts w:hint="default" w:ascii="Times New Roman" w:hAnsi="Times New Roman" w:eastAsia="黑体" w:cs="Times New Roman"/>
                <w:color w:val="auto"/>
                <w:szCs w:val="21"/>
                <w:highlight w:val="none"/>
                <w:lang w:val="en-US" w:eastAsia="zh-CN"/>
              </w:rPr>
              <w:t>位置关系图（调整后）</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（3）与《项目环评“三线一单”符合性分析技术要求（试行）》符合性分析</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根据四川省生态环境厅办公室发布的《产业园区规划环评“三线一单”符合性分析技术要点（试行）》和《项目环评“三线一单”符合性分析技术要点（试行）》的通知（川环办函</w:t>
            </w:r>
            <w:r>
              <w:rPr>
                <w:rFonts w:hint="default" w:ascii="Times New Roman" w:hAnsi="Times New Roman" w:eastAsia="宋体" w:cs="Times New Roman"/>
                <w:color w:val="auto"/>
                <w:sz w:val="24"/>
                <w:szCs w:val="24"/>
                <w:highlight w:val="none"/>
                <w:lang w:val="en-US" w:eastAsia="zh-CN"/>
              </w:rPr>
              <w:t>〔2021〕</w:t>
            </w:r>
            <w:r>
              <w:rPr>
                <w:rFonts w:hint="default" w:ascii="Times New Roman" w:hAnsi="Times New Roman" w:cs="Times New Roman"/>
                <w:color w:val="auto"/>
                <w:sz w:val="24"/>
                <w:szCs w:val="24"/>
                <w:highlight w:val="none"/>
                <w:lang w:val="en-US" w:eastAsia="zh-CN"/>
              </w:rPr>
              <w:t>469号）可知，若建设项目位于产业园区外，需进行空间符合性分析以及管控要求符合性分析。本项目属于自来水供应工程，位于产业园区之外，为此，需要进行空间符合性分析以及管控要求符合性分析。</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eastAsia="黑体" w:cs="Times New Roman"/>
                <w:color w:val="auto"/>
                <w:szCs w:val="21"/>
                <w:highlight w:val="none"/>
              </w:rPr>
            </w:pPr>
            <w:r>
              <w:rPr>
                <w:rFonts w:hint="default" w:ascii="Times New Roman" w:hAnsi="Times New Roman" w:cs="Times New Roman"/>
                <w:color w:val="auto"/>
                <w:sz w:val="24"/>
                <w:szCs w:val="24"/>
                <w:highlight w:val="none"/>
                <w:lang w:val="en-US" w:eastAsia="zh-CN"/>
              </w:rPr>
              <w:t>经在四川省生态环境厅“三线一单”符合性分析平台查询，项目供水厂、取水泵房共涉及3个环境管控单元。查询情况见下图，涉及到的管控单元见下表1-5。</w:t>
            </w:r>
          </w:p>
          <w:p>
            <w:pPr>
              <w:keepNext w:val="0"/>
              <w:keepLines w:val="0"/>
              <w:pageBreakBefore w:val="0"/>
              <w:suppressLineNumbers w:val="0"/>
              <w:kinsoku/>
              <w:wordWrap/>
              <w:overflowPunct/>
              <w:topLinePunct w:val="0"/>
              <w:autoSpaceDE/>
              <w:autoSpaceDN/>
              <w:bidi w:val="0"/>
              <w:spacing w:beforeAutospacing="0" w:afterAutospacing="0" w:line="360" w:lineRule="auto"/>
              <w:ind w:left="0" w:leftChars="0" w:righ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表1-</w:t>
            </w:r>
            <w:r>
              <w:rPr>
                <w:rFonts w:hint="default" w:ascii="Times New Roman" w:hAnsi="Times New Roman" w:eastAsia="黑体" w:cs="Times New Roman"/>
                <w:color w:val="auto"/>
                <w:szCs w:val="21"/>
                <w:highlight w:val="none"/>
                <w:lang w:val="en-US" w:eastAsia="zh-CN"/>
              </w:rPr>
              <w:t xml:space="preserve">5 </w:t>
            </w:r>
            <w:r>
              <w:rPr>
                <w:rFonts w:hint="default" w:ascii="Times New Roman" w:hAnsi="Times New Roman" w:eastAsia="黑体" w:cs="Times New Roman"/>
                <w:color w:val="auto"/>
                <w:szCs w:val="21"/>
                <w:highlight w:val="none"/>
              </w:rPr>
              <w:t>项目</w:t>
            </w:r>
            <w:r>
              <w:rPr>
                <w:rFonts w:hint="eastAsia" w:ascii="Times New Roman" w:hAnsi="Times New Roman" w:eastAsia="黑体" w:cs="Times New Roman"/>
                <w:color w:val="auto"/>
                <w:szCs w:val="21"/>
                <w:highlight w:val="none"/>
                <w:lang w:val="en-US" w:eastAsia="zh-CN"/>
              </w:rPr>
              <w:t>供水厂、取水泵房</w:t>
            </w:r>
            <w:r>
              <w:rPr>
                <w:rFonts w:hint="default" w:ascii="Times New Roman" w:hAnsi="Times New Roman" w:eastAsia="黑体" w:cs="Times New Roman"/>
                <w:color w:val="auto"/>
                <w:szCs w:val="21"/>
                <w:highlight w:val="none"/>
              </w:rPr>
              <w:t>涉及环境管控单元表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126"/>
              <w:gridCol w:w="1665"/>
              <w:gridCol w:w="1080"/>
              <w:gridCol w:w="1170"/>
              <w:gridCol w:w="1182"/>
              <w:gridCol w:w="1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651" w:type="pct"/>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管控单元编码</w:t>
                  </w:r>
                </w:p>
              </w:tc>
              <w:tc>
                <w:tcPr>
                  <w:tcW w:w="962" w:type="pct"/>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管控单元名称</w:t>
                  </w:r>
                </w:p>
              </w:tc>
              <w:tc>
                <w:tcPr>
                  <w:tcW w:w="624" w:type="pct"/>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所属城市</w:t>
                  </w:r>
                </w:p>
              </w:tc>
              <w:tc>
                <w:tcPr>
                  <w:tcW w:w="676" w:type="pct"/>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所属区县</w:t>
                  </w:r>
                </w:p>
              </w:tc>
              <w:tc>
                <w:tcPr>
                  <w:tcW w:w="683" w:type="pct"/>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准入清单类型</w:t>
                  </w:r>
                </w:p>
              </w:tc>
              <w:tc>
                <w:tcPr>
                  <w:tcW w:w="1155" w:type="pct"/>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51" w:type="pct"/>
                  <w:vAlign w:val="center"/>
                </w:tcPr>
                <w:p>
                  <w:pPr>
                    <w:pStyle w:val="26"/>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Style w:val="21"/>
                      <w:rFonts w:hint="default" w:ascii="Times New Roman" w:hAnsi="Times New Roman" w:eastAsia="宋体" w:cs="Times New Roman"/>
                      <w:color w:val="auto"/>
                      <w:kern w:val="2"/>
                      <w:sz w:val="21"/>
                      <w:szCs w:val="21"/>
                      <w:highlight w:val="none"/>
                      <w:lang w:val="en-US" w:eastAsia="zh-CN" w:bidi="ar-SA"/>
                    </w:rPr>
                    <w:t>ZH51172230001</w:t>
                  </w:r>
                </w:p>
              </w:tc>
              <w:tc>
                <w:tcPr>
                  <w:tcW w:w="962" w:type="pct"/>
                  <w:vAlign w:val="center"/>
                </w:tcPr>
                <w:p>
                  <w:pPr>
                    <w:pStyle w:val="26"/>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Style w:val="21"/>
                      <w:rFonts w:hint="default" w:ascii="Times New Roman" w:hAnsi="Times New Roman" w:eastAsia="宋体" w:cs="Times New Roman"/>
                      <w:color w:val="auto"/>
                      <w:kern w:val="2"/>
                      <w:sz w:val="21"/>
                      <w:szCs w:val="21"/>
                      <w:highlight w:val="none"/>
                      <w:lang w:val="en-US" w:eastAsia="zh-CN" w:bidi="ar-SA"/>
                    </w:rPr>
                    <w:t>宣汉县一般管控单元</w:t>
                  </w:r>
                </w:p>
              </w:tc>
              <w:tc>
                <w:tcPr>
                  <w:tcW w:w="624" w:type="pct"/>
                  <w:vAlign w:val="center"/>
                </w:tcPr>
                <w:p>
                  <w:pPr>
                    <w:pStyle w:val="26"/>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Style w:val="21"/>
                      <w:rFonts w:hint="default" w:ascii="Times New Roman" w:hAnsi="Times New Roman" w:eastAsia="宋体" w:cs="Times New Roman"/>
                      <w:color w:val="auto"/>
                      <w:kern w:val="2"/>
                      <w:sz w:val="21"/>
                      <w:szCs w:val="21"/>
                      <w:highlight w:val="none"/>
                      <w:lang w:val="en-US" w:eastAsia="zh-CN" w:bidi="ar-SA"/>
                    </w:rPr>
                    <w:t>达州市</w:t>
                  </w:r>
                </w:p>
              </w:tc>
              <w:tc>
                <w:tcPr>
                  <w:tcW w:w="676" w:type="pct"/>
                  <w:vAlign w:val="center"/>
                </w:tcPr>
                <w:p>
                  <w:pPr>
                    <w:pStyle w:val="26"/>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Style w:val="21"/>
                      <w:rFonts w:hint="default" w:ascii="Times New Roman" w:hAnsi="Times New Roman" w:eastAsia="宋体" w:cs="Times New Roman"/>
                      <w:color w:val="auto"/>
                      <w:kern w:val="2"/>
                      <w:sz w:val="21"/>
                      <w:szCs w:val="21"/>
                      <w:highlight w:val="none"/>
                      <w:lang w:val="en-US" w:eastAsia="zh-CN" w:bidi="ar-SA"/>
                    </w:rPr>
                    <w:t>宣汉县</w:t>
                  </w:r>
                </w:p>
              </w:tc>
              <w:tc>
                <w:tcPr>
                  <w:tcW w:w="683" w:type="pct"/>
                  <w:vAlign w:val="center"/>
                </w:tcPr>
                <w:p>
                  <w:pPr>
                    <w:pStyle w:val="26"/>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Style w:val="21"/>
                      <w:rFonts w:hint="default" w:ascii="Times New Roman" w:hAnsi="Times New Roman" w:eastAsia="宋体" w:cs="Times New Roman"/>
                      <w:color w:val="auto"/>
                      <w:kern w:val="2"/>
                      <w:sz w:val="21"/>
                      <w:szCs w:val="21"/>
                      <w:highlight w:val="none"/>
                      <w:lang w:val="en-US" w:eastAsia="zh-CN" w:bidi="ar-SA"/>
                    </w:rPr>
                    <w:t>环境管控单元</w:t>
                  </w:r>
                </w:p>
              </w:tc>
              <w:tc>
                <w:tcPr>
                  <w:tcW w:w="1155" w:type="pct"/>
                  <w:vAlign w:val="center"/>
                </w:tcPr>
                <w:p>
                  <w:pPr>
                    <w:pStyle w:val="26"/>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Style w:val="21"/>
                      <w:rFonts w:hint="default" w:ascii="Times New Roman" w:hAnsi="Times New Roman" w:eastAsia="宋体" w:cs="Times New Roman"/>
                      <w:color w:val="auto"/>
                      <w:kern w:val="2"/>
                      <w:sz w:val="21"/>
                      <w:szCs w:val="21"/>
                      <w:highlight w:val="none"/>
                      <w:lang w:val="en-US" w:eastAsia="zh-CN" w:bidi="ar-SA"/>
                    </w:rPr>
                    <w:t>环境综合管控单元一般管控单元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651" w:type="pct"/>
                  <w:vAlign w:val="center"/>
                </w:tcPr>
                <w:p>
                  <w:pPr>
                    <w:pStyle w:val="26"/>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Style w:val="21"/>
                      <w:rFonts w:hint="default" w:ascii="Times New Roman" w:hAnsi="Times New Roman" w:eastAsia="宋体" w:cs="Times New Roman"/>
                      <w:color w:val="auto"/>
                      <w:kern w:val="2"/>
                      <w:sz w:val="21"/>
                      <w:szCs w:val="21"/>
                      <w:highlight w:val="none"/>
                      <w:lang w:val="en-US" w:eastAsia="zh-CN" w:bidi="ar-SA"/>
                    </w:rPr>
                    <w:t>YS5117223210003</w:t>
                  </w:r>
                </w:p>
              </w:tc>
              <w:tc>
                <w:tcPr>
                  <w:tcW w:w="962" w:type="pct"/>
                  <w:vAlign w:val="center"/>
                </w:tcPr>
                <w:p>
                  <w:pPr>
                    <w:pStyle w:val="26"/>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Style w:val="21"/>
                      <w:rFonts w:hint="default" w:ascii="Times New Roman" w:hAnsi="Times New Roman" w:eastAsia="宋体" w:cs="Times New Roman"/>
                      <w:color w:val="auto"/>
                      <w:kern w:val="2"/>
                      <w:sz w:val="21"/>
                      <w:szCs w:val="21"/>
                      <w:highlight w:val="none"/>
                      <w:lang w:val="en-US" w:eastAsia="zh-CN" w:bidi="ar-SA"/>
                    </w:rPr>
                    <w:t>中河宣汉县普光控制单元</w:t>
                  </w:r>
                </w:p>
              </w:tc>
              <w:tc>
                <w:tcPr>
                  <w:tcW w:w="624" w:type="pct"/>
                  <w:vAlign w:val="center"/>
                </w:tcPr>
                <w:p>
                  <w:pPr>
                    <w:pStyle w:val="26"/>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Style w:val="21"/>
                      <w:rFonts w:hint="default" w:ascii="Times New Roman" w:hAnsi="Times New Roman" w:eastAsia="宋体" w:cs="Times New Roman"/>
                      <w:color w:val="auto"/>
                      <w:kern w:val="2"/>
                      <w:sz w:val="21"/>
                      <w:szCs w:val="21"/>
                      <w:highlight w:val="none"/>
                      <w:lang w:val="en-US" w:eastAsia="zh-CN" w:bidi="ar-SA"/>
                    </w:rPr>
                    <w:t>达州市</w:t>
                  </w:r>
                </w:p>
              </w:tc>
              <w:tc>
                <w:tcPr>
                  <w:tcW w:w="676" w:type="pct"/>
                  <w:vAlign w:val="center"/>
                </w:tcPr>
                <w:p>
                  <w:pPr>
                    <w:pStyle w:val="26"/>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Style w:val="21"/>
                      <w:rFonts w:hint="default" w:ascii="Times New Roman" w:hAnsi="Times New Roman" w:eastAsia="宋体" w:cs="Times New Roman"/>
                      <w:color w:val="auto"/>
                      <w:kern w:val="2"/>
                      <w:sz w:val="21"/>
                      <w:szCs w:val="21"/>
                      <w:highlight w:val="none"/>
                      <w:lang w:val="en-US" w:eastAsia="zh-CN" w:bidi="ar-SA"/>
                    </w:rPr>
                    <w:t>宣汉县</w:t>
                  </w:r>
                </w:p>
              </w:tc>
              <w:tc>
                <w:tcPr>
                  <w:tcW w:w="683" w:type="pct"/>
                  <w:vAlign w:val="center"/>
                </w:tcPr>
                <w:p>
                  <w:pPr>
                    <w:pStyle w:val="26"/>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Style w:val="21"/>
                      <w:rFonts w:hint="default" w:ascii="Times New Roman" w:hAnsi="Times New Roman" w:eastAsia="宋体" w:cs="Times New Roman"/>
                      <w:color w:val="auto"/>
                      <w:kern w:val="2"/>
                      <w:sz w:val="21"/>
                      <w:szCs w:val="21"/>
                      <w:highlight w:val="none"/>
                      <w:lang w:val="en-US" w:eastAsia="zh-CN" w:bidi="ar-SA"/>
                    </w:rPr>
                    <w:t>水环境管控分区</w:t>
                  </w:r>
                </w:p>
              </w:tc>
              <w:tc>
                <w:tcPr>
                  <w:tcW w:w="1155" w:type="pct"/>
                  <w:vAlign w:val="center"/>
                </w:tcPr>
                <w:p>
                  <w:pPr>
                    <w:pStyle w:val="26"/>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Style w:val="21"/>
                      <w:rFonts w:hint="default" w:ascii="Times New Roman" w:hAnsi="Times New Roman" w:eastAsia="宋体" w:cs="Times New Roman"/>
                      <w:color w:val="auto"/>
                      <w:kern w:val="2"/>
                      <w:sz w:val="21"/>
                      <w:szCs w:val="21"/>
                      <w:highlight w:val="none"/>
                      <w:lang w:val="en-US" w:eastAsia="zh-CN" w:bidi="ar-SA"/>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leftChars="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651" w:type="pct"/>
                  <w:vAlign w:val="center"/>
                </w:tcPr>
                <w:p>
                  <w:pPr>
                    <w:pStyle w:val="26"/>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Style w:val="21"/>
                      <w:rFonts w:hint="default" w:ascii="Times New Roman" w:hAnsi="Times New Roman" w:eastAsia="宋体" w:cs="Times New Roman"/>
                      <w:color w:val="auto"/>
                      <w:kern w:val="2"/>
                      <w:sz w:val="21"/>
                      <w:szCs w:val="21"/>
                      <w:highlight w:val="none"/>
                      <w:lang w:val="en-US" w:eastAsia="zh-CN" w:bidi="ar-SA"/>
                    </w:rPr>
                    <w:t>YS5117222330002</w:t>
                  </w:r>
                </w:p>
              </w:tc>
              <w:tc>
                <w:tcPr>
                  <w:tcW w:w="962" w:type="pct"/>
                  <w:vAlign w:val="center"/>
                </w:tcPr>
                <w:p>
                  <w:pPr>
                    <w:pStyle w:val="26"/>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Style w:val="21"/>
                      <w:rFonts w:hint="default" w:ascii="Times New Roman" w:hAnsi="Times New Roman" w:eastAsia="宋体" w:cs="Times New Roman"/>
                      <w:color w:val="auto"/>
                      <w:kern w:val="2"/>
                      <w:sz w:val="21"/>
                      <w:szCs w:val="21"/>
                      <w:highlight w:val="none"/>
                      <w:lang w:val="en-US" w:eastAsia="zh-CN" w:bidi="ar-SA"/>
                    </w:rPr>
                    <w:t>宣汉县大气环境弱扩散重点管控区</w:t>
                  </w:r>
                </w:p>
              </w:tc>
              <w:tc>
                <w:tcPr>
                  <w:tcW w:w="624" w:type="pct"/>
                  <w:vAlign w:val="center"/>
                </w:tcPr>
                <w:p>
                  <w:pPr>
                    <w:pStyle w:val="26"/>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Style w:val="21"/>
                      <w:rFonts w:hint="default" w:ascii="Times New Roman" w:hAnsi="Times New Roman" w:eastAsia="宋体" w:cs="Times New Roman"/>
                      <w:color w:val="auto"/>
                      <w:kern w:val="2"/>
                      <w:sz w:val="21"/>
                      <w:szCs w:val="21"/>
                      <w:highlight w:val="none"/>
                      <w:lang w:val="en-US" w:eastAsia="zh-CN" w:bidi="ar-SA"/>
                    </w:rPr>
                    <w:t>达州市</w:t>
                  </w:r>
                </w:p>
              </w:tc>
              <w:tc>
                <w:tcPr>
                  <w:tcW w:w="676" w:type="pct"/>
                  <w:vAlign w:val="center"/>
                </w:tcPr>
                <w:p>
                  <w:pPr>
                    <w:pStyle w:val="26"/>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Style w:val="21"/>
                      <w:rFonts w:hint="default" w:ascii="Times New Roman" w:hAnsi="Times New Roman" w:eastAsia="宋体" w:cs="Times New Roman"/>
                      <w:color w:val="auto"/>
                      <w:kern w:val="2"/>
                      <w:sz w:val="21"/>
                      <w:szCs w:val="21"/>
                      <w:highlight w:val="none"/>
                      <w:lang w:val="en-US" w:eastAsia="zh-CN" w:bidi="ar-SA"/>
                    </w:rPr>
                    <w:t>宣汉县</w:t>
                  </w:r>
                </w:p>
              </w:tc>
              <w:tc>
                <w:tcPr>
                  <w:tcW w:w="683" w:type="pct"/>
                  <w:vAlign w:val="center"/>
                </w:tcPr>
                <w:p>
                  <w:pPr>
                    <w:pStyle w:val="26"/>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Style w:val="21"/>
                      <w:rFonts w:hint="default" w:ascii="Times New Roman" w:hAnsi="Times New Roman" w:eastAsia="宋体" w:cs="Times New Roman"/>
                      <w:color w:val="auto"/>
                      <w:kern w:val="2"/>
                      <w:sz w:val="21"/>
                      <w:szCs w:val="21"/>
                      <w:highlight w:val="none"/>
                      <w:lang w:val="en-US" w:eastAsia="zh-CN" w:bidi="ar-SA"/>
                    </w:rPr>
                    <w:t>大气环境管控分区</w:t>
                  </w:r>
                </w:p>
              </w:tc>
              <w:tc>
                <w:tcPr>
                  <w:tcW w:w="1155" w:type="pct"/>
                  <w:vAlign w:val="center"/>
                </w:tcPr>
                <w:p>
                  <w:pPr>
                    <w:pStyle w:val="26"/>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Style w:val="21"/>
                      <w:rFonts w:hint="default" w:ascii="Times New Roman" w:hAnsi="Times New Roman" w:eastAsia="宋体" w:cs="Times New Roman"/>
                      <w:color w:val="auto"/>
                      <w:kern w:val="2"/>
                      <w:sz w:val="21"/>
                      <w:szCs w:val="21"/>
                      <w:highlight w:val="none"/>
                      <w:lang w:val="en-US" w:eastAsia="zh-CN" w:bidi="ar-SA"/>
                    </w:rPr>
                    <w:t>大气环境弱扩散重点管控区</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316855" cy="3674745"/>
                  <wp:effectExtent l="0" t="0" r="17145"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316855" cy="367474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cs="Times New Roman"/>
                <w:color w:val="auto"/>
                <w:highlight w:val="none"/>
              </w:rPr>
            </w:pPr>
            <w:r>
              <w:rPr>
                <w:rFonts w:hint="default" w:ascii="Times New Roman" w:hAnsi="Times New Roman" w:eastAsia="黑体" w:cs="Times New Roman"/>
                <w:color w:val="auto"/>
                <w:szCs w:val="21"/>
                <w:highlight w:val="none"/>
              </w:rPr>
              <w:t>图1-</w:t>
            </w:r>
            <w:r>
              <w:rPr>
                <w:rFonts w:hint="default" w:ascii="Times New Roman" w:hAnsi="Times New Roman" w:eastAsia="黑体" w:cs="Times New Roman"/>
                <w:color w:val="auto"/>
                <w:szCs w:val="21"/>
                <w:highlight w:val="none"/>
                <w:lang w:val="en-US" w:eastAsia="zh-CN"/>
              </w:rPr>
              <w:t>2</w:t>
            </w:r>
            <w:r>
              <w:rPr>
                <w:rFonts w:hint="eastAsia" w:ascii="Times New Roman" w:hAnsi="Times New Roman" w:eastAsia="黑体" w:cs="Times New Roman"/>
                <w:color w:val="auto"/>
                <w:szCs w:val="21"/>
                <w:highlight w:val="none"/>
                <w:lang w:val="en-US" w:eastAsia="zh-CN"/>
              </w:rPr>
              <w:t xml:space="preserve"> </w:t>
            </w:r>
            <w:r>
              <w:rPr>
                <w:rFonts w:hint="default" w:ascii="Times New Roman" w:hAnsi="Times New Roman" w:eastAsia="黑体" w:cs="Times New Roman"/>
                <w:color w:val="auto"/>
                <w:szCs w:val="21"/>
                <w:highlight w:val="none"/>
              </w:rPr>
              <w:t>项目</w:t>
            </w:r>
            <w:r>
              <w:rPr>
                <w:rFonts w:hint="eastAsia" w:ascii="Times New Roman" w:hAnsi="Times New Roman" w:eastAsia="黑体" w:cs="Times New Roman"/>
                <w:color w:val="auto"/>
                <w:szCs w:val="21"/>
                <w:highlight w:val="none"/>
                <w:lang w:val="en-US" w:eastAsia="zh-CN"/>
              </w:rPr>
              <w:t>供水厂</w:t>
            </w:r>
            <w:r>
              <w:rPr>
                <w:rFonts w:hint="default" w:ascii="Times New Roman" w:hAnsi="Times New Roman" w:eastAsia="黑体" w:cs="Times New Roman"/>
                <w:color w:val="auto"/>
                <w:szCs w:val="21"/>
                <w:highlight w:val="none"/>
              </w:rPr>
              <w:t>“三线一单”符合性分析查询截图</w:t>
            </w:r>
          </w:p>
          <w:p>
            <w:pPr>
              <w:keepNext w:val="0"/>
              <w:keepLines w:val="0"/>
              <w:pageBreakBefore w:val="0"/>
              <w:suppressLineNumbers w:val="0"/>
              <w:kinsoku/>
              <w:wordWrap/>
              <w:overflowPunct/>
              <w:topLinePunct w:val="0"/>
              <w:autoSpaceDE/>
              <w:autoSpaceDN/>
              <w:bidi w:val="0"/>
              <w:adjustRightInd w:val="0"/>
              <w:spacing w:beforeAutospacing="0" w:afterAutospacing="0" w:line="360" w:lineRule="auto"/>
              <w:ind w:left="0" w:leftChars="0" w:right="0" w:firstLine="470" w:firstLineChars="196"/>
              <w:textAlignment w:val="baseline"/>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本项目与管控单元相对位置如下图：</w:t>
            </w:r>
          </w:p>
          <w:p>
            <w:pPr>
              <w:keepNext w:val="0"/>
              <w:keepLines w:val="0"/>
              <w:pageBreakBefore w:val="0"/>
              <w:suppressLineNumbers w:val="0"/>
              <w:kinsoku/>
              <w:wordWrap/>
              <w:overflowPunct/>
              <w:topLinePunct w:val="0"/>
              <w:autoSpaceDE/>
              <w:autoSpaceDN/>
              <w:bidi w:val="0"/>
              <w:adjustRightInd w:val="0"/>
              <w:spacing w:beforeAutospacing="0" w:afterAutospacing="0" w:line="360" w:lineRule="auto"/>
              <w:ind w:left="0" w:leftChars="0" w:right="0"/>
              <w:jc w:val="center"/>
              <w:textAlignment w:val="baseline"/>
              <w:rPr>
                <w:rFonts w:hint="default" w:ascii="Times New Roman" w:hAnsi="Times New Roman" w:eastAsia="黑体" w:cs="Times New Roman"/>
                <w:color w:val="auto"/>
                <w:szCs w:val="21"/>
                <w:highlight w:val="none"/>
              </w:rPr>
            </w:pPr>
            <w:r>
              <w:rPr>
                <w:rFonts w:hint="default" w:ascii="Times New Roman" w:hAnsi="Times New Roman" w:eastAsia="Helvetica" w:cs="Times New Roman"/>
                <w:color w:val="auto"/>
                <w:sz w:val="28"/>
                <w:szCs w:val="24"/>
                <w:highlight w:val="none"/>
              </w:rPr>
              <w:drawing>
                <wp:inline distT="0" distB="0" distL="114300" distR="114300">
                  <wp:extent cx="5256530" cy="3154045"/>
                  <wp:effectExtent l="0" t="0" r="1270" b="825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7"/>
                          <a:stretch>
                            <a:fillRect/>
                          </a:stretch>
                        </pic:blipFill>
                        <pic:spPr>
                          <a:xfrm>
                            <a:off x="0" y="0"/>
                            <a:ext cx="5256530" cy="315404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cs="Times New Roman"/>
                <w:color w:val="auto"/>
                <w:highlight w:val="none"/>
              </w:rPr>
            </w:pPr>
            <w:r>
              <w:rPr>
                <w:rFonts w:hint="default" w:ascii="Times New Roman" w:hAnsi="Times New Roman" w:eastAsia="黑体" w:cs="Times New Roman"/>
                <w:color w:val="auto"/>
                <w:szCs w:val="21"/>
                <w:highlight w:val="none"/>
              </w:rPr>
              <w:t>图1-</w:t>
            </w:r>
            <w:r>
              <w:rPr>
                <w:rFonts w:hint="default" w:ascii="Times New Roman" w:hAnsi="Times New Roman" w:eastAsia="黑体" w:cs="Times New Roman"/>
                <w:color w:val="auto"/>
                <w:szCs w:val="21"/>
                <w:highlight w:val="none"/>
                <w:lang w:val="en-US" w:eastAsia="zh-CN"/>
              </w:rPr>
              <w:t>3</w:t>
            </w:r>
            <w:r>
              <w:rPr>
                <w:rFonts w:hint="eastAsia" w:ascii="Times New Roman" w:hAnsi="Times New Roman" w:eastAsia="黑体" w:cs="Times New Roman"/>
                <w:color w:val="auto"/>
                <w:szCs w:val="21"/>
                <w:highlight w:val="none"/>
                <w:lang w:val="en-US" w:eastAsia="zh-CN"/>
              </w:rPr>
              <w:t xml:space="preserve"> </w:t>
            </w:r>
            <w:r>
              <w:rPr>
                <w:rFonts w:hint="default" w:ascii="Times New Roman" w:hAnsi="Times New Roman" w:eastAsia="黑体" w:cs="Times New Roman"/>
                <w:color w:val="auto"/>
                <w:szCs w:val="21"/>
                <w:highlight w:val="none"/>
              </w:rPr>
              <w:t>项目</w:t>
            </w:r>
            <w:r>
              <w:rPr>
                <w:rFonts w:hint="eastAsia" w:ascii="Times New Roman" w:hAnsi="Times New Roman" w:eastAsia="黑体" w:cs="Times New Roman"/>
                <w:color w:val="auto"/>
                <w:szCs w:val="21"/>
                <w:highlight w:val="none"/>
                <w:lang w:val="en-US" w:eastAsia="zh-CN"/>
              </w:rPr>
              <w:t>供水厂</w:t>
            </w:r>
            <w:r>
              <w:rPr>
                <w:rFonts w:hint="default" w:ascii="Times New Roman" w:hAnsi="Times New Roman" w:eastAsia="黑体" w:cs="Times New Roman"/>
                <w:color w:val="auto"/>
                <w:szCs w:val="21"/>
                <w:highlight w:val="none"/>
              </w:rPr>
              <w:t>与管控单元相对位置图</w:t>
            </w:r>
            <w:r>
              <w:rPr>
                <w:color w:val="auto"/>
                <w:highlight w:val="none"/>
              </w:rPr>
              <w:drawing>
                <wp:inline distT="0" distB="0" distL="114300" distR="114300">
                  <wp:extent cx="5499100" cy="3815080"/>
                  <wp:effectExtent l="0" t="0" r="6350" b="1397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8"/>
                          <a:srcRect t="7315" b="5826"/>
                          <a:stretch>
                            <a:fillRect/>
                          </a:stretch>
                        </pic:blipFill>
                        <pic:spPr>
                          <a:xfrm>
                            <a:off x="0" y="0"/>
                            <a:ext cx="5499100" cy="3815080"/>
                          </a:xfrm>
                          <a:prstGeom prst="rect">
                            <a:avLst/>
                          </a:prstGeom>
                          <a:noFill/>
                          <a:ln>
                            <a:noFill/>
                          </a:ln>
                        </pic:spPr>
                      </pic:pic>
                    </a:graphicData>
                  </a:graphic>
                </wp:inline>
              </w:drawing>
            </w:r>
            <w:r>
              <w:rPr>
                <w:rFonts w:hint="default" w:ascii="Times New Roman" w:hAnsi="Times New Roman" w:eastAsia="黑体" w:cs="Times New Roman"/>
                <w:color w:val="auto"/>
                <w:szCs w:val="21"/>
                <w:highlight w:val="none"/>
              </w:rPr>
              <w:t>图1-</w:t>
            </w:r>
            <w:r>
              <w:rPr>
                <w:rFonts w:hint="eastAsia" w:ascii="Times New Roman" w:hAnsi="Times New Roman" w:eastAsia="黑体" w:cs="Times New Roman"/>
                <w:color w:val="auto"/>
                <w:szCs w:val="21"/>
                <w:highlight w:val="none"/>
                <w:lang w:val="en-US" w:eastAsia="zh-CN"/>
              </w:rPr>
              <w:t xml:space="preserve">4 </w:t>
            </w:r>
            <w:r>
              <w:rPr>
                <w:rFonts w:hint="default" w:ascii="Times New Roman" w:hAnsi="Times New Roman" w:eastAsia="黑体" w:cs="Times New Roman"/>
                <w:color w:val="auto"/>
                <w:szCs w:val="21"/>
                <w:highlight w:val="none"/>
              </w:rPr>
              <w:t>项目</w:t>
            </w:r>
            <w:r>
              <w:rPr>
                <w:rFonts w:hint="eastAsia" w:ascii="Times New Roman" w:hAnsi="Times New Roman" w:eastAsia="黑体" w:cs="Times New Roman"/>
                <w:color w:val="auto"/>
                <w:szCs w:val="21"/>
                <w:highlight w:val="none"/>
                <w:lang w:val="en-US" w:eastAsia="zh-CN"/>
              </w:rPr>
              <w:t>取水泵房</w:t>
            </w:r>
            <w:r>
              <w:rPr>
                <w:rFonts w:hint="default" w:ascii="Times New Roman" w:hAnsi="Times New Roman" w:eastAsia="黑体" w:cs="Times New Roman"/>
                <w:color w:val="auto"/>
                <w:szCs w:val="21"/>
                <w:highlight w:val="none"/>
              </w:rPr>
              <w:t>“三线一单”符合性分析查询截图</w:t>
            </w:r>
          </w:p>
          <w:p>
            <w:pPr>
              <w:keepNext w:val="0"/>
              <w:keepLines w:val="0"/>
              <w:pageBreakBefore w:val="0"/>
              <w:suppressLineNumbers w:val="0"/>
              <w:kinsoku/>
              <w:wordWrap/>
              <w:overflowPunct/>
              <w:topLinePunct w:val="0"/>
              <w:autoSpaceDE/>
              <w:autoSpaceDN/>
              <w:bidi w:val="0"/>
              <w:adjustRightInd w:val="0"/>
              <w:spacing w:beforeAutospacing="0" w:afterAutospacing="0" w:line="360" w:lineRule="auto"/>
              <w:ind w:left="0" w:leftChars="0" w:right="0"/>
              <w:jc w:val="center"/>
              <w:textAlignment w:val="baseline"/>
              <w:rPr>
                <w:rFonts w:hint="default" w:ascii="Helvetica" w:hAnsi="Helvetica" w:eastAsia="Helvetica"/>
                <w:color w:val="auto"/>
                <w:sz w:val="28"/>
                <w:szCs w:val="24"/>
                <w:highlight w:val="none"/>
              </w:rPr>
            </w:pPr>
            <w:r>
              <w:rPr>
                <w:rFonts w:hint="default" w:ascii="Helvetica" w:hAnsi="Helvetica" w:eastAsia="Helvetica"/>
                <w:color w:val="auto"/>
                <w:sz w:val="28"/>
                <w:szCs w:val="24"/>
                <w:highlight w:val="none"/>
              </w:rPr>
              <w:drawing>
                <wp:inline distT="0" distB="0" distL="114300" distR="114300">
                  <wp:extent cx="5425440" cy="3255645"/>
                  <wp:effectExtent l="0" t="0" r="3810" b="190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9"/>
                          <a:stretch>
                            <a:fillRect/>
                          </a:stretch>
                        </pic:blipFill>
                        <pic:spPr>
                          <a:xfrm>
                            <a:off x="0" y="0"/>
                            <a:ext cx="5425440" cy="3255645"/>
                          </a:xfrm>
                          <a:prstGeom prst="rect">
                            <a:avLst/>
                          </a:prstGeom>
                          <a:noFill/>
                          <a:ln>
                            <a:noFill/>
                          </a:ln>
                        </pic:spPr>
                      </pic:pic>
                    </a:graphicData>
                  </a:graphic>
                </wp:inline>
              </w:drawing>
            </w:r>
          </w:p>
          <w:p>
            <w:pPr>
              <w:keepNext w:val="0"/>
              <w:keepLines w:val="0"/>
              <w:pageBreakBefore w:val="0"/>
              <w:suppressLineNumbers w:val="0"/>
              <w:kinsoku/>
              <w:wordWrap/>
              <w:overflowPunct/>
              <w:topLinePunct w:val="0"/>
              <w:autoSpaceDE/>
              <w:autoSpaceDN/>
              <w:bidi w:val="0"/>
              <w:adjustRightInd w:val="0"/>
              <w:spacing w:beforeAutospacing="0" w:afterAutospacing="0" w:line="360" w:lineRule="auto"/>
              <w:ind w:left="0" w:leftChars="0" w:right="0"/>
              <w:jc w:val="center"/>
              <w:textAlignment w:val="baseline"/>
              <w:rPr>
                <w:rFonts w:hint="default" w:ascii="Times New Roman" w:hAnsi="Times New Roman" w:cs="Times New Roman"/>
                <w:color w:val="auto"/>
                <w:sz w:val="24"/>
                <w:szCs w:val="24"/>
                <w:highlight w:val="none"/>
                <w:lang w:val="en-US" w:eastAsia="zh-CN"/>
              </w:rPr>
            </w:pPr>
            <w:r>
              <w:rPr>
                <w:rFonts w:hint="default" w:ascii="Times New Roman" w:hAnsi="Times New Roman" w:eastAsia="黑体" w:cs="Times New Roman"/>
                <w:color w:val="auto"/>
                <w:szCs w:val="21"/>
                <w:highlight w:val="none"/>
              </w:rPr>
              <w:t>图1-</w:t>
            </w:r>
            <w:r>
              <w:rPr>
                <w:rFonts w:hint="eastAsia" w:ascii="Times New Roman" w:hAnsi="Times New Roman" w:eastAsia="黑体" w:cs="Times New Roman"/>
                <w:color w:val="auto"/>
                <w:szCs w:val="21"/>
                <w:highlight w:val="none"/>
                <w:lang w:val="en-US" w:eastAsia="zh-CN"/>
              </w:rPr>
              <w:t xml:space="preserve">5 </w:t>
            </w:r>
            <w:r>
              <w:rPr>
                <w:rFonts w:hint="default" w:ascii="Times New Roman" w:hAnsi="Times New Roman" w:eastAsia="黑体" w:cs="Times New Roman"/>
                <w:color w:val="auto"/>
                <w:szCs w:val="21"/>
                <w:highlight w:val="none"/>
              </w:rPr>
              <w:t>项目</w:t>
            </w:r>
            <w:r>
              <w:rPr>
                <w:rFonts w:hint="eastAsia" w:ascii="Times New Roman" w:hAnsi="Times New Roman" w:eastAsia="黑体" w:cs="Times New Roman"/>
                <w:color w:val="auto"/>
                <w:szCs w:val="21"/>
                <w:highlight w:val="none"/>
                <w:lang w:val="en-US" w:eastAsia="zh-CN"/>
              </w:rPr>
              <w:t>取水泵房</w:t>
            </w:r>
            <w:r>
              <w:rPr>
                <w:rFonts w:hint="default" w:ascii="Times New Roman" w:hAnsi="Times New Roman" w:eastAsia="黑体" w:cs="Times New Roman"/>
                <w:color w:val="auto"/>
                <w:szCs w:val="21"/>
                <w:highlight w:val="none"/>
              </w:rPr>
              <w:t>与管控单元相对位置图</w:t>
            </w:r>
          </w:p>
        </w:tc>
      </w:tr>
    </w:tbl>
    <w:p>
      <w:pPr>
        <w:keepNext w:val="0"/>
        <w:keepLines w:val="0"/>
        <w:pageBreakBefore w:val="0"/>
        <w:kinsoku/>
        <w:wordWrap/>
        <w:topLinePunct w:val="0"/>
        <w:bidi w:val="0"/>
        <w:spacing w:line="360" w:lineRule="auto"/>
        <w:ind w:left="0" w:leftChars="0"/>
        <w:rPr>
          <w:rFonts w:hint="default" w:ascii="Times New Roman" w:hAnsi="Times New Roman" w:cs="Times New Roman"/>
          <w:color w:val="auto"/>
          <w:sz w:val="24"/>
          <w:szCs w:val="32"/>
          <w:highlight w:val="none"/>
          <w:lang w:eastAsia="zh-CN"/>
        </w:rPr>
        <w:sectPr>
          <w:footerReference r:id="rId3" w:type="default"/>
          <w:pgSz w:w="11906" w:h="16838"/>
          <w:pgMar w:top="1440" w:right="1361" w:bottom="1440" w:left="1361"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tbl>
      <w:tblPr>
        <w:tblStyle w:val="20"/>
        <w:tblW w:w="13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13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dxa"/>
          </w:tcPr>
          <w:p>
            <w:pPr>
              <w:keepNext w:val="0"/>
              <w:keepLines w:val="0"/>
              <w:pageBreakBefore w:val="0"/>
              <w:suppressLineNumbers w:val="0"/>
              <w:tabs>
                <w:tab w:val="left" w:pos="2040"/>
              </w:tabs>
              <w:kinsoku/>
              <w:wordWrap/>
              <w:topLinePunct w:val="0"/>
              <w:bidi w:val="0"/>
              <w:spacing w:beforeAutospacing="0" w:afterAutospacing="0" w:line="360" w:lineRule="auto"/>
              <w:ind w:left="0" w:leftChars="0" w:right="0"/>
              <w:rPr>
                <w:rFonts w:hint="default" w:ascii="Times New Roman" w:hAnsi="Times New Roman" w:cs="Times New Roman"/>
                <w:bCs/>
                <w:color w:val="auto"/>
                <w:sz w:val="24"/>
                <w:szCs w:val="24"/>
                <w:highlight w:val="none"/>
                <w:vertAlign w:val="baseline"/>
              </w:rPr>
            </w:pPr>
            <w:r>
              <w:rPr>
                <w:rFonts w:hint="default" w:ascii="Times New Roman" w:hAnsi="Times New Roman" w:cs="Times New Roman"/>
                <w:color w:val="auto"/>
                <w:sz w:val="24"/>
                <w:szCs w:val="24"/>
                <w:highlight w:val="none"/>
              </w:rPr>
              <w:t>其他符合性分析</w:t>
            </w:r>
          </w:p>
        </w:tc>
        <w:tc>
          <w:tcPr>
            <w:tcW w:w="13515" w:type="dxa"/>
          </w:tcPr>
          <w:p>
            <w:pPr>
              <w:keepNext w:val="0"/>
              <w:keepLines w:val="0"/>
              <w:pageBreakBefore w:val="0"/>
              <w:suppressLineNumbers w:val="0"/>
              <w:kinsoku/>
              <w:wordWrap/>
              <w:overflowPunct/>
              <w:topLinePunct w:val="0"/>
              <w:autoSpaceDE/>
              <w:autoSpaceDN/>
              <w:bidi w:val="0"/>
              <w:adjustRightInd w:val="0"/>
              <w:spacing w:beforeAutospacing="0" w:afterAutospacing="0" w:line="360" w:lineRule="auto"/>
              <w:ind w:left="0" w:leftChars="0" w:right="0" w:firstLine="470" w:firstLineChars="196"/>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本</w:t>
            </w:r>
            <w:r>
              <w:rPr>
                <w:rFonts w:hint="default" w:ascii="Times New Roman" w:hAnsi="Times New Roman" w:cs="Times New Roman"/>
                <w:color w:val="auto"/>
                <w:sz w:val="24"/>
                <w:highlight w:val="none"/>
              </w:rPr>
              <w:t>项目与</w:t>
            </w:r>
            <w:r>
              <w:rPr>
                <w:rFonts w:hint="default" w:ascii="Times New Roman" w:hAnsi="Times New Roman" w:cs="Times New Roman"/>
                <w:color w:val="auto"/>
                <w:sz w:val="24"/>
                <w:highlight w:val="none"/>
                <w:lang w:val="en-US" w:eastAsia="zh-CN"/>
              </w:rPr>
              <w:t>上述</w:t>
            </w:r>
            <w:r>
              <w:rPr>
                <w:rFonts w:hint="default" w:ascii="Times New Roman" w:hAnsi="Times New Roman" w:cs="Times New Roman"/>
                <w:color w:val="auto"/>
                <w:sz w:val="24"/>
                <w:highlight w:val="none"/>
              </w:rPr>
              <w:t>管控单元</w:t>
            </w:r>
            <w:r>
              <w:rPr>
                <w:rFonts w:hint="default" w:ascii="Times New Roman" w:hAnsi="Times New Roman" w:cs="Times New Roman"/>
                <w:color w:val="auto"/>
                <w:sz w:val="24"/>
                <w:highlight w:val="none"/>
                <w:lang w:val="en-US" w:eastAsia="zh-CN"/>
              </w:rPr>
              <w:t>符合性分析见下表</w:t>
            </w:r>
            <w:r>
              <w:rPr>
                <w:rFonts w:hint="default" w:ascii="Times New Roman" w:hAnsi="Times New Roman" w:cs="Times New Roman"/>
                <w:color w:val="auto"/>
                <w:sz w:val="24"/>
                <w:highlight w:val="none"/>
              </w:rPr>
              <w:t>。</w:t>
            </w:r>
          </w:p>
          <w:p>
            <w:pPr>
              <w:keepNext w:val="0"/>
              <w:keepLines w:val="0"/>
              <w:pageBreakBefore w:val="0"/>
              <w:suppressLineNumbers w:val="0"/>
              <w:kinsoku/>
              <w:wordWrap/>
              <w:topLinePunct w:val="0"/>
              <w:bidi w:val="0"/>
              <w:adjustRightInd w:val="0"/>
              <w:spacing w:beforeAutospacing="0" w:afterAutospacing="0" w:line="360" w:lineRule="auto"/>
              <w:ind w:left="0" w:leftChars="0" w:right="0"/>
              <w:jc w:val="center"/>
              <w:textAlignment w:val="baseline"/>
              <w:rPr>
                <w:rFonts w:hint="default" w:ascii="Times New Roman" w:hAnsi="Times New Roman" w:eastAsia="黑体" w:cs="Times New Roman"/>
                <w:color w:val="auto"/>
                <w:szCs w:val="21"/>
                <w:highlight w:val="none"/>
                <w:lang w:eastAsia="zh-CN"/>
              </w:rPr>
            </w:pPr>
            <w:r>
              <w:rPr>
                <w:rFonts w:hint="default" w:ascii="Times New Roman" w:hAnsi="Times New Roman" w:eastAsia="黑体" w:cs="Times New Roman"/>
                <w:color w:val="auto"/>
                <w:szCs w:val="21"/>
                <w:highlight w:val="none"/>
                <w:lang w:eastAsia="zh-CN"/>
              </w:rPr>
              <w:t>表1-</w:t>
            </w:r>
            <w:r>
              <w:rPr>
                <w:rFonts w:hint="default" w:ascii="Times New Roman" w:hAnsi="Times New Roman" w:eastAsia="黑体" w:cs="Times New Roman"/>
                <w:color w:val="auto"/>
                <w:szCs w:val="21"/>
                <w:highlight w:val="none"/>
                <w:lang w:val="en-US" w:eastAsia="zh-CN"/>
              </w:rPr>
              <w:t xml:space="preserve">6 </w:t>
            </w:r>
            <w:r>
              <w:rPr>
                <w:rFonts w:hint="default" w:ascii="Times New Roman" w:hAnsi="Times New Roman" w:eastAsia="黑体" w:cs="Times New Roman"/>
                <w:color w:val="auto"/>
                <w:szCs w:val="21"/>
                <w:highlight w:val="none"/>
                <w:lang w:eastAsia="zh-CN"/>
              </w:rPr>
              <w:t>本项目与所涉及环境管控单元符合性分析一览表</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840"/>
              <w:gridCol w:w="4864"/>
              <w:gridCol w:w="1095"/>
              <w:gridCol w:w="3011"/>
              <w:gridCol w:w="2029"/>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1" w:type="pct"/>
                  <w:gridSpan w:val="5"/>
                  <w:noWrap w:val="0"/>
                  <w:vAlign w:val="center"/>
                </w:tcPr>
                <w:p>
                  <w:pPr>
                    <w:keepNext w:val="0"/>
                    <w:keepLines w:val="0"/>
                    <w:pageBreakBefore w:val="0"/>
                    <w:widowControl/>
                    <w:kinsoku/>
                    <w:wordWrap/>
                    <w:topLinePunct w:val="0"/>
                    <w:bidi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sz w:val="21"/>
                      <w:szCs w:val="21"/>
                      <w:highlight w:val="none"/>
                    </w:rPr>
                    <w:t>“三线一单”的具体要求</w:t>
                  </w:r>
                </w:p>
              </w:tc>
              <w:tc>
                <w:tcPr>
                  <w:tcW w:w="763"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sz w:val="21"/>
                      <w:szCs w:val="21"/>
                      <w:highlight w:val="none"/>
                    </w:rPr>
                    <w:t>项目对应情况介绍</w:t>
                  </w:r>
                </w:p>
              </w:tc>
              <w:tc>
                <w:tcPr>
                  <w:tcW w:w="264"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sz w:val="21"/>
                      <w:szCs w:val="21"/>
                      <w:highlight w:val="none"/>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b/>
                      <w:bCs/>
                      <w:color w:val="auto"/>
                      <w:kern w:val="2"/>
                      <w:sz w:val="21"/>
                      <w:szCs w:val="21"/>
                      <w:highlight w:val="none"/>
                      <w:lang w:val="en-US" w:eastAsia="zh-CN" w:bidi="ar-SA"/>
                    </w:rPr>
                  </w:pPr>
                  <w:r>
                    <w:rPr>
                      <w:rStyle w:val="21"/>
                      <w:rFonts w:hint="default" w:ascii="Times New Roman" w:hAnsi="Times New Roman" w:eastAsia="宋体" w:cs="Times New Roman"/>
                      <w:b/>
                      <w:bCs/>
                      <w:color w:val="auto"/>
                      <w:kern w:val="2"/>
                      <w:sz w:val="21"/>
                      <w:szCs w:val="21"/>
                      <w:highlight w:val="none"/>
                      <w:lang w:val="en-US" w:eastAsia="zh-CN" w:bidi="ar-SA"/>
                    </w:rPr>
                    <w:t>环境管控单元编码</w:t>
                  </w:r>
                </w:p>
              </w:tc>
              <w:tc>
                <w:tcPr>
                  <w:tcW w:w="316"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b/>
                      <w:bCs/>
                      <w:color w:val="auto"/>
                      <w:kern w:val="2"/>
                      <w:sz w:val="21"/>
                      <w:szCs w:val="21"/>
                      <w:highlight w:val="none"/>
                      <w:lang w:val="en-US" w:eastAsia="zh-CN" w:bidi="ar-SA"/>
                    </w:rPr>
                  </w:pPr>
                  <w:r>
                    <w:rPr>
                      <w:rStyle w:val="21"/>
                      <w:rFonts w:hint="default" w:ascii="Times New Roman" w:hAnsi="Times New Roman" w:eastAsia="宋体" w:cs="Times New Roman"/>
                      <w:b/>
                      <w:bCs/>
                      <w:color w:val="auto"/>
                      <w:kern w:val="2"/>
                      <w:sz w:val="21"/>
                      <w:szCs w:val="21"/>
                      <w:highlight w:val="none"/>
                      <w:lang w:val="en-US" w:eastAsia="zh-CN" w:bidi="ar-SA"/>
                    </w:rPr>
                    <w:t>环境管控单元名称</w:t>
                  </w:r>
                </w:p>
              </w:tc>
              <w:tc>
                <w:tcPr>
                  <w:tcW w:w="1831" w:type="pct"/>
                  <w:noWrap w:val="0"/>
                  <w:vAlign w:val="center"/>
                </w:tcPr>
                <w:p>
                  <w:pPr>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达州市普适性清单</w:t>
                  </w:r>
                </w:p>
              </w:tc>
              <w:tc>
                <w:tcPr>
                  <w:tcW w:w="412" w:type="pct"/>
                  <w:noWrap w:val="0"/>
                  <w:vAlign w:val="center"/>
                </w:tcPr>
                <w:p>
                  <w:pPr>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管控类别</w:t>
                  </w:r>
                </w:p>
              </w:tc>
              <w:tc>
                <w:tcPr>
                  <w:tcW w:w="1133" w:type="pct"/>
                  <w:noWrap w:val="0"/>
                  <w:vAlign w:val="center"/>
                </w:tcPr>
                <w:p>
                  <w:pPr>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单元特性管控要求</w:t>
                  </w:r>
                </w:p>
              </w:tc>
              <w:tc>
                <w:tcPr>
                  <w:tcW w:w="763" w:type="pct"/>
                  <w:vMerge w:val="continue"/>
                  <w:noWrap w:val="0"/>
                  <w:vAlign w:val="center"/>
                </w:tcPr>
                <w:p>
                  <w:pPr>
                    <w:keepNext w:val="0"/>
                    <w:keepLines w:val="0"/>
                    <w:pageBreakBefore w:val="0"/>
                    <w:widowControl/>
                    <w:kinsoku/>
                    <w:wordWrap/>
                    <w:topLinePunct w:val="0"/>
                    <w:bidi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p>
              </w:tc>
              <w:tc>
                <w:tcPr>
                  <w:tcW w:w="264" w:type="pct"/>
                  <w:vMerge w:val="continue"/>
                  <w:noWrap w:val="0"/>
                  <w:vAlign w:val="center"/>
                </w:tcPr>
                <w:p>
                  <w:pPr>
                    <w:keepNext w:val="0"/>
                    <w:keepLines w:val="0"/>
                    <w:pageBreakBefore w:val="0"/>
                    <w:widowControl/>
                    <w:kinsoku/>
                    <w:wordWrap/>
                    <w:topLinePunct w:val="0"/>
                    <w:bidi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Merge w:val="restar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ZH51172230001</w:t>
                  </w:r>
                </w:p>
              </w:tc>
              <w:tc>
                <w:tcPr>
                  <w:tcW w:w="316" w:type="pct"/>
                  <w:vMerge w:val="restar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宣汉县一般管控单元</w:t>
                  </w:r>
                </w:p>
              </w:tc>
              <w:tc>
                <w:tcPr>
                  <w:tcW w:w="1831" w:type="pct"/>
                  <w:vMerge w:val="restart"/>
                  <w:noWrap w:val="0"/>
                  <w:vAlign w:val="center"/>
                </w:tcPr>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空间布局约束：</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禁止开发建设活动的要求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-禁止在长江干支流1公里范围内新建、扩建化工园区和化工项目。</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-禁止在法律法规规定的禁采区内新建矿山；禁止土法采、选、冶严重污染环境的矿产资源。</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-涉及永久基本农田的区域，除法律规定的重点建设项目选址确实无法避让外，其他任何建设不得占用。</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-禁止在长江流域河湖管理范围内倾倒、填埋、堆放、弃置、处理固体废物。</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限制开发建设活动的要求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-按照相关要求严控水泥新增产能。</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涉及法定保护地，严格按照国家及地方法律法规、管理办法等相关要求进行控制。配套旅游、基础设施等建设项目，在符合规划和相关保护要求的前提下，应实施生态避让、减缓影响及生态恢复措施。</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按照相关要求严控水泥新增产能。</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禁止在长江干流岸线三公里范围内和重要支流岸线一公里范围内新建、改建、扩建尾矿库；但是以提升安全、生态环境保护水平为目的的改建除外。</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针对现有水泥企业，强化污染治理和污染物减排，依法依规整治或搬迁。</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全面取缔禁养区内规模化畜禽养殖场。</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2025年基本完成全域内“散乱污”企业整治工作。</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在全市范围深入开展集中整治“散乱污”工业企业，对不符合产业政策和规划布局的，一律责令停产、限期搬迁或关停；</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其他空间布局约束要求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污染物排放管控：</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允许排放量要求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现有源提标升级改造</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加快现有乡镇污水处理设施升级改造，按要求达《城镇污水处理厂污染物排放标准》一级A标后排放。</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在矿产资源开发活动集中区域，废水执行重金属污染物排放特别限值。</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火电、水泥等行业按相关要求推进大气污染物超低排放和深度治理。</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砖瓦行业实施脱硫、除尘升级改造，污染物排放达到《砖瓦工业大气污染物排放标准》相关要求。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其他污染物排放管控要求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屠宰项目必须配套污水处理设施或进入城市污水管网。</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-到2023年底，力争全市生活垃圾焚烧处理能力占比达60%以上，各县（市）生活垃圾无害化处理率保持95%以上，乡镇及行政村生活垃圾收转运处置体系基本实现全覆盖。</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-到2025年，农药包装废弃物回收率达80%；粮油绿色高质高效示范区、茶叶主产区和现代农业园区农药包装废弃物回收率100%。</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-到2025年，全国主要农作物化肥、农药利用率达43%，测土配方施肥技术推广覆盖率保持在90%以上，控制农村面源污染，采取灌排分离等措施控制农田氮磷流失。</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-到2025年，废旧农膜回收利用率达到85%以上。</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环境风险防控：</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联防联控要求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其他环境风险防控要求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企业环境风险防控要求:工业企业退出用地，须经评估、修复满足相应用地功能后，方可改变用途。</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定期对单元内尾矿库进行风险巡查，建立监测系统和环境风险应急预案；完善各尾矿库渗滤液收集、处理、回用系统，杜绝事故排放；尾矿库闭矿后因地制宜进行植被恢复和综合利用。</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规范排土场、渣场等整治。禁止处理不达标的污泥进入耕地。</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严格控制林地、草地、园地的农药使用量，禁止使用高毒、高残留农药。</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到2030年，全市受污染耕地安全利用率达到95%以上，污染地块安全利用率达到95%以上。</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资源开发利用效率要求：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水资源利用总量要求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-到2025年，农田灌溉水有效利用系数达到0.57以上。</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地下水开采要求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以省市下发指标为准</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能源利用总量及效率要求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推进清洁能源的推广使用，全面推进散煤清洁化整治；禁止新建每小时10蒸吨以下的燃煤锅炉及其他燃煤设施。</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禁止焚烧秸秆和垃圾，到2025年底，秸秆综合利用率达到86%以上。</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-禁燃区内禁止销售、燃用高污染燃料；禁止新建、改建、扩建燃用高污染燃料的设施和设备。</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-禁燃区内已建成的高污染燃料燃用设施由辖区人民政府制定限期改造计划，改用天然气、页岩气、液化石油气、电或其他清洁能源。</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其他资源利用效率要求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tc>
              <w:tc>
                <w:tcPr>
                  <w:tcW w:w="412"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空间布局约束</w:t>
                  </w:r>
                </w:p>
              </w:tc>
              <w:tc>
                <w:tcPr>
                  <w:tcW w:w="1133"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禁止开发建设活动的要求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同达州市一般管控单元总体准入要求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限制开发建设活动的要求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对四川省主体功能区划中的农产品主产区，应限制进行大规模高强度工业化城镇化开发，严格控制有色金属冶炼、石油加工、化工、焦化、电镀、制革等产能，原则上不增加产能其他同达州市一般管控单元总体准入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允许开发建设活动的要求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不符合空间布局要求活动的退出要求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其他同达州市一般管控单元总体准入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其他空间布局约束要求</w:t>
                  </w:r>
                </w:p>
              </w:tc>
              <w:tc>
                <w:tcPr>
                  <w:tcW w:w="763"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Fonts w:eastAsia="宋体"/>
                      <w:color w:val="auto"/>
                      <w:sz w:val="21"/>
                      <w:highlight w:val="none"/>
                    </w:rPr>
                    <w:t>项目为自来水生产和供应，不属于禁止开发建设、限制开发建设项目</w:t>
                  </w:r>
                  <w:r>
                    <w:rPr>
                      <w:rFonts w:hint="eastAsia" w:eastAsia="宋体"/>
                      <w:color w:val="auto"/>
                      <w:sz w:val="21"/>
                      <w:highlight w:val="none"/>
                      <w:lang w:eastAsia="zh-CN"/>
                    </w:rPr>
                    <w:t>，</w:t>
                  </w:r>
                  <w:r>
                    <w:rPr>
                      <w:rFonts w:hint="eastAsia" w:eastAsia="宋体"/>
                      <w:color w:val="auto"/>
                      <w:sz w:val="21"/>
                      <w:highlight w:val="none"/>
                      <w:lang w:val="en-US" w:eastAsia="zh-CN"/>
                    </w:rPr>
                    <w:t>不属于</w:t>
                  </w:r>
                  <w:r>
                    <w:rPr>
                      <w:rFonts w:eastAsia="宋体"/>
                      <w:color w:val="auto"/>
                      <w:kern w:val="0"/>
                      <w:sz w:val="21"/>
                      <w:highlight w:val="none"/>
                    </w:rPr>
                    <w:t>不符合空间布局要求活动</w:t>
                  </w:r>
                  <w:r>
                    <w:rPr>
                      <w:rFonts w:hint="eastAsia" w:eastAsia="宋体"/>
                      <w:color w:val="auto"/>
                      <w:kern w:val="0"/>
                      <w:sz w:val="21"/>
                      <w:highlight w:val="none"/>
                      <w:lang w:val="en-US" w:eastAsia="zh-CN"/>
                    </w:rPr>
                    <w:t>需</w:t>
                  </w:r>
                  <w:r>
                    <w:rPr>
                      <w:rFonts w:eastAsia="宋体"/>
                      <w:color w:val="auto"/>
                      <w:kern w:val="0"/>
                      <w:sz w:val="21"/>
                      <w:highlight w:val="none"/>
                    </w:rPr>
                    <w:t>退出</w:t>
                  </w:r>
                  <w:r>
                    <w:rPr>
                      <w:rFonts w:hint="eastAsia" w:eastAsia="宋体"/>
                      <w:color w:val="auto"/>
                      <w:kern w:val="0"/>
                      <w:sz w:val="21"/>
                      <w:highlight w:val="none"/>
                      <w:lang w:val="en-US" w:eastAsia="zh-CN"/>
                    </w:rPr>
                    <w:t>的项目。</w:t>
                  </w:r>
                </w:p>
              </w:tc>
              <w:tc>
                <w:tcPr>
                  <w:tcW w:w="264"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ZH51172230001</w:t>
                  </w:r>
                </w:p>
              </w:tc>
              <w:tc>
                <w:tcPr>
                  <w:tcW w:w="316"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宣汉县一般管控单元</w:t>
                  </w:r>
                </w:p>
              </w:tc>
              <w:tc>
                <w:tcPr>
                  <w:tcW w:w="1831" w:type="pct"/>
                  <w:vMerge w:val="continue"/>
                  <w:noWrap w:val="0"/>
                  <w:vAlign w:val="center"/>
                </w:tcPr>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空间布局约束：</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-禁止在长江干支流1公里范围内新建、扩建化工园区和化工项目。</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-禁止在法律法规规定的禁采区内新建矿山；禁止土法采、选、冶严重污染环境的矿产资源。</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-涉及永久基本农田的区域，除法律规定的重点建设项目选址确实无法避让外，其他任何建设不得占用。</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-禁止在长江流域河湖管理范围内倾倒、填埋、堆放、弃置、处理固体废物。</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限制开发建设活动的要求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-按照相关要求严控水泥新增产能。</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涉及法定保护地，严格按照国家及地方法律法规、管理办法等相关要求进行控制。配套旅游、基础设施等建设项目，在符合规划和相关保护要求的前提下，应实施生态避让、减缓影响及生态恢复措施。</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按照相关要求严控水泥新增产能。</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禁止在长江干流岸线三公里范围内和重要支流岸线一公里范围内新建、改建、扩建尾矿库；但是以提升安全、生态环境保护水平为目的的改建除外。</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针对现有水泥企业，强化污染治理和污染物减排，依法依规整治或搬迁。</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全面取缔禁养区内规模化畜禽养殖场。</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2025年基本完成全域内“散乱污”企业整治工作。</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在全市范围深入开展集中整治“散乱污”工业企业，对不符合产业政策和规划布局的，一律责令停产、限期搬迁或关停；</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其他空间布局约束要求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污染物排放管控：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允许排放量要求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现有源提标升级改造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加快现有乡镇污水处理设施升级改造，按要求达《城镇污水处理厂污染物排放标准》一级A标后排放。</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在矿产资源开发活动集中区域，废水执行重金属污染物排放特别限值。</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火电、水泥等行业按相关要求推进大气污染物超低排放和深度治理。</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砖瓦行业实施脱硫、除尘升级改造，污染物排放达到《砖瓦工业大气污染物排放标准》相关要求。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其他污染物排放管控要求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屠宰项目必须配套污水处理设施或进入城市污水管网。</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-到2023年底，力争全市生活垃圾焚烧处理能力占比达60%以上，各县（市）生活垃圾无害化处理率保持95%以上，乡镇及行政村生活垃圾收转运处置体系基本实现全覆盖。</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-到2025年，农药包装废弃物回收率达80%；粮油绿色高质高效示范区、茶叶主产区和现代农业园区农药包装废弃物回收率100%。</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-到2025年，全国主要农作物化肥、农药利用率达43%，测土配方施肥技术推广覆盖率保持在90%以上，控制农村面源污染，采取灌排分离等措施控制农田氮磷流失。</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-到2025年，废旧农膜回收利用率达到85%以上。</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环境风险防控：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联防联控要求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其他环境风险防控要求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企业环境风险防控要求:工业企业退出用地，须经评估、修复满足相应用地功能后，方可改变用途。</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定期对单元内尾矿库进行风险巡查，建立监测系统和环境风险应急预案；完善各尾矿库渗滤液收集、处理、回用系统，杜绝事故排放；尾矿库闭矿后因地制宜进行植被恢复和综合利用。</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规范排土场、渣场等整治。禁止处理不达标的污泥进入耕地。</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严格控制林地、草地、园地的农药使用量，禁止使用高毒、高残留农药。</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到2030年，全市受污染耕地安全利用率达到95%以上，污染地块安全利用率达到95%以上。</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资源开发利用效率要求：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水资源利用总量要求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-到2025年，农田灌溉水有效利用系数达到0.57以上。</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地下水开采要求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以省市下发指标为准</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能源利用总量及效率要求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推进清洁能源的推广使用，全面推进散煤清洁化整治；禁止新建每小时10蒸吨以下的燃煤锅炉及其他燃煤设施。</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禁止焚烧秸秆和垃圾，到2025年底，秸秆综合利用率达到86%以上。</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-禁燃区内禁止销售、燃用高污染燃料；禁止新建、改建、扩建燃用高污染燃料的设施和设备。</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-禁燃区内已建成的高污染燃料燃用设施由辖区人民政府制定限期改造计划，改用天然气、页岩气、液化石油气、电或其他清洁能源。</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其他资源利用效率要求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tc>
              <w:tc>
                <w:tcPr>
                  <w:tcW w:w="412"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污染物排放管控</w:t>
                  </w:r>
                </w:p>
              </w:tc>
              <w:tc>
                <w:tcPr>
                  <w:tcW w:w="1133"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现有源提标升级改造</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同达州市一般管控单元总体准入要求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新增源等量或倍量替代</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同达州市一般管控单元总体准入要求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新增源排放标准限值</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同达州市一般管控单元总体准入要求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污染物排放绩效水平准入要求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-大气环境布局敏感和弱扩散重点管控区内，现有大气污染重点企业，限期进行深度治理或关停并转。-其它同达州市一般管控单元总体准入要求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其他污染物排放管控要求</w:t>
                  </w:r>
                </w:p>
              </w:tc>
              <w:tc>
                <w:tcPr>
                  <w:tcW w:w="763"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项目施工期严格落实“六必须、六不准”的管控要求，减少施工扬尘的产生；施工期生产废水经处理后回用，生活污水依托周边民房现有的污水处理设施进行处理；项目运营期生活污水（食堂废水先经隔油池处理）经化粪池处理后用于农肥，项目排泥水和反冲洗废水经泥水混合池收集后，经泵提升至浓缩池进行浓缩，其上清液回用至预沉池，底部泥水进入脱水间脱水，其脱水滤液回到泥水混合池，生产废水循环使用，不外排。不会对中河水环境质量带来不利影响，符合要求。</w:t>
                  </w:r>
                </w:p>
              </w:tc>
              <w:tc>
                <w:tcPr>
                  <w:tcW w:w="264"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ZH51172230001</w:t>
                  </w:r>
                </w:p>
              </w:tc>
              <w:tc>
                <w:tcPr>
                  <w:tcW w:w="316"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宣汉县一般管控单元</w:t>
                  </w:r>
                </w:p>
              </w:tc>
              <w:tc>
                <w:tcPr>
                  <w:tcW w:w="1831" w:type="pct"/>
                  <w:vMerge w:val="continue"/>
                  <w:noWrap w:val="0"/>
                  <w:vAlign w:val="center"/>
                </w:tcPr>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空间布局约束：</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-禁止在长江干支流1公里范围内新建、扩建化工园区和化工项目。</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-禁止在法律法规规定的禁采区内新建矿山；禁止土法采、选、冶严重污染环境的矿产资源。</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-涉及永久基本农田的区域，除法律规定的重点建设项目选址确实无法避让外，其他任何建设不得占用。</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-禁止在长江流域河湖管理范围内倾倒、填埋、堆放、弃置、处理固体废物。</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限制开发建设活动的要求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-按照相关要求严控水泥新增产能。</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涉及法定保护地，严格按照国家及地方法律法规、管理办法等相关要求进行控制。配套旅游、基础设施等建设项目，在符合规划和相关保护要求的前提下，应实施生态避让、减缓影响及生态恢复措施。</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按照相关要求严控水泥新增产能。</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禁止在长江干流岸线三公里范围内和重要支流岸线一公里范围内新建、改建、扩建尾矿库；但是以提升安全、生态环境保护水平为目的的改建除外。</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针对现有水泥企业，强化污染治理和污染物减排，依法依规整治或搬迁。</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全面取缔禁养区内规模化畜禽养殖场。</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2025年基本完成全域内“散乱污”企业整治工作。</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在全市范围深入开展集中整治“散乱污”工业企业，对不符合产业政策和规划布局的，一律责令停产、限期搬迁或关停；</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其他空间布局约束要求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污染物排放管控：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允许排放量要求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现有源提标升级改造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加快现有乡镇污水处理设施升级改造，按要求达《城镇污水处理厂污染物排放标准》一级A标后排放。</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在矿产资源开发活动集中区域，废水执行重金属污染物排放特别限值。</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火电、水泥等行业按相关要求推进大气污染物超低排放和深度治理。</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砖瓦行业实施脱硫、除尘升级改造，污染物排放达到《砖瓦工业大气污染物排放标准》相关要求。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其他污染物排放管控要求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屠宰项目必须配套污水处理设施或进入城市污水管网。</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-到2023年底，力争全市生活垃圾焚烧处理能力占比达60%以上，各县（市）生活垃圾无害化处理率保持95%以上，乡镇及行政村生活垃圾收转运处置体系基本实现全覆盖。</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-到2025年，农药包装废弃物回收率达80%；粮油绿色高质高效示范区、茶叶主产区和现代农业园区农药包装废弃物回收率100%。</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-到2025年，全国主要农作物化肥、农药利用率达43%，测土配方施肥技术推广覆盖率保持在90%以上，控制农村面源污染，采取灌排分离等措施控制农田氮磷流失。</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-到2025年，废旧农膜回收利用率达到85%以上。</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环境风险防控：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联防联控要求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其他环境风险防控要求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企业环境风险防控要求:工业企业退出用地，须经评估、修复满足相应用地功能后，方可改变用途。</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定期对单元内尾矿库进行风险巡查，建立监测系统和环境风险应急预案；完善各尾矿库渗滤液收集、处理、回用系统，杜绝事故排放；尾矿库闭矿后因地制宜进行植被恢复和综合利用。</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规范排土场、渣场等整治。禁止处理不达标的污泥进入耕地。</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严格控制林地、草地、园地的农药使用量，禁止使用高毒、高残留农药。</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到2030年，全市受污染耕地安全利用率达到95%以上，污染地块安全利用率达到95%以上。</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资源开发利用效率要求：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水资源利用总量要求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-到2025年，农田灌溉水有效利用系数达到0.57以上。</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地下水开采要求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以省市下发指标为准</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能源利用总量及效率要求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推进清洁能源的推广使用，全面推进散煤清洁化整治；禁止新建每小时10蒸吨以下的燃煤锅炉及其他燃煤设施。</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禁止焚烧秸秆和垃圾，到2025年底，秸秆综合利用率达到86%以上。</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-禁燃区内禁止销售、燃用高污染燃料；禁止新建、改建、扩建燃用高污染燃料的设施和设备。</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-禁燃区内已建成的高污染燃料燃用设施由辖区人民政府制定限期改造计划，改用天然气、页岩气、液化石油气、电或其他清洁能源。</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其他资源利用效率要求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tc>
              <w:tc>
                <w:tcPr>
                  <w:tcW w:w="412"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环境风险防控</w:t>
                  </w:r>
                </w:p>
              </w:tc>
              <w:tc>
                <w:tcPr>
                  <w:tcW w:w="1133"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严格管控类农用地管控要求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同达州市一般管控单元总体准入要求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安全利用类农用地管控要求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同达州市一般管控单元总体准入要求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污染地块管控要求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同达州市一般管控单元总体准入要求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园区环境风险防控要求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企业环境风险防控要求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同达州市一般管控单元总体准入要求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其他环境风险防控要求</w:t>
                  </w:r>
                </w:p>
              </w:tc>
              <w:tc>
                <w:tcPr>
                  <w:tcW w:w="763"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项目已取得建设项目用地预审与选址意见书（用字第511722-2023-00005），用地手续合法。项目污泥经脱水后定期运往宣汉县生活垃圾填埋场处理</w:t>
                  </w:r>
                  <w:r>
                    <w:rPr>
                      <w:rStyle w:val="21"/>
                      <w:rFonts w:hint="eastAsia" w:eastAsia="宋体" w:cs="Times New Roman"/>
                      <w:color w:val="auto"/>
                      <w:kern w:val="2"/>
                      <w:sz w:val="21"/>
                      <w:szCs w:val="21"/>
                      <w:highlight w:val="none"/>
                      <w:lang w:val="en-US" w:eastAsia="zh-CN" w:bidi="ar-SA"/>
                    </w:rPr>
                    <w:t>。</w:t>
                  </w:r>
                </w:p>
              </w:tc>
              <w:tc>
                <w:tcPr>
                  <w:tcW w:w="264"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ZH51172230001</w:t>
                  </w:r>
                </w:p>
              </w:tc>
              <w:tc>
                <w:tcPr>
                  <w:tcW w:w="316"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宣汉县一般管控单元</w:t>
                  </w:r>
                </w:p>
              </w:tc>
              <w:tc>
                <w:tcPr>
                  <w:tcW w:w="1831" w:type="pct"/>
                  <w:vMerge w:val="continue"/>
                  <w:noWrap w:val="0"/>
                  <w:vAlign w:val="center"/>
                </w:tcPr>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空间布局约束：</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-禁止在长江干支流1公里范围内新建、扩建化工园区和化工项目。</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-禁止在法律法规规定的禁采区内新建矿山；禁止土法采、选、冶严重污染环境的矿产资源。</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-涉及永久基本农田的区域，除法律规定的重点建设项目选址确实无法避让外，其他任何建设不得占用。</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-禁止在长江流域河湖管理范围内倾倒、填埋、堆放、弃置、处理固体废物。</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限制开发建设活动的要求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-按照相关要求严控水泥新增产能。</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涉及法定保护地，严格按照国家及地方法律法规、管理办法等相关要求进行控制。配套旅游、基础设施等建设项目，在符合规划和相关保护要求的前提下，应实施生态避让、减缓影响及生态恢复措施。</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按照相关要求严控水泥新增产能。</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禁止在长江干流岸线三公里范围内和重要支流岸线一公里范围内新建、改建、扩建尾矿库；但是以提升安全、生态环境保护水平为目的的改建除外。</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针对现有水泥企业，强化污染治理和污染物减排，依法依规整治或搬迁。</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全面取缔禁养区内规模化畜禽养殖场。</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2025年基本完成全域内“散乱污”企业整治工作。</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在全市范围深入开展集中整治“散乱污”工业企业，对不符合产业政策和规划布局的，一律责令停产、限期搬迁或关停；</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其他空间布局约束要求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污染物排放管控：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允许排放量要求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现有源提标升级改造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加快现有乡镇污水处理设施升级改造，按要求达《城镇污水处理厂污染物排放标准》一级A标后排放。</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在矿产资源开发活动集中区域，废水执行重金属污染物排放特别限值。</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火电、水泥等行业按相关要求推进大气污染物超低排放和深度治理。</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砖瓦行业实施脱硫、除尘升级改造，污染物排放达到《砖瓦工业大气污染物排放标准》相关要求。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其他污染物排放管控要求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屠宰项目必须配套污水处理设施或进入城市污水管网。</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-到2023年底，力争全市生活垃圾焚烧处理能力占比达60%以上，各县（市）生活垃圾无害化处理率保持95%以上，乡镇及行政村生活垃圾收转运处置体系基本实现全覆盖。</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-到2025年，农药包装废弃物回收率达80%；粮油绿色高质高效示范区、茶叶主产区和现代农业园区农药包装废弃物回收率100%。</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-到2025年，全国主要农作物化肥、农药利用率达43%，测土配方施肥技术推广覆盖率保持在90%以上，控制农村面源污染，采取灌排分离等措施控制农田氮磷流失。</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-到2025年，废旧农膜回收利用率达到85%以上。</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环境风险防控：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联防联控要求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其他环境风险防控要求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企业环境风险防控要求:工业企业退出用地，须经评估、修复满足相应用地功能后，方可改变用途。</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定期对单元内尾矿库进行风险巡查，建立监测系统和环境风险应急预案；完善各尾矿库渗滤液收集、处理、回用系统，杜绝事故排放；尾矿库闭矿后因地制宜进行植被恢复和综合利用。</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规范排土场、渣场等整治。禁止处理不达标的污泥进入耕地。</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严格控制林地、草地、园地的农药使用量，禁止使用高毒、高残留农药。</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到2030年，全市受污染耕地安全利用率达到95%以上，污染地块安全利用率达到95%以上。</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资源开发利用效率要求：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水资源利用总量要求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-到2025年，农田灌溉水有效利用系数达到0.57以上。</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地下水开采要求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以省市下发指标为准</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能源利用总量及效率要求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推进清洁能源的推广使用，全面推进散煤清洁化整治；禁止新建每小时10蒸吨以下的燃煤锅炉及其他燃煤设施。</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禁止焚烧秸秆和垃圾，到2025年底，秸秆综合利用率达到86%以上。</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-禁燃区内禁止销售、燃用高污染燃料；禁止新建、改建、扩建燃用高污染燃料的设施和设备。</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-禁燃区内已建成的高污染燃料燃用设施由辖区人民政府制定限期改造计划，改用天然气、页岩气、液化石油气、电或其他清洁能源。</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其他资源利用效率要求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tc>
              <w:tc>
                <w:tcPr>
                  <w:tcW w:w="412"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资源开发效率要求</w:t>
                  </w:r>
                </w:p>
              </w:tc>
              <w:tc>
                <w:tcPr>
                  <w:tcW w:w="1133"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水资源利用效率要求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同达州市一般管控单元总体准入要求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地下水开采要求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同达州市一般管控单元总体准入要求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能源利用效率要求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同达州市一般管控单元总体准入要求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其他资源利用效率要求</w:t>
                  </w:r>
                </w:p>
              </w:tc>
              <w:tc>
                <w:tcPr>
                  <w:tcW w:w="763"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本项目为自来水生产与供应工程，主要能耗为电和水，不涉及燃煤等高污染燃料、锅炉、焚烧秸秆和垃圾等。本项目设计最大日取水量为0.7万m</w:t>
                  </w:r>
                  <w:r>
                    <w:rPr>
                      <w:rStyle w:val="21"/>
                      <w:rFonts w:hint="default" w:ascii="Times New Roman" w:hAnsi="Times New Roman" w:eastAsia="宋体" w:cs="Times New Roman"/>
                      <w:color w:val="auto"/>
                      <w:kern w:val="2"/>
                      <w:sz w:val="21"/>
                      <w:szCs w:val="21"/>
                      <w:highlight w:val="none"/>
                      <w:vertAlign w:val="superscript"/>
                      <w:lang w:val="en-US" w:eastAsia="zh-CN" w:bidi="ar-SA"/>
                    </w:rPr>
                    <w:t>3</w:t>
                  </w:r>
                  <w:r>
                    <w:rPr>
                      <w:rStyle w:val="21"/>
                      <w:rFonts w:hint="default" w:ascii="Times New Roman" w:hAnsi="Times New Roman" w:eastAsia="宋体" w:cs="Times New Roman"/>
                      <w:color w:val="auto"/>
                      <w:kern w:val="2"/>
                      <w:sz w:val="21"/>
                      <w:szCs w:val="21"/>
                      <w:highlight w:val="none"/>
                      <w:lang w:val="en-US" w:eastAsia="zh-CN" w:bidi="ar-SA"/>
                    </w:rPr>
                    <w:t>，折合流量0.08m</w:t>
                  </w:r>
                  <w:r>
                    <w:rPr>
                      <w:rStyle w:val="21"/>
                      <w:rFonts w:hint="default" w:ascii="Times New Roman" w:hAnsi="Times New Roman" w:eastAsia="宋体" w:cs="Times New Roman"/>
                      <w:color w:val="auto"/>
                      <w:kern w:val="2"/>
                      <w:sz w:val="21"/>
                      <w:szCs w:val="21"/>
                      <w:highlight w:val="none"/>
                      <w:vertAlign w:val="superscript"/>
                      <w:lang w:val="en-US" w:eastAsia="zh-CN" w:bidi="ar-SA"/>
                    </w:rPr>
                    <w:t>3</w:t>
                  </w:r>
                  <w:r>
                    <w:rPr>
                      <w:rStyle w:val="21"/>
                      <w:rFonts w:hint="default" w:ascii="Times New Roman" w:hAnsi="Times New Roman" w:eastAsia="宋体" w:cs="Times New Roman"/>
                      <w:color w:val="auto"/>
                      <w:kern w:val="2"/>
                      <w:sz w:val="21"/>
                      <w:szCs w:val="21"/>
                      <w:highlight w:val="none"/>
                      <w:lang w:val="en-US" w:eastAsia="zh-CN" w:bidi="ar-SA"/>
                    </w:rPr>
                    <w:t>/s，取水口处来水量扣除生态需水量及其他用水后，作为本项目取水口处的可供水量，供水保证率达到95%，其来水能满足本工程的取用水要求。</w:t>
                  </w:r>
                </w:p>
              </w:tc>
              <w:tc>
                <w:tcPr>
                  <w:tcW w:w="264"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Merge w:val="restar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YS5117223210003</w:t>
                  </w:r>
                </w:p>
              </w:tc>
              <w:tc>
                <w:tcPr>
                  <w:tcW w:w="316" w:type="pct"/>
                  <w:vMerge w:val="restar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中河宣汉县普光控制单元</w:t>
                  </w:r>
                </w:p>
              </w:tc>
              <w:tc>
                <w:tcPr>
                  <w:tcW w:w="1831" w:type="pct"/>
                  <w:vMerge w:val="restart"/>
                  <w:noWrap w:val="0"/>
                  <w:vAlign w:val="center"/>
                </w:tcPr>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空间布局约束：</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禁止开发建设活动的要求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限制开发建设活动的要求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其他空间布局约束要求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污染物排放管控：</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允许排放量要求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现有源提标升级改造</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其他污染物排放管控要求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环境风险防控：</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联防联控要求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其他环境风险防控要求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资源开发利用效率要求：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水资源利用总量要求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地下水开采要求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能源利用总量及效率要求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其他资源利用效率要求</w:t>
                  </w:r>
                </w:p>
                <w:p>
                  <w:pPr>
                    <w:pStyle w:val="27"/>
                    <w:keepNext w:val="0"/>
                    <w:keepLines w:val="0"/>
                    <w:pageBreakBefore w:val="0"/>
                    <w:widowControl w:val="0"/>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tc>
              <w:tc>
                <w:tcPr>
                  <w:tcW w:w="412"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空间布局约束</w:t>
                  </w:r>
                </w:p>
              </w:tc>
              <w:tc>
                <w:tcPr>
                  <w:tcW w:w="1133"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禁止开发建设活动的要求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限制开发建设活动的要求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允许开发建设活动的要求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不符合空间布局要求活动的退出要求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其他空间布局约束要求</w:t>
                  </w:r>
                </w:p>
              </w:tc>
              <w:tc>
                <w:tcPr>
                  <w:tcW w:w="763"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Fonts w:eastAsia="宋体"/>
                      <w:color w:val="auto"/>
                      <w:sz w:val="21"/>
                      <w:highlight w:val="none"/>
                    </w:rPr>
                    <w:t>项目为自来水生产和供应，不属于禁止开发建设、限制开发建设项目</w:t>
                  </w:r>
                  <w:r>
                    <w:rPr>
                      <w:rFonts w:hint="eastAsia" w:eastAsia="宋体"/>
                      <w:color w:val="auto"/>
                      <w:sz w:val="21"/>
                      <w:highlight w:val="none"/>
                      <w:lang w:eastAsia="zh-CN"/>
                    </w:rPr>
                    <w:t>，</w:t>
                  </w:r>
                  <w:r>
                    <w:rPr>
                      <w:rFonts w:hint="eastAsia" w:eastAsia="宋体"/>
                      <w:color w:val="auto"/>
                      <w:sz w:val="21"/>
                      <w:highlight w:val="none"/>
                      <w:lang w:val="en-US" w:eastAsia="zh-CN"/>
                    </w:rPr>
                    <w:t>不属于</w:t>
                  </w:r>
                  <w:r>
                    <w:rPr>
                      <w:rFonts w:eastAsia="宋体"/>
                      <w:color w:val="auto"/>
                      <w:kern w:val="0"/>
                      <w:sz w:val="21"/>
                      <w:highlight w:val="none"/>
                    </w:rPr>
                    <w:t>不符合空间布局要求活动</w:t>
                  </w:r>
                  <w:r>
                    <w:rPr>
                      <w:rFonts w:hint="eastAsia" w:eastAsia="宋体"/>
                      <w:color w:val="auto"/>
                      <w:kern w:val="0"/>
                      <w:sz w:val="21"/>
                      <w:highlight w:val="none"/>
                      <w:lang w:val="en-US" w:eastAsia="zh-CN"/>
                    </w:rPr>
                    <w:t>需</w:t>
                  </w:r>
                  <w:r>
                    <w:rPr>
                      <w:rFonts w:eastAsia="宋体"/>
                      <w:color w:val="auto"/>
                      <w:kern w:val="0"/>
                      <w:sz w:val="21"/>
                      <w:highlight w:val="none"/>
                    </w:rPr>
                    <w:t>退出</w:t>
                  </w:r>
                  <w:r>
                    <w:rPr>
                      <w:rFonts w:hint="eastAsia" w:eastAsia="宋体"/>
                      <w:color w:val="auto"/>
                      <w:kern w:val="0"/>
                      <w:sz w:val="21"/>
                      <w:highlight w:val="none"/>
                      <w:lang w:val="en-US" w:eastAsia="zh-CN"/>
                    </w:rPr>
                    <w:t>的项目。</w:t>
                  </w:r>
                </w:p>
              </w:tc>
              <w:tc>
                <w:tcPr>
                  <w:tcW w:w="264"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YS5117223210003</w:t>
                  </w:r>
                </w:p>
              </w:tc>
              <w:tc>
                <w:tcPr>
                  <w:tcW w:w="316"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中河宣汉县普光控制单元</w:t>
                  </w:r>
                </w:p>
              </w:tc>
              <w:tc>
                <w:tcPr>
                  <w:tcW w:w="1831" w:type="pct"/>
                  <w:vMerge w:val="continue"/>
                  <w:noWrap w:val="0"/>
                  <w:vAlign w:val="center"/>
                </w:tcPr>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空间布局约束：</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限制开发建设活动的要求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其他空间布局约束要求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污染物排放管控：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允许排放量要求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现有源提标升级改造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其他污染物排放管控要求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环境风险防控：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联防联控要求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其他环境风险防控要求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资源开发利用效率要求：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水资源利用总量要求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地下水开采要求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能源利用总量及效率要求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其他资源利用效率要求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tc>
              <w:tc>
                <w:tcPr>
                  <w:tcW w:w="412"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污染物排放管控</w:t>
                  </w:r>
                </w:p>
              </w:tc>
              <w:tc>
                <w:tcPr>
                  <w:tcW w:w="1133"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城镇污水污染控制措施要求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工业废水污染控制措施要求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农业面源水污染控制措施要求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船舶港口水污染控制措施要求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饮用水水源和其它特殊水体保护要求</w:t>
                  </w:r>
                </w:p>
              </w:tc>
              <w:tc>
                <w:tcPr>
                  <w:tcW w:w="763"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项目生活污水（食堂废水先经隔油池处理）经化粪池处理后用于农肥，项目排泥水和反冲洗废水经泥水混合池收集后，经泵提升至浓缩池进行浓缩，其上清液回用至预沉池，底部泥水进入脱水间脱水，其脱水滤液回到泥水混合池，生产废水循环使用，不外排。</w:t>
                  </w:r>
                </w:p>
              </w:tc>
              <w:tc>
                <w:tcPr>
                  <w:tcW w:w="264"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YS5117223210003</w:t>
                  </w:r>
                </w:p>
              </w:tc>
              <w:tc>
                <w:tcPr>
                  <w:tcW w:w="316"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中河宣汉县普光控制单元</w:t>
                  </w:r>
                </w:p>
              </w:tc>
              <w:tc>
                <w:tcPr>
                  <w:tcW w:w="1831" w:type="pct"/>
                  <w:vMerge w:val="continue"/>
                  <w:noWrap w:val="0"/>
                  <w:vAlign w:val="center"/>
                </w:tcPr>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空间布局约束：</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限制开发建设活动的要求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其他空间布局约束要求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污染物排放管控：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允许排放量要求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现有源提标升级改造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其他污染物排放管控要求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环境风险防控：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联防联控要求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其他环境风险防控要求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资源开发利用效率要求：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水资源利用总量要求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地下水开采要求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能源利用总量及效率要求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其他资源利用效率要求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tc>
              <w:tc>
                <w:tcPr>
                  <w:tcW w:w="412"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环境风险防控</w:t>
                  </w:r>
                </w:p>
              </w:tc>
              <w:tc>
                <w:tcPr>
                  <w:tcW w:w="1133" w:type="pct"/>
                  <w:vMerge w:val="restart"/>
                  <w:noWrap w:val="0"/>
                  <w:vAlign w:val="center"/>
                </w:tcPr>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w:t>
                  </w:r>
                </w:p>
              </w:tc>
              <w:tc>
                <w:tcPr>
                  <w:tcW w:w="763" w:type="pct"/>
                  <w:vMerge w:val="restar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w:t>
                  </w:r>
                </w:p>
              </w:tc>
              <w:tc>
                <w:tcPr>
                  <w:tcW w:w="264" w:type="pct"/>
                  <w:vMerge w:val="restar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YS5117223210003</w:t>
                  </w:r>
                </w:p>
              </w:tc>
              <w:tc>
                <w:tcPr>
                  <w:tcW w:w="316"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中河宣汉县普光控制单元</w:t>
                  </w:r>
                </w:p>
              </w:tc>
              <w:tc>
                <w:tcPr>
                  <w:tcW w:w="1831" w:type="pct"/>
                  <w:vMerge w:val="continue"/>
                  <w:noWrap w:val="0"/>
                  <w:vAlign w:val="center"/>
                </w:tcPr>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空间布局约束：</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限制开发建设活动的要求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其他空间布局约束要求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污染物排放管控：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允许排放量要求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现有源提标升级改造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其他污染物排放管控要求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环境风险防控：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联防联控要求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其他环境风险防控要求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资源开发利用效率要求：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水资源利用总量要求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地下水开采要求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能源利用总量及效率要求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其他资源利用效率要求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tc>
              <w:tc>
                <w:tcPr>
                  <w:tcW w:w="412"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资源开发效率要求</w:t>
                  </w:r>
                </w:p>
              </w:tc>
              <w:tc>
                <w:tcPr>
                  <w:tcW w:w="1133"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w:t>
                  </w:r>
                </w:p>
              </w:tc>
              <w:tc>
                <w:tcPr>
                  <w:tcW w:w="763"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p>
              </w:tc>
              <w:tc>
                <w:tcPr>
                  <w:tcW w:w="264"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Merge w:val="restar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YS5117222330002</w:t>
                  </w:r>
                </w:p>
              </w:tc>
              <w:tc>
                <w:tcPr>
                  <w:tcW w:w="316" w:type="pct"/>
                  <w:vMerge w:val="restar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宣汉县大气环境弱扩散重点管控区</w:t>
                  </w:r>
                </w:p>
              </w:tc>
              <w:tc>
                <w:tcPr>
                  <w:tcW w:w="1831" w:type="pct"/>
                  <w:vMerge w:val="continue"/>
                  <w:noWrap w:val="0"/>
                  <w:vAlign w:val="center"/>
                </w:tcPr>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空间布局约束：</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限制开发建设活动的要求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其他空间布局约束要求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污染物排放管控：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允许排放量要求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现有源提标升级改造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其他污染物排放管控要求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环境风险防控：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联防联控要求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其他环境风险防控要求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资源开发利用效率要求：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水资源利用总量要求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地下水开采要求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能源利用总量及效率要求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其他资源利用效率要求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tc>
              <w:tc>
                <w:tcPr>
                  <w:tcW w:w="412"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空间布局约束</w:t>
                  </w:r>
                </w:p>
              </w:tc>
              <w:tc>
                <w:tcPr>
                  <w:tcW w:w="1133"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禁止开发建设活动的要求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限制开发建设活动的要求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允许开发建设活动的要求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不符合空间布局要求活动的退出要求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其他空间布局约束要求</w:t>
                  </w:r>
                </w:p>
              </w:tc>
              <w:tc>
                <w:tcPr>
                  <w:tcW w:w="763"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Fonts w:eastAsia="宋体"/>
                      <w:color w:val="auto"/>
                      <w:sz w:val="21"/>
                      <w:highlight w:val="none"/>
                    </w:rPr>
                    <w:t>项目为自来水生产和供应，不属于禁止开发建设、限制开发建设项目</w:t>
                  </w:r>
                  <w:r>
                    <w:rPr>
                      <w:rFonts w:hint="eastAsia" w:eastAsia="宋体"/>
                      <w:color w:val="auto"/>
                      <w:sz w:val="21"/>
                      <w:highlight w:val="none"/>
                      <w:lang w:eastAsia="zh-CN"/>
                    </w:rPr>
                    <w:t>，</w:t>
                  </w:r>
                  <w:r>
                    <w:rPr>
                      <w:rFonts w:hint="eastAsia" w:eastAsia="宋体"/>
                      <w:color w:val="auto"/>
                      <w:sz w:val="21"/>
                      <w:highlight w:val="none"/>
                      <w:lang w:val="en-US" w:eastAsia="zh-CN"/>
                    </w:rPr>
                    <w:t>不属于</w:t>
                  </w:r>
                  <w:r>
                    <w:rPr>
                      <w:rFonts w:eastAsia="宋体"/>
                      <w:color w:val="auto"/>
                      <w:kern w:val="0"/>
                      <w:sz w:val="21"/>
                      <w:highlight w:val="none"/>
                    </w:rPr>
                    <w:t>不符合空间布局要求活动</w:t>
                  </w:r>
                  <w:r>
                    <w:rPr>
                      <w:rFonts w:hint="eastAsia" w:eastAsia="宋体"/>
                      <w:color w:val="auto"/>
                      <w:kern w:val="0"/>
                      <w:sz w:val="21"/>
                      <w:highlight w:val="none"/>
                      <w:lang w:val="en-US" w:eastAsia="zh-CN"/>
                    </w:rPr>
                    <w:t>需</w:t>
                  </w:r>
                  <w:r>
                    <w:rPr>
                      <w:rFonts w:eastAsia="宋体"/>
                      <w:color w:val="auto"/>
                      <w:kern w:val="0"/>
                      <w:sz w:val="21"/>
                      <w:highlight w:val="none"/>
                    </w:rPr>
                    <w:t>退出</w:t>
                  </w:r>
                  <w:r>
                    <w:rPr>
                      <w:rFonts w:hint="eastAsia" w:eastAsia="宋体"/>
                      <w:color w:val="auto"/>
                      <w:kern w:val="0"/>
                      <w:sz w:val="21"/>
                      <w:highlight w:val="none"/>
                      <w:lang w:val="en-US" w:eastAsia="zh-CN"/>
                    </w:rPr>
                    <w:t>的项目。</w:t>
                  </w:r>
                </w:p>
              </w:tc>
              <w:tc>
                <w:tcPr>
                  <w:tcW w:w="264"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YS5117222330002</w:t>
                  </w:r>
                </w:p>
              </w:tc>
              <w:tc>
                <w:tcPr>
                  <w:tcW w:w="316"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宣汉县大气环境弱扩散重点管控区</w:t>
                  </w:r>
                </w:p>
              </w:tc>
              <w:tc>
                <w:tcPr>
                  <w:tcW w:w="1831" w:type="pct"/>
                  <w:vMerge w:val="continue"/>
                  <w:noWrap w:val="0"/>
                  <w:vAlign w:val="center"/>
                </w:tcPr>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空间布局约束：</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限制开发建设活动的要求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其他空间布局约束要求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污染物排放管控：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允许排放量要求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现有源提标升级改造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其他污染物排放管控要求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环境风险防控：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联防联控要求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其他环境风险防控要求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资源开发利用效率要求：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水资源利用总量要求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地下水开采要求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能源利用总量及效率要求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其他资源利用效率要求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tc>
              <w:tc>
                <w:tcPr>
                  <w:tcW w:w="412"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污染物排放管控</w:t>
                  </w:r>
                </w:p>
              </w:tc>
              <w:tc>
                <w:tcPr>
                  <w:tcW w:w="1133"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大气环境质量执行标准</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《环境空气质量标准》（GB3095-2012）：二级</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区域大气污染物削减/替代要求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新增大气污染物排放的建设项目实施总量削减替代。</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燃煤和其他能源大气污染控制要求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工业废气污染控制要求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机动车船大气污染控制要求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扬尘污染控制要求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农业生产经营活动大气污染控制要求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重点行业企业专项治理要求</w:t>
                  </w:r>
                </w:p>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其他大气污染物排放管控要求</w:t>
                  </w:r>
                </w:p>
              </w:tc>
              <w:tc>
                <w:tcPr>
                  <w:tcW w:w="763"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项目运营期处食堂油烟外，无其他生产废气产生。</w:t>
                  </w:r>
                </w:p>
              </w:tc>
              <w:tc>
                <w:tcPr>
                  <w:tcW w:w="264"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YS5117222330002</w:t>
                  </w:r>
                </w:p>
              </w:tc>
              <w:tc>
                <w:tcPr>
                  <w:tcW w:w="316"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宣汉县大气环境弱扩散重点管控区</w:t>
                  </w:r>
                </w:p>
              </w:tc>
              <w:tc>
                <w:tcPr>
                  <w:tcW w:w="1831" w:type="pct"/>
                  <w:vMerge w:val="continue"/>
                  <w:noWrap w:val="0"/>
                  <w:vAlign w:val="center"/>
                </w:tcPr>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空间布局约束：</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限制开发建设活动的要求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其他空间布局约束要求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污染物排放管控：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允许排放量要求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现有源提标升级改造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其他污染物排放管控要求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环境风险防控：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联防联控要求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其他环境风险防控要求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资源开发利用效率要求：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水资源利用总量要求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地下水开采要求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能源利用总量及效率要求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其他资源利用效率要求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tc>
              <w:tc>
                <w:tcPr>
                  <w:tcW w:w="412"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环境风险防控</w:t>
                  </w:r>
                </w:p>
              </w:tc>
              <w:tc>
                <w:tcPr>
                  <w:tcW w:w="1133" w:type="pct"/>
                  <w:vMerge w:val="restart"/>
                  <w:noWrap w:val="0"/>
                  <w:vAlign w:val="center"/>
                </w:tcPr>
                <w:p>
                  <w:pPr>
                    <w:pStyle w:val="27"/>
                    <w:keepNext w:val="0"/>
                    <w:keepLines w:val="0"/>
                    <w:pageBreakBefore w:val="0"/>
                    <w:widowControl/>
                    <w:kinsoku/>
                    <w:wordWrap/>
                    <w:topLinePunct w:val="0"/>
                    <w:bidi w:val="0"/>
                    <w:spacing w:line="240" w:lineRule="auto"/>
                    <w:ind w:left="0" w:leftChars="0" w:firstLine="0" w:firstLineChars="0"/>
                    <w:jc w:val="left"/>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w:t>
                  </w:r>
                </w:p>
              </w:tc>
              <w:tc>
                <w:tcPr>
                  <w:tcW w:w="763" w:type="pct"/>
                  <w:vMerge w:val="restar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w:t>
                  </w:r>
                </w:p>
              </w:tc>
              <w:tc>
                <w:tcPr>
                  <w:tcW w:w="264" w:type="pct"/>
                  <w:vMerge w:val="restar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YS5117222330002</w:t>
                  </w:r>
                </w:p>
              </w:tc>
              <w:tc>
                <w:tcPr>
                  <w:tcW w:w="316"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宣汉县大气环境弱扩散重点管控区</w:t>
                  </w:r>
                </w:p>
              </w:tc>
              <w:tc>
                <w:tcPr>
                  <w:tcW w:w="1831" w:type="pct"/>
                  <w:vMerge w:val="continue"/>
                  <w:noWrap w:val="0"/>
                  <w:vAlign w:val="center"/>
                </w:tcPr>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空间布局约束：</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禁止开发建设活动的要求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限制开发建设活动的要求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其他空间布局约束要求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污染物排放管控：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允许排放量要求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现有源提标升级改造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其他污染物排放管控要求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环境风险防控：</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联防联控要求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其他环境风险防控要求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资源开发利用效率要求：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水资源利用总量要求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地下水开采要求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能源利用总量及效率要求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禁燃区要求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其他资源利用效率要求</w:t>
                  </w:r>
                </w:p>
                <w:p>
                  <w:pPr>
                    <w:pStyle w:val="27"/>
                    <w:keepNext w:val="0"/>
                    <w:keepLines w:val="0"/>
                    <w:pageBreakBefore w:val="0"/>
                    <w:widowControl w:val="0"/>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0"/>
                      <w:sz w:val="21"/>
                      <w:szCs w:val="21"/>
                      <w:highlight w:val="none"/>
                      <w:lang w:val="en-US" w:eastAsia="zh-CN" w:bidi="ar-SA"/>
                    </w:rPr>
                  </w:pPr>
                  <w:r>
                    <w:rPr>
                      <w:rStyle w:val="21"/>
                      <w:rFonts w:hint="default" w:ascii="Times New Roman" w:hAnsi="Times New Roman" w:eastAsia="宋体" w:cs="Times New Roman"/>
                      <w:color w:val="auto"/>
                      <w:kern w:val="0"/>
                      <w:sz w:val="21"/>
                      <w:szCs w:val="21"/>
                      <w:highlight w:val="none"/>
                      <w:lang w:val="en-US" w:eastAsia="zh-CN" w:bidi="ar-SA"/>
                    </w:rPr>
                    <w:t>暂无</w:t>
                  </w:r>
                </w:p>
              </w:tc>
              <w:tc>
                <w:tcPr>
                  <w:tcW w:w="412" w:type="pct"/>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资源开发效率要求</w:t>
                  </w:r>
                </w:p>
              </w:tc>
              <w:tc>
                <w:tcPr>
                  <w:tcW w:w="1133" w:type="pct"/>
                  <w:vMerge w:val="continue"/>
                  <w:noWrap w:val="0"/>
                  <w:vAlign w:val="center"/>
                </w:tcPr>
                <w:p>
                  <w:pPr>
                    <w:pStyle w:val="27"/>
                    <w:keepNext w:val="0"/>
                    <w:keepLines w:val="0"/>
                    <w:pageBreakBefore w:val="0"/>
                    <w:widowControl/>
                    <w:shd w:val="clear" w:color="auto" w:fill="FFFFFF"/>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r>
                    <w:rPr>
                      <w:rStyle w:val="21"/>
                      <w:rFonts w:hint="default" w:ascii="Times New Roman" w:hAnsi="Times New Roman" w:eastAsia="宋体" w:cs="Times New Roman"/>
                      <w:color w:val="auto"/>
                      <w:kern w:val="2"/>
                      <w:sz w:val="21"/>
                      <w:szCs w:val="21"/>
                      <w:highlight w:val="none"/>
                      <w:lang w:val="en-US" w:eastAsia="zh-CN" w:bidi="ar-SA"/>
                    </w:rPr>
                    <w:t>/</w:t>
                  </w:r>
                </w:p>
              </w:tc>
              <w:tc>
                <w:tcPr>
                  <w:tcW w:w="763"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p>
              </w:tc>
              <w:tc>
                <w:tcPr>
                  <w:tcW w:w="264" w:type="pct"/>
                  <w:vMerge w:val="continue"/>
                  <w:noWrap w:val="0"/>
                  <w:vAlign w:val="center"/>
                </w:tcPr>
                <w:p>
                  <w:pPr>
                    <w:pStyle w:val="27"/>
                    <w:keepNext w:val="0"/>
                    <w:keepLines w:val="0"/>
                    <w:pageBreakBefore w:val="0"/>
                    <w:widowControl/>
                    <w:kinsoku/>
                    <w:wordWrap/>
                    <w:topLinePunct w:val="0"/>
                    <w:bidi w:val="0"/>
                    <w:spacing w:line="240" w:lineRule="auto"/>
                    <w:ind w:left="0" w:leftChars="0" w:firstLine="0" w:firstLineChars="0"/>
                    <w:jc w:val="center"/>
                    <w:rPr>
                      <w:rStyle w:val="21"/>
                      <w:rFonts w:hint="default" w:ascii="Times New Roman" w:hAnsi="Times New Roman" w:eastAsia="宋体" w:cs="Times New Roman"/>
                      <w:color w:val="auto"/>
                      <w:kern w:val="2"/>
                      <w:sz w:val="21"/>
                      <w:szCs w:val="21"/>
                      <w:highlight w:val="none"/>
                      <w:lang w:val="en-US" w:eastAsia="zh-CN" w:bidi="ar-SA"/>
                    </w:rPr>
                  </w:pPr>
                </w:p>
              </w:tc>
            </w:tr>
          </w:tbl>
          <w:p>
            <w:pPr>
              <w:keepNext w:val="0"/>
              <w:keepLines w:val="0"/>
              <w:pageBreakBefore w:val="0"/>
              <w:suppressLineNumbers w:val="0"/>
              <w:tabs>
                <w:tab w:val="left" w:pos="2040"/>
              </w:tabs>
              <w:kinsoku/>
              <w:wordWrap/>
              <w:topLinePunct w:val="0"/>
              <w:bidi w:val="0"/>
              <w:spacing w:beforeAutospacing="0" w:afterAutospacing="0" w:line="360" w:lineRule="auto"/>
              <w:ind w:left="0" w:leftChars="0" w:right="0" w:firstLine="480" w:firstLineChars="200"/>
              <w:rPr>
                <w:rFonts w:hint="default" w:ascii="Times New Roman" w:hAnsi="Times New Roman" w:cs="Times New Roman" w:eastAsiaTheme="minorEastAsia"/>
                <w:bCs/>
                <w:color w:val="auto"/>
                <w:sz w:val="24"/>
                <w:szCs w:val="24"/>
                <w:highlight w:val="none"/>
                <w:vertAlign w:val="baseline"/>
                <w:lang w:eastAsia="zh-CN"/>
              </w:rPr>
            </w:pPr>
            <w:r>
              <w:rPr>
                <w:rFonts w:hint="default" w:ascii="Times New Roman" w:hAnsi="Times New Roman" w:cs="Times New Roman"/>
                <w:bCs/>
                <w:color w:val="auto"/>
                <w:sz w:val="24"/>
                <w:szCs w:val="24"/>
                <w:highlight w:val="none"/>
              </w:rPr>
              <w:t>根据分析，本项目符合</w:t>
            </w:r>
            <w:r>
              <w:rPr>
                <w:rFonts w:hint="default" w:ascii="Times New Roman" w:hAnsi="Times New Roman" w:cs="Times New Roman"/>
                <w:bCs/>
                <w:color w:val="auto"/>
                <w:sz w:val="24"/>
                <w:szCs w:val="24"/>
                <w:highlight w:val="none"/>
                <w:lang w:eastAsia="zh-CN"/>
              </w:rPr>
              <w:t>达州市</w:t>
            </w:r>
            <w:r>
              <w:rPr>
                <w:rFonts w:hint="default" w:ascii="Times New Roman" w:hAnsi="Times New Roman" w:cs="Times New Roman"/>
                <w:bCs/>
                <w:color w:val="auto"/>
                <w:sz w:val="24"/>
                <w:szCs w:val="24"/>
                <w:highlight w:val="none"/>
              </w:rPr>
              <w:t>“三线一单”相关要求</w:t>
            </w:r>
            <w:r>
              <w:rPr>
                <w:rFonts w:hint="default" w:ascii="Times New Roman" w:hAnsi="Times New Roman" w:cs="Times New Roman"/>
                <w:bCs/>
                <w:color w:val="auto"/>
                <w:sz w:val="24"/>
                <w:szCs w:val="24"/>
                <w:highlight w:val="none"/>
                <w:vertAlign w:val="baseline"/>
                <w:lang w:eastAsia="zh-CN"/>
              </w:rPr>
              <w:t>。</w:t>
            </w:r>
          </w:p>
        </w:tc>
      </w:tr>
    </w:tbl>
    <w:p>
      <w:pPr>
        <w:pStyle w:val="18"/>
        <w:keepNext w:val="0"/>
        <w:keepLines w:val="0"/>
        <w:pageBreakBefore w:val="0"/>
        <w:kinsoku/>
        <w:wordWrap/>
        <w:topLinePunct w:val="0"/>
        <w:bidi w:val="0"/>
        <w:spacing w:after="0"/>
        <w:ind w:left="0" w:leftChars="0"/>
        <w:rPr>
          <w:rFonts w:hint="default" w:ascii="Times New Roman" w:hAnsi="Times New Roman" w:cs="Times New Roman"/>
          <w:color w:val="auto"/>
          <w:highlight w:val="none"/>
          <w:lang w:eastAsia="zh-CN"/>
        </w:rPr>
        <w:sectPr>
          <w:pgSz w:w="16838" w:h="11906" w:orient="landscape"/>
          <w:pgMar w:top="1440" w:right="1361" w:bottom="1440" w:left="1361"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8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4" w:hRule="atLeast"/>
          <w:jc w:val="center"/>
        </w:trPr>
        <w:tc>
          <w:tcPr>
            <w:tcW w:w="302" w:type="pct"/>
          </w:tcPr>
          <w:p>
            <w:pPr>
              <w:keepNext w:val="0"/>
              <w:keepLines w:val="0"/>
              <w:pageBreakBefore w:val="0"/>
              <w:widowControl w:val="0"/>
              <w:kinsoku/>
              <w:wordWrap/>
              <w:overflowPunct/>
              <w:topLinePunct w:val="0"/>
              <w:autoSpaceDE/>
              <w:autoSpaceDN/>
              <w:bidi w:val="0"/>
              <w:snapToGrid/>
              <w:spacing w:line="360" w:lineRule="auto"/>
              <w:ind w:left="0" w:leftChars="0"/>
              <w:jc w:val="center"/>
              <w:rPr>
                <w:rFonts w:hint="default" w:ascii="Times New Roman" w:hAnsi="Times New Roman" w:cs="Times New Roman"/>
                <w:color w:val="auto"/>
                <w:sz w:val="24"/>
                <w:szCs w:val="32"/>
                <w:highlight w:val="none"/>
                <w:vertAlign w:val="baseline"/>
                <w:lang w:eastAsia="zh-CN"/>
              </w:rPr>
            </w:pPr>
            <w:r>
              <w:rPr>
                <w:rFonts w:hint="default" w:ascii="Times New Roman" w:hAnsi="Times New Roman" w:cs="Times New Roman"/>
                <w:color w:val="auto"/>
                <w:sz w:val="24"/>
                <w:szCs w:val="24"/>
                <w:highlight w:val="none"/>
              </w:rPr>
              <w:t>其他符合性分析</w:t>
            </w:r>
          </w:p>
        </w:tc>
        <w:tc>
          <w:tcPr>
            <w:tcW w:w="4697" w:type="pct"/>
          </w:tcPr>
          <w:p>
            <w:pPr>
              <w:keepNext w:val="0"/>
              <w:keepLines w:val="0"/>
              <w:pageBreakBefore w:val="0"/>
              <w:widowControl w:val="0"/>
              <w:suppressLineNumbers w:val="0"/>
              <w:tabs>
                <w:tab w:val="left" w:pos="2040"/>
              </w:tabs>
              <w:kinsoku/>
              <w:wordWrap/>
              <w:overflowPunct/>
              <w:topLinePunct w:val="0"/>
              <w:autoSpaceDE/>
              <w:autoSpaceDN/>
              <w:bidi w:val="0"/>
              <w:snapToGrid/>
              <w:spacing w:beforeAutospacing="0" w:afterAutospacing="0" w:line="360" w:lineRule="auto"/>
              <w:ind w:left="0" w:leftChars="0" w:right="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5、与《四川省、重庆市长江经济带发展负面清单实施细则（试行，2022年版）》（川长江办〔2022〕17号）的符合性分析</w:t>
            </w:r>
          </w:p>
          <w:p>
            <w:pPr>
              <w:keepNext w:val="0"/>
              <w:keepLines w:val="0"/>
              <w:pageBreakBefore w:val="0"/>
              <w:widowControl w:val="0"/>
              <w:suppressLineNumbers w:val="0"/>
              <w:tabs>
                <w:tab w:val="left" w:pos="2040"/>
              </w:tabs>
              <w:kinsoku/>
              <w:wordWrap/>
              <w:overflowPunct/>
              <w:topLinePunct w:val="0"/>
              <w:autoSpaceDE/>
              <w:autoSpaceDN/>
              <w:bidi w:val="0"/>
              <w:snapToGrid/>
              <w:spacing w:beforeAutospacing="0" w:afterAutospacing="0" w:line="360" w:lineRule="auto"/>
              <w:ind w:left="0" w:leftChars="0" w:right="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本项目的建设与《四川省、重庆市长江经济带发展负面清单实施细则（试行，2022年版）》（川长江办〔2022〕17号）符合性分析如下：</w:t>
            </w:r>
          </w:p>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表1-</w:t>
            </w:r>
            <w:r>
              <w:rPr>
                <w:rFonts w:hint="default" w:ascii="Times New Roman" w:hAnsi="Times New Roman" w:eastAsia="黑体" w:cs="Times New Roman"/>
                <w:color w:val="auto"/>
                <w:szCs w:val="21"/>
                <w:highlight w:val="none"/>
                <w:lang w:val="en-US" w:eastAsia="zh-CN"/>
              </w:rPr>
              <w:t xml:space="preserve">7 </w:t>
            </w:r>
            <w:r>
              <w:rPr>
                <w:rFonts w:hint="default" w:ascii="Times New Roman" w:hAnsi="Times New Roman" w:eastAsia="黑体" w:cs="Times New Roman"/>
                <w:color w:val="auto"/>
                <w:szCs w:val="21"/>
                <w:highlight w:val="none"/>
              </w:rPr>
              <w:t>本项目与</w:t>
            </w:r>
            <w:r>
              <w:rPr>
                <w:rFonts w:hint="default" w:ascii="Times New Roman" w:hAnsi="Times New Roman" w:eastAsia="黑体" w:cs="Times New Roman"/>
                <w:color w:val="auto"/>
                <w:szCs w:val="21"/>
                <w:highlight w:val="none"/>
                <w:lang w:val="en-US" w:eastAsia="zh-CN"/>
              </w:rPr>
              <w:t>川长江办〔2022〕17号</w:t>
            </w:r>
            <w:r>
              <w:rPr>
                <w:rFonts w:hint="default" w:ascii="Times New Roman" w:hAnsi="Times New Roman" w:eastAsia="黑体" w:cs="Times New Roman"/>
                <w:color w:val="auto"/>
                <w:szCs w:val="21"/>
                <w:highlight w:val="none"/>
              </w:rPr>
              <w:t>符合性分析</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6407"/>
              <w:gridCol w:w="1330"/>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eastAsiaTheme="minorEastAsia"/>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序号</w:t>
                  </w:r>
                </w:p>
              </w:tc>
              <w:tc>
                <w:tcPr>
                  <w:tcW w:w="372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实施细则相关要求</w:t>
                  </w:r>
                </w:p>
              </w:tc>
              <w:tc>
                <w:tcPr>
                  <w:tcW w:w="77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项目情况</w:t>
                  </w:r>
                </w:p>
              </w:tc>
              <w:tc>
                <w:tcPr>
                  <w:tcW w:w="248"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1</w:t>
                  </w:r>
                </w:p>
              </w:tc>
              <w:tc>
                <w:tcPr>
                  <w:tcW w:w="372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禁止建设不符合全国和省级港口布局规划以及港口总体规划的码头项目，禁止建设不符合《长江干线过江通道布局规划》的过长江通道项目。</w:t>
                  </w:r>
                </w:p>
              </w:tc>
              <w:tc>
                <w:tcPr>
                  <w:tcW w:w="77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不属于码头项目</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过长江通道项目</w:t>
                  </w:r>
                </w:p>
              </w:tc>
              <w:tc>
                <w:tcPr>
                  <w:tcW w:w="248"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2</w:t>
                  </w:r>
                </w:p>
              </w:tc>
              <w:tc>
                <w:tcPr>
                  <w:tcW w:w="372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禁止在自然保护区核心区、缓冲区的岸线和河段范围内投资建设旅游和生产经营项目。禁止在风景名胜区核心景区的岸线和河段范围内投资建设与风景名胜资源保护无关的项目。</w:t>
                  </w:r>
                </w:p>
              </w:tc>
              <w:tc>
                <w:tcPr>
                  <w:tcW w:w="77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不涉及自然保护区</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风景名胜区</w:t>
                  </w:r>
                </w:p>
              </w:tc>
              <w:tc>
                <w:tcPr>
                  <w:tcW w:w="248"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3</w:t>
                  </w:r>
                </w:p>
              </w:tc>
              <w:tc>
                <w:tcPr>
                  <w:tcW w:w="372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77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 w:val="21"/>
                      <w:szCs w:val="21"/>
                      <w:highlight w:val="none"/>
                      <w:vertAlign w:val="baseline"/>
                      <w:lang w:val="en-US" w:eastAsia="zh-CN"/>
                    </w:rPr>
                    <w:t>项目属于新建供水设施建设项目，不属于禁止建设项目</w:t>
                  </w:r>
                </w:p>
              </w:tc>
              <w:tc>
                <w:tcPr>
                  <w:tcW w:w="248"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4</w:t>
                  </w:r>
                </w:p>
              </w:tc>
              <w:tc>
                <w:tcPr>
                  <w:tcW w:w="372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77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不涉及水产种质资源保护区</w:t>
                  </w:r>
                </w:p>
              </w:tc>
              <w:tc>
                <w:tcPr>
                  <w:tcW w:w="248"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p>
              </w:tc>
              <w:tc>
                <w:tcPr>
                  <w:tcW w:w="372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77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项目属于供水工程，且不涉及保护区</w:t>
                  </w:r>
                </w:p>
              </w:tc>
              <w:tc>
                <w:tcPr>
                  <w:tcW w:w="248"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6</w:t>
                  </w:r>
                </w:p>
              </w:tc>
              <w:tc>
                <w:tcPr>
                  <w:tcW w:w="372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禁止未经许可在长江干支流及湖泊新设、改设或扩大排污口。</w:t>
                  </w:r>
                </w:p>
              </w:tc>
              <w:tc>
                <w:tcPr>
                  <w:tcW w:w="77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项目不设置排污口</w:t>
                  </w:r>
                </w:p>
              </w:tc>
              <w:tc>
                <w:tcPr>
                  <w:tcW w:w="248"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w:t>
                  </w:r>
                </w:p>
              </w:tc>
              <w:tc>
                <w:tcPr>
                  <w:tcW w:w="372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禁止在“一江一口两湖七河”和332个水生生物保护区开展生产性捕捞。</w:t>
                  </w:r>
                </w:p>
              </w:tc>
              <w:tc>
                <w:tcPr>
                  <w:tcW w:w="77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不涉及</w:t>
                  </w:r>
                </w:p>
              </w:tc>
              <w:tc>
                <w:tcPr>
                  <w:tcW w:w="248"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w:t>
                  </w:r>
                </w:p>
              </w:tc>
              <w:tc>
                <w:tcPr>
                  <w:tcW w:w="372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77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不涉及</w:t>
                  </w:r>
                </w:p>
              </w:tc>
              <w:tc>
                <w:tcPr>
                  <w:tcW w:w="248"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9</w:t>
                  </w:r>
                </w:p>
              </w:tc>
              <w:tc>
                <w:tcPr>
                  <w:tcW w:w="372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禁止在合规园区外新建、扩建钢铁、石化、化工、焦化、建材、有色、制浆造纸等高污染项目。</w:t>
                  </w:r>
                </w:p>
              </w:tc>
              <w:tc>
                <w:tcPr>
                  <w:tcW w:w="77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不涉及</w:t>
                  </w:r>
                </w:p>
              </w:tc>
              <w:tc>
                <w:tcPr>
                  <w:tcW w:w="248"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p>
              </w:tc>
              <w:tc>
                <w:tcPr>
                  <w:tcW w:w="372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禁止新建、扩建不符合国家石化、现代煤化工等产业布局规划的项目。</w:t>
                  </w:r>
                </w:p>
              </w:tc>
              <w:tc>
                <w:tcPr>
                  <w:tcW w:w="77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不涉及</w:t>
                  </w:r>
                </w:p>
              </w:tc>
              <w:tc>
                <w:tcPr>
                  <w:tcW w:w="248"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w:t>
                  </w:r>
                </w:p>
              </w:tc>
              <w:tc>
                <w:tcPr>
                  <w:tcW w:w="372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禁止新建、扩建法律法规和相关政策明令禁止的落后产能项目。禁止新建、扩建不符合国家产能置换要求的严重过剩产能行业的项目。禁止新建、扩建不符合要求的高耗能高排放</w:t>
                  </w:r>
                  <w:r>
                    <w:rPr>
                      <w:rFonts w:hint="default" w:ascii="Times New Roman" w:hAnsi="Times New Roman" w:cs="Times New Roman"/>
                      <w:color w:val="auto"/>
                      <w:szCs w:val="21"/>
                      <w:highlight w:val="none"/>
                      <w:lang w:val="en-US" w:eastAsia="zh-CN"/>
                    </w:rPr>
                    <w:t>项目。</w:t>
                  </w:r>
                </w:p>
              </w:tc>
              <w:tc>
                <w:tcPr>
                  <w:tcW w:w="77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属于鼓励类项目</w:t>
                  </w:r>
                </w:p>
              </w:tc>
              <w:tc>
                <w:tcPr>
                  <w:tcW w:w="248"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bl>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因此，项目建设满足川长江办〔2022〕17号的相应要求。</w:t>
            </w:r>
          </w:p>
          <w:p>
            <w:pPr>
              <w:keepNext w:val="0"/>
              <w:keepLines w:val="0"/>
              <w:pageBreakBefore w:val="0"/>
              <w:widowControl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6、与长江保护法符合性分析</w:t>
            </w: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自2021年3月1日起施行的《中华人民共和国长江保护法》，是为了加强</w:t>
            </w:r>
            <w:r>
              <w:rPr>
                <w:rFonts w:hint="default" w:ascii="Times New Roman" w:hAnsi="Times New Roman" w:cs="Times New Roman"/>
                <w:b w:val="0"/>
                <w:bCs w:val="0"/>
                <w:color w:val="auto"/>
                <w:sz w:val="24"/>
                <w:szCs w:val="32"/>
                <w:highlight w:val="none"/>
                <w:vertAlign w:val="baseline"/>
                <w:lang w:val="en-US" w:eastAsia="zh-CN"/>
              </w:rPr>
              <w:fldChar w:fldCharType="begin"/>
            </w:r>
            <w:r>
              <w:rPr>
                <w:rFonts w:hint="default" w:ascii="Times New Roman" w:hAnsi="Times New Roman" w:cs="Times New Roman"/>
                <w:b w:val="0"/>
                <w:bCs w:val="0"/>
                <w:color w:val="auto"/>
                <w:sz w:val="24"/>
                <w:szCs w:val="32"/>
                <w:highlight w:val="none"/>
                <w:vertAlign w:val="baseline"/>
                <w:lang w:val="en-US" w:eastAsia="zh-CN"/>
              </w:rPr>
              <w:instrText xml:space="preserve"> HYPERLINK "https://baike.baidu.com/item/%E9%95%BF%E6%B1%9F/388" \t "_blank" </w:instrText>
            </w:r>
            <w:r>
              <w:rPr>
                <w:rFonts w:hint="default" w:ascii="Times New Roman" w:hAnsi="Times New Roman" w:cs="Times New Roman"/>
                <w:b w:val="0"/>
                <w:bCs w:val="0"/>
                <w:color w:val="auto"/>
                <w:sz w:val="24"/>
                <w:szCs w:val="32"/>
                <w:highlight w:val="none"/>
                <w:vertAlign w:val="baseline"/>
                <w:lang w:val="en-US" w:eastAsia="zh-CN"/>
              </w:rPr>
              <w:fldChar w:fldCharType="separate"/>
            </w:r>
            <w:r>
              <w:rPr>
                <w:rFonts w:hint="default" w:ascii="Times New Roman" w:hAnsi="Times New Roman" w:cs="Times New Roman"/>
                <w:b w:val="0"/>
                <w:bCs w:val="0"/>
                <w:color w:val="auto"/>
                <w:sz w:val="24"/>
                <w:szCs w:val="32"/>
                <w:highlight w:val="none"/>
                <w:vertAlign w:val="baseline"/>
                <w:lang w:val="en-US" w:eastAsia="zh-CN"/>
              </w:rPr>
              <w:t>长江</w:t>
            </w:r>
            <w:r>
              <w:rPr>
                <w:rFonts w:hint="default" w:ascii="Times New Roman" w:hAnsi="Times New Roman" w:cs="Times New Roman"/>
                <w:b w:val="0"/>
                <w:bCs w:val="0"/>
                <w:color w:val="auto"/>
                <w:sz w:val="24"/>
                <w:szCs w:val="32"/>
                <w:highlight w:val="none"/>
                <w:vertAlign w:val="baseline"/>
                <w:lang w:val="en-US" w:eastAsia="zh-CN"/>
              </w:rPr>
              <w:fldChar w:fldCharType="end"/>
            </w:r>
            <w:r>
              <w:rPr>
                <w:rFonts w:hint="default" w:ascii="Times New Roman" w:hAnsi="Times New Roman" w:cs="Times New Roman"/>
                <w:b w:val="0"/>
                <w:bCs w:val="0"/>
                <w:color w:val="auto"/>
                <w:sz w:val="24"/>
                <w:szCs w:val="32"/>
                <w:highlight w:val="none"/>
                <w:vertAlign w:val="baseline"/>
                <w:lang w:val="en-US" w:eastAsia="zh-CN"/>
              </w:rPr>
              <w:t>流域生态环境保护和修复，促进资源合理高效利用，保障生态安全，实现人与自然和谐共生、中华民族永续发展制定的法律。项目与“长江保护法”符合性分析如下：</w:t>
            </w:r>
          </w:p>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表1-</w:t>
            </w:r>
            <w:r>
              <w:rPr>
                <w:rFonts w:hint="default" w:ascii="Times New Roman" w:hAnsi="Times New Roman" w:eastAsia="黑体" w:cs="Times New Roman"/>
                <w:color w:val="auto"/>
                <w:szCs w:val="21"/>
                <w:highlight w:val="none"/>
                <w:lang w:val="en-US" w:eastAsia="zh-CN"/>
              </w:rPr>
              <w:t>8 项目与“长江保护法”的符合性分析</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56"/>
              <w:gridCol w:w="4256"/>
              <w:gridCol w:w="3230"/>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6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47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原文内容</w:t>
                  </w:r>
                </w:p>
              </w:tc>
              <w:tc>
                <w:tcPr>
                  <w:tcW w:w="187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38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2" w:hRule="atLeast"/>
                <w:jc w:val="center"/>
              </w:trPr>
              <w:tc>
                <w:tcPr>
                  <w:tcW w:w="26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247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第二十一条长江流域水质超标的水功能区，应当实施更严格的污染物排放总量削减要求。企业事业单位应当按照要求，采取污染物排放总量控制措施。</w:t>
                  </w:r>
                </w:p>
              </w:tc>
              <w:tc>
                <w:tcPr>
                  <w:tcW w:w="187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项目所在区域水环境质量满足相应功能区要求，</w:t>
                  </w:r>
                  <w:r>
                    <w:rPr>
                      <w:rFonts w:hint="default" w:ascii="Times New Roman" w:hAnsi="Times New Roman" w:cs="Times New Roman"/>
                      <w:color w:val="auto"/>
                      <w:sz w:val="21"/>
                      <w:szCs w:val="21"/>
                      <w:highlight w:val="none"/>
                      <w:lang w:val="en-US" w:eastAsia="zh-CN"/>
                    </w:rPr>
                    <w:t>项目生活污水（食堂废水先经隔油池处理）经化粪池处理后用于农肥，项目排泥水和反冲洗废水经泥水混合池收集后，经泵提升至浓缩池进行浓缩，其上清液回用至预沉池，底部泥水进入脱水间脱水，其脱水滤液回到泥水混合池，生产废水循环使用，不外排。</w:t>
                  </w:r>
                </w:p>
              </w:tc>
              <w:tc>
                <w:tcPr>
                  <w:tcW w:w="38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6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247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第二十二条长江流域产业结构和布局应当与长江流域生态系统和资源环境承载能力相适应。禁止在长江流域重点生态功能区布局对生态系统有严重影响的产业。禁止重污染企业和项目向长江中上游转移。</w:t>
                  </w:r>
                </w:p>
              </w:tc>
              <w:tc>
                <w:tcPr>
                  <w:tcW w:w="187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项目所在地不属于长江流域重点生态功能区，对生态系统不会造成严重影响，</w:t>
                  </w:r>
                  <w:r>
                    <w:rPr>
                      <w:rFonts w:hint="default" w:ascii="Times New Roman" w:hAnsi="Times New Roman" w:cs="Times New Roman"/>
                      <w:bCs/>
                      <w:color w:val="auto"/>
                      <w:sz w:val="21"/>
                      <w:szCs w:val="21"/>
                      <w:highlight w:val="none"/>
                      <w:lang w:val="en-US" w:eastAsia="zh-CN"/>
                    </w:rPr>
                    <w:t>本项目</w:t>
                  </w:r>
                  <w:r>
                    <w:rPr>
                      <w:rFonts w:hint="default" w:ascii="Times New Roman" w:hAnsi="Times New Roman" w:cs="Times New Roman"/>
                      <w:color w:val="auto"/>
                      <w:highlight w:val="none"/>
                    </w:rPr>
                    <w:t>属于农村基础设施建设项目</w:t>
                  </w:r>
                  <w:r>
                    <w:rPr>
                      <w:rFonts w:hint="default" w:ascii="Times New Roman" w:hAnsi="Times New Roman" w:cs="Times New Roman"/>
                      <w:color w:val="auto"/>
                      <w:highlight w:val="none"/>
                      <w:lang w:eastAsia="zh-CN"/>
                    </w:rPr>
                    <w:t>，</w:t>
                  </w:r>
                  <w:r>
                    <w:rPr>
                      <w:rFonts w:hint="default" w:ascii="Times New Roman" w:hAnsi="Times New Roman" w:eastAsia="宋体" w:cs="Times New Roman"/>
                      <w:bCs/>
                      <w:color w:val="auto"/>
                      <w:sz w:val="21"/>
                      <w:szCs w:val="21"/>
                      <w:highlight w:val="none"/>
                    </w:rPr>
                    <w:t>不属于重污染项目。</w:t>
                  </w:r>
                </w:p>
              </w:tc>
              <w:tc>
                <w:tcPr>
                  <w:tcW w:w="38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6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p>
              </w:tc>
              <w:tc>
                <w:tcPr>
                  <w:tcW w:w="247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第二十六条禁止在长江干支流岸线一公里范围内新建、扩建化工园区和化工项目。禁止在长江干流岸</w:t>
                  </w:r>
                  <w:r>
                    <w:rPr>
                      <w:rFonts w:hint="default" w:ascii="Times New Roman" w:hAnsi="Times New Roman" w:eastAsia="宋体" w:cs="Times New Roman"/>
                      <w:bCs/>
                      <w:color w:val="auto"/>
                      <w:sz w:val="21"/>
                      <w:szCs w:val="21"/>
                      <w:highlight w:val="none"/>
                    </w:rPr>
                    <w:cr/>
                  </w:r>
                  <w:r>
                    <w:rPr>
                      <w:rFonts w:hint="default" w:ascii="Times New Roman" w:hAnsi="Times New Roman" w:eastAsia="宋体" w:cs="Times New Roman"/>
                      <w:bCs/>
                      <w:color w:val="auto"/>
                      <w:sz w:val="21"/>
                      <w:szCs w:val="21"/>
                      <w:highlight w:val="none"/>
                    </w:rPr>
                    <w:t>三公里范围内和重要支流岸线一公里范围内新建、改建、扩建尾矿库；但是以提升安全、生态环境保护水平为目的的改建除外。</w:t>
                  </w:r>
                </w:p>
              </w:tc>
              <w:tc>
                <w:tcPr>
                  <w:tcW w:w="187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vertAlign w:val="baseline"/>
                      <w:lang w:val="en-US" w:eastAsia="zh-CN" w:bidi="en-US"/>
                    </w:rPr>
                    <w:t>项目</w:t>
                  </w:r>
                  <w:r>
                    <w:rPr>
                      <w:rFonts w:hint="default" w:ascii="Times New Roman" w:hAnsi="Times New Roman" w:cs="Times New Roman"/>
                      <w:color w:val="auto"/>
                      <w:highlight w:val="none"/>
                    </w:rPr>
                    <w:t>属于</w:t>
                  </w:r>
                  <w:r>
                    <w:rPr>
                      <w:rFonts w:hint="default" w:ascii="Times New Roman" w:hAnsi="Times New Roman" w:cs="Times New Roman"/>
                      <w:color w:val="auto"/>
                      <w:highlight w:val="none"/>
                      <w:lang w:val="en-US" w:eastAsia="zh-CN"/>
                    </w:rPr>
                    <w:t>集中供水工程</w:t>
                  </w:r>
                  <w:r>
                    <w:rPr>
                      <w:rFonts w:hint="default" w:ascii="Times New Roman" w:hAnsi="Times New Roman" w:cs="Times New Roman"/>
                      <w:bCs/>
                      <w:color w:val="auto"/>
                      <w:sz w:val="21"/>
                      <w:szCs w:val="21"/>
                      <w:highlight w:val="none"/>
                      <w:lang w:val="en-US" w:eastAsia="zh-CN"/>
                    </w:rPr>
                    <w:t>，项目不属于</w:t>
                  </w:r>
                  <w:r>
                    <w:rPr>
                      <w:rFonts w:hint="default" w:ascii="Times New Roman" w:hAnsi="Times New Roman" w:eastAsia="宋体" w:cs="Times New Roman"/>
                      <w:bCs/>
                      <w:color w:val="auto"/>
                      <w:sz w:val="21"/>
                      <w:szCs w:val="21"/>
                      <w:highlight w:val="none"/>
                    </w:rPr>
                    <w:t>化工项目</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lang w:val="en-US" w:eastAsia="zh-CN"/>
                    </w:rPr>
                    <w:t>也不属于</w:t>
                  </w:r>
                  <w:r>
                    <w:rPr>
                      <w:rFonts w:hint="default" w:ascii="Times New Roman" w:hAnsi="Times New Roman" w:eastAsia="宋体" w:cs="Times New Roman"/>
                      <w:bCs/>
                      <w:color w:val="auto"/>
                      <w:sz w:val="21"/>
                      <w:szCs w:val="21"/>
                      <w:highlight w:val="none"/>
                    </w:rPr>
                    <w:t>尾矿库</w:t>
                  </w:r>
                  <w:r>
                    <w:rPr>
                      <w:rFonts w:hint="default" w:ascii="Times New Roman" w:hAnsi="Times New Roman" w:cs="Times New Roman"/>
                      <w:bCs/>
                      <w:color w:val="auto"/>
                      <w:sz w:val="21"/>
                      <w:szCs w:val="21"/>
                      <w:highlight w:val="none"/>
                      <w:lang w:val="en-US" w:eastAsia="zh-CN"/>
                    </w:rPr>
                    <w:t>项目。</w:t>
                  </w:r>
                </w:p>
              </w:tc>
              <w:tc>
                <w:tcPr>
                  <w:tcW w:w="38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6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p>
              </w:tc>
              <w:tc>
                <w:tcPr>
                  <w:tcW w:w="247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第二十八条禁止在长江流域禁止采砂区和禁止采砂期从事采砂活动。</w:t>
                  </w:r>
                </w:p>
              </w:tc>
              <w:tc>
                <w:tcPr>
                  <w:tcW w:w="187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本项目不涉及采砂活动。</w:t>
                  </w:r>
                </w:p>
              </w:tc>
              <w:tc>
                <w:tcPr>
                  <w:tcW w:w="38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6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w:t>
                  </w:r>
                </w:p>
              </w:tc>
              <w:tc>
                <w:tcPr>
                  <w:tcW w:w="247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第三十八条加强对高耗水行业、重点用水单位的用水定额管理，严格控制高耗水项目建设。</w:t>
                  </w:r>
                </w:p>
              </w:tc>
              <w:tc>
                <w:tcPr>
                  <w:tcW w:w="187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本项目不属于高耗水项目。</w:t>
                  </w:r>
                </w:p>
              </w:tc>
              <w:tc>
                <w:tcPr>
                  <w:tcW w:w="38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bl>
          <w:p>
            <w:pPr>
              <w:keepNext w:val="0"/>
              <w:keepLines w:val="0"/>
              <w:pageBreakBefore w:val="0"/>
              <w:widowControl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7、与《四川省嘉陵江流域生态环境保护条例》的符合性分析</w:t>
            </w: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2021年11月25日四川省第十三届人民代表大会常务委员会第三十一次会议通过了《四川省嘉陵江流域生态环境保护条例》，本项目与其符合性分析见下表：</w:t>
            </w:r>
          </w:p>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default"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szCs w:val="21"/>
                <w:highlight w:val="none"/>
              </w:rPr>
              <w:t>表1-</w:t>
            </w:r>
            <w:r>
              <w:rPr>
                <w:rFonts w:hint="default" w:ascii="Times New Roman" w:hAnsi="Times New Roman" w:eastAsia="黑体" w:cs="Times New Roman"/>
                <w:color w:val="auto"/>
                <w:szCs w:val="21"/>
                <w:highlight w:val="none"/>
                <w:lang w:val="en-US" w:eastAsia="zh-CN"/>
              </w:rPr>
              <w:t>9 与《四川省嘉陵江流域生态环境保护条例》的符合性分析</w:t>
            </w:r>
          </w:p>
          <w:tbl>
            <w:tblPr>
              <w:tblStyle w:val="19"/>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4027"/>
              <w:gridCol w:w="2986"/>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名称</w:t>
                  </w:r>
                </w:p>
              </w:tc>
              <w:tc>
                <w:tcPr>
                  <w:tcW w:w="2340"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法律条文</w:t>
                  </w:r>
                </w:p>
              </w:tc>
              <w:tc>
                <w:tcPr>
                  <w:tcW w:w="1735"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本项目情况</w:t>
                  </w:r>
                </w:p>
              </w:tc>
              <w:tc>
                <w:tcPr>
                  <w:tcW w:w="377"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第十七条</w:t>
                  </w:r>
                </w:p>
              </w:tc>
              <w:tc>
                <w:tcPr>
                  <w:tcW w:w="2340" w:type="pct"/>
                  <w:noWrap w:val="0"/>
                  <w:vAlign w:val="center"/>
                </w:tcPr>
                <w:p>
                  <w:pPr>
                    <w:keepNext w:val="0"/>
                    <w:keepLines w:val="0"/>
                    <w:pageBreakBefore w:val="0"/>
                    <w:kinsoku/>
                    <w:wordWrap/>
                    <w:topLinePunct w:val="0"/>
                    <w:bidi w:val="0"/>
                    <w:spacing w:line="240" w:lineRule="auto"/>
                    <w:ind w:left="0" w:leftChars="0"/>
                    <w:jc w:val="left"/>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禁止在嘉陵江干支流岸线一公里范围内新建、扩建化工园区和化工项目</w:t>
                  </w:r>
                  <w:r>
                    <w:rPr>
                      <w:rFonts w:hint="default" w:ascii="Times New Roman" w:hAnsi="Times New Roman" w:cs="Times New Roman"/>
                      <w:color w:val="auto"/>
                      <w:sz w:val="21"/>
                      <w:szCs w:val="21"/>
                      <w:highlight w:val="none"/>
                      <w:lang w:eastAsia="zh-CN"/>
                    </w:rPr>
                    <w:t>。</w:t>
                  </w:r>
                </w:p>
              </w:tc>
              <w:tc>
                <w:tcPr>
                  <w:tcW w:w="1735"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olor w:val="auto"/>
                      <w:sz w:val="21"/>
                      <w:szCs w:val="21"/>
                      <w:highlight w:val="none"/>
                      <w:vertAlign w:val="baseline"/>
                      <w:lang w:val="en-US" w:eastAsia="zh-CN" w:bidi="en-US"/>
                    </w:rPr>
                    <w:t>项目</w:t>
                  </w:r>
                  <w:r>
                    <w:rPr>
                      <w:rFonts w:hint="default" w:ascii="Times New Roman" w:hAnsi="Times New Roman" w:cs="Times New Roman"/>
                      <w:color w:val="auto"/>
                      <w:highlight w:val="none"/>
                    </w:rPr>
                    <w:t>属于</w:t>
                  </w:r>
                  <w:r>
                    <w:rPr>
                      <w:rFonts w:hint="default" w:ascii="Times New Roman" w:hAnsi="Times New Roman" w:cs="Times New Roman"/>
                      <w:color w:val="auto"/>
                      <w:highlight w:val="none"/>
                      <w:lang w:val="en-US" w:eastAsia="zh-CN"/>
                    </w:rPr>
                    <w:t>集中供水工程</w:t>
                  </w:r>
                  <w:r>
                    <w:rPr>
                      <w:rFonts w:hint="default" w:ascii="Times New Roman" w:hAnsi="Times New Roman" w:cs="Times New Roman"/>
                      <w:color w:val="auto"/>
                      <w:sz w:val="21"/>
                      <w:szCs w:val="21"/>
                      <w:highlight w:val="none"/>
                      <w:lang w:val="en-US" w:eastAsia="zh-CN"/>
                    </w:rPr>
                    <w:t>，不属于化工项目。</w:t>
                  </w:r>
                </w:p>
              </w:tc>
              <w:tc>
                <w:tcPr>
                  <w:tcW w:w="377"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第二十一条</w:t>
                  </w:r>
                </w:p>
              </w:tc>
              <w:tc>
                <w:tcPr>
                  <w:tcW w:w="2340" w:type="pct"/>
                  <w:noWrap w:val="0"/>
                  <w:vAlign w:val="center"/>
                </w:tcPr>
                <w:p>
                  <w:pPr>
                    <w:keepNext w:val="0"/>
                    <w:keepLines w:val="0"/>
                    <w:pageBreakBefore w:val="0"/>
                    <w:kinsoku/>
                    <w:wordWrap/>
                    <w:topLinePunct w:val="0"/>
                    <w:bidi w:val="0"/>
                    <w:spacing w:line="240" w:lineRule="auto"/>
                    <w:ind w:left="0" w:left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按照排污许可证的规定排放污染物；禁止未取得排污许可证或者违反排污许可证的规定排放污染物。</w:t>
                  </w:r>
                </w:p>
              </w:tc>
              <w:tc>
                <w:tcPr>
                  <w:tcW w:w="1735"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项目不设总量</w:t>
                  </w:r>
                </w:p>
              </w:tc>
              <w:tc>
                <w:tcPr>
                  <w:tcW w:w="377"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第六十七条</w:t>
                  </w:r>
                </w:p>
              </w:tc>
              <w:tc>
                <w:tcPr>
                  <w:tcW w:w="2340" w:type="pct"/>
                  <w:noWrap w:val="0"/>
                  <w:vAlign w:val="center"/>
                </w:tcPr>
                <w:p>
                  <w:pPr>
                    <w:keepNext w:val="0"/>
                    <w:keepLines w:val="0"/>
                    <w:pageBreakBefore w:val="0"/>
                    <w:kinsoku/>
                    <w:wordWrap/>
                    <w:topLinePunct w:val="0"/>
                    <w:bidi w:val="0"/>
                    <w:spacing w:line="240" w:lineRule="auto"/>
                    <w:ind w:left="0" w:left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工业集聚区管理机构应当建设污水集中处理设施和配套管网，实行雨污分流，实现废水分类收集、分质处理。排污单位对污水进行预处理后向污水集中处理设施排放的，应当符合污水集中处理设施的接纳标准。</w:t>
                  </w:r>
                </w:p>
              </w:tc>
              <w:tc>
                <w:tcPr>
                  <w:tcW w:w="1735"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不属于重点水污染排放项目，也不属于高污染项目。生活污水（食堂废水先经隔油池处理）经化粪池处理后用于农肥，排泥水和反冲洗废水经泥水混合池收集后，经泵提升至浓缩池进行浓缩，其上清液回用至预沉池，底部泥水进入脱水间脱水，其脱水滤液回到泥水混合池，生产废水循环使用，不外排。厂区采取雨污分流制。</w:t>
                  </w:r>
                </w:p>
              </w:tc>
              <w:tc>
                <w:tcPr>
                  <w:tcW w:w="377"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第七十三条</w:t>
                  </w:r>
                </w:p>
              </w:tc>
              <w:tc>
                <w:tcPr>
                  <w:tcW w:w="2340" w:type="pct"/>
                  <w:noWrap w:val="0"/>
                  <w:vAlign w:val="center"/>
                </w:tcPr>
                <w:p>
                  <w:pPr>
                    <w:keepNext w:val="0"/>
                    <w:keepLines w:val="0"/>
                    <w:pageBreakBefore w:val="0"/>
                    <w:kinsoku/>
                    <w:wordWrap/>
                    <w:topLinePunct w:val="0"/>
                    <w:bidi w:val="0"/>
                    <w:spacing w:line="240" w:lineRule="auto"/>
                    <w:ind w:left="0" w:left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禁止在嘉陵江流域河湖管理范围内倾倒、填埋、堆放、弃置、处理固体废物。</w:t>
                  </w:r>
                </w:p>
              </w:tc>
              <w:tc>
                <w:tcPr>
                  <w:tcW w:w="1735"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项目固体废物严格按照相关要求进行收集和处置。</w:t>
                  </w:r>
                </w:p>
              </w:tc>
              <w:tc>
                <w:tcPr>
                  <w:tcW w:w="377"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第八十条</w:t>
                  </w:r>
                </w:p>
              </w:tc>
              <w:tc>
                <w:tcPr>
                  <w:tcW w:w="2340" w:type="pct"/>
                  <w:noWrap w:val="0"/>
                  <w:vAlign w:val="center"/>
                </w:tcPr>
                <w:p>
                  <w:pPr>
                    <w:keepNext w:val="0"/>
                    <w:keepLines w:val="0"/>
                    <w:pageBreakBefore w:val="0"/>
                    <w:kinsoku/>
                    <w:wordWrap/>
                    <w:topLinePunct w:val="0"/>
                    <w:bidi w:val="0"/>
                    <w:spacing w:line="240" w:lineRule="auto"/>
                    <w:ind w:left="0" w:leftChars="0"/>
                    <w:jc w:val="left"/>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限期禁止生产、销售、进口、使用、转让严重污染水环境的工艺和设备</w:t>
                  </w:r>
                  <w:r>
                    <w:rPr>
                      <w:rFonts w:hint="default" w:ascii="Times New Roman" w:hAnsi="Times New Roman" w:cs="Times New Roman"/>
                      <w:color w:val="auto"/>
                      <w:sz w:val="21"/>
                      <w:szCs w:val="21"/>
                      <w:highlight w:val="none"/>
                      <w:lang w:eastAsia="zh-CN"/>
                    </w:rPr>
                    <w:t>。</w:t>
                  </w:r>
                </w:p>
              </w:tc>
              <w:tc>
                <w:tcPr>
                  <w:tcW w:w="1735"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项目所用的设备、工艺不属于严重污染水环境的工艺和设备</w:t>
                  </w:r>
                </w:p>
              </w:tc>
              <w:tc>
                <w:tcPr>
                  <w:tcW w:w="377"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符合</w:t>
                  </w:r>
                </w:p>
              </w:tc>
            </w:tr>
          </w:tbl>
          <w:p>
            <w:pPr>
              <w:keepNext w:val="0"/>
              <w:keepLines w:val="0"/>
              <w:pageBreakBefore w:val="0"/>
              <w:widowControl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eastAsia="zh-CN"/>
              </w:rPr>
            </w:pPr>
            <w:r>
              <w:rPr>
                <w:rFonts w:hint="default" w:ascii="Times New Roman" w:hAnsi="Times New Roman" w:cs="Times New Roman"/>
                <w:b/>
                <w:bCs/>
                <w:color w:val="auto"/>
                <w:sz w:val="24"/>
                <w:szCs w:val="32"/>
                <w:highlight w:val="none"/>
                <w:vertAlign w:val="baseline"/>
                <w:lang w:val="en-US" w:eastAsia="zh-CN"/>
              </w:rPr>
              <w:t>8、</w:t>
            </w:r>
            <w:r>
              <w:rPr>
                <w:rFonts w:hint="default" w:ascii="Times New Roman" w:hAnsi="Times New Roman" w:cs="Times New Roman"/>
                <w:b/>
                <w:bCs/>
                <w:color w:val="auto"/>
                <w:sz w:val="24"/>
                <w:szCs w:val="32"/>
                <w:highlight w:val="none"/>
                <w:vertAlign w:val="baseline"/>
                <w:lang w:eastAsia="zh-CN"/>
              </w:rPr>
              <w:t>与饮用水水源保护管理条例符合性分析</w:t>
            </w:r>
          </w:p>
          <w:p>
            <w:pPr>
              <w:keepNext w:val="0"/>
              <w:keepLines w:val="0"/>
              <w:pageBreakBefore w:val="0"/>
              <w:widowControl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（1）</w:t>
            </w:r>
            <w:r>
              <w:rPr>
                <w:rFonts w:hint="default" w:ascii="Times New Roman" w:hAnsi="Times New Roman" w:cs="Times New Roman"/>
                <w:b/>
                <w:bCs/>
                <w:color w:val="auto"/>
                <w:sz w:val="24"/>
                <w:szCs w:val="32"/>
                <w:highlight w:val="none"/>
                <w:vertAlign w:val="baseline"/>
                <w:lang w:eastAsia="zh-CN"/>
              </w:rPr>
              <w:t>与《四川省饮用水水源保护管理条例》符合性分析</w:t>
            </w: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根据《四川省饮用水水源保护管理条例》要求：地表水饮用水水源一级保护区内，除遵守地表水饮用水准保护区规定、二级保护区内规定外，还应当遵守下列规定：（1）禁止新建、改建、扩建与供水设施和保护水源无关的建设项目，已建成的与供水设施和保护水源无关的建设项目，由县级以上地方人民政府责令拆除或者关闭；（2）禁止使用化肥；（3）禁止设置畜禽养殖场；（4）禁止与保护水源无关的船舶停靠、装卸；（5）禁止在水体清洗机动车辆；（6）禁止从事旅游、游泳、垂钓或者其他污染饮用水水体的活动。</w:t>
            </w:r>
          </w:p>
          <w:p>
            <w:pPr>
              <w:keepNext w:val="0"/>
              <w:keepLines w:val="0"/>
              <w:pageBreakBefore w:val="0"/>
              <w:widowControl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（2）与《达州市集中式饮用水水源保护管理条例》符合性分析</w:t>
            </w: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24"/>
                <w:highlight w:val="none"/>
                <w:shd w:val="clear" w:color="auto" w:fill="FFFFFF"/>
              </w:rPr>
              <w:t>根据《达州市集中式饮用水水源保护管理条例》</w:t>
            </w:r>
            <w:r>
              <w:rPr>
                <w:rFonts w:hint="default" w:ascii="Times New Roman" w:hAnsi="Times New Roman" w:cs="Times New Roman"/>
                <w:color w:val="auto"/>
                <w:sz w:val="24"/>
                <w:szCs w:val="24"/>
                <w:highlight w:val="none"/>
                <w:shd w:val="clear" w:color="auto" w:fill="FFFFFF"/>
                <w:lang w:val="en-US" w:eastAsia="zh-CN"/>
              </w:rPr>
              <w:t>要求：“新建、改建、扩建集中式饮用水供水工程项目的，应当采用封闭式管道引水方式，缩短径流引水距离，降低原水污染风险。”“本市实行饮用水水源保护区制度。”“禁止在地表水饮用水水源二级保护区内从事以下活动：（一）设置排污口；（二）设置规模化养殖场；（三）从事经营性取土、采石（砂）等活动；（四）修建墓地、丢弃或者掩埋动物尸体；（五）网箱养殖、施肥养鱼等污染饮用水水体的活动；（六）滥用农药和化肥；（七）法律、法规和本办法第十七条禁止的其他行为。”</w:t>
            </w:r>
          </w:p>
          <w:p>
            <w:pPr>
              <w:keepNext w:val="0"/>
              <w:keepLines w:val="0"/>
              <w:pageBreakBefore w:val="0"/>
              <w:widowControl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本项目供水厂位于</w:t>
            </w:r>
            <w:r>
              <w:rPr>
                <w:rFonts w:hint="default" w:ascii="Times New Roman" w:hAnsi="Times New Roman" w:eastAsia="宋体" w:cs="Times New Roman"/>
                <w:b/>
                <w:bCs/>
                <w:color w:val="auto"/>
                <w:sz w:val="24"/>
                <w:szCs w:val="32"/>
                <w:highlight w:val="none"/>
                <w:vertAlign w:val="baseline"/>
                <w:lang w:val="en-US" w:eastAsia="zh-CN"/>
              </w:rPr>
              <w:t>新华镇场镇东北侧巴山大峡谷快速通道旁，中河取水口位于新华场镇东北侧上游中河右岸</w:t>
            </w:r>
            <w:r>
              <w:rPr>
                <w:rFonts w:hint="default" w:ascii="Times New Roman" w:hAnsi="Times New Roman" w:cs="Times New Roman"/>
                <w:b/>
                <w:bCs/>
                <w:color w:val="auto"/>
                <w:sz w:val="24"/>
                <w:szCs w:val="32"/>
                <w:highlight w:val="none"/>
                <w:vertAlign w:val="baseline"/>
                <w:lang w:val="en-US" w:eastAsia="zh-CN"/>
              </w:rPr>
              <w:t>，中河取水口暂未划定饮用水水源保护区，为保证水源安全和城乡居民饮用水安全，环评要求：项目运营前中河取水口应取得饮用水水源保护区划定文件，并取得取水许可证。</w:t>
            </w:r>
          </w:p>
          <w:p>
            <w:pPr>
              <w:keepNext w:val="0"/>
              <w:keepLines w:val="0"/>
              <w:pageBreakBefore w:val="0"/>
              <w:widowControl w:val="0"/>
              <w:kinsoku/>
              <w:wordWrap/>
              <w:overflowPunct/>
              <w:topLinePunct w:val="0"/>
              <w:autoSpaceDE/>
              <w:autoSpaceDN/>
              <w:bidi w:val="0"/>
              <w:snapToGrid/>
              <w:spacing w:line="360" w:lineRule="auto"/>
              <w:ind w:left="0" w:leftChars="0" w:firstLine="482" w:firstLineChars="200"/>
              <w:rPr>
                <w:rFonts w:hint="default" w:ascii="Times New Roman" w:hAnsi="Times New Roman" w:eastAsia="宋体" w:cs="Times New Roman"/>
                <w:b/>
                <w:bCs/>
                <w:color w:val="auto"/>
                <w:sz w:val="24"/>
                <w:szCs w:val="32"/>
                <w:highlight w:val="none"/>
                <w:vertAlign w:val="baseline"/>
                <w:lang w:val="en-US" w:eastAsia="zh-CN"/>
              </w:rPr>
            </w:pPr>
            <w:r>
              <w:rPr>
                <w:rFonts w:hint="default" w:ascii="Times New Roman" w:hAnsi="Times New Roman" w:eastAsia="宋体" w:cs="Times New Roman"/>
                <w:b/>
                <w:bCs/>
                <w:color w:val="auto"/>
                <w:sz w:val="24"/>
                <w:szCs w:val="32"/>
                <w:highlight w:val="none"/>
                <w:vertAlign w:val="baseline"/>
                <w:lang w:val="en-US" w:eastAsia="zh-CN"/>
              </w:rPr>
              <w:t>本项目供水工程，划定中河饮用水源保护区后，取水泵房、部分输水管线在饮用水源保护区内，取水泵房和输水管线为本项目供水工程内容之一，不属于“禁止新建、改建、扩建与供水设施和保护水源无关的建设项目”，因此与条例内容相符；新华供水厂在</w:t>
            </w:r>
            <w:r>
              <w:rPr>
                <w:rFonts w:hint="default" w:ascii="Times New Roman" w:hAnsi="Times New Roman" w:cs="Times New Roman"/>
                <w:b/>
                <w:bCs/>
                <w:color w:val="auto"/>
                <w:sz w:val="24"/>
                <w:szCs w:val="32"/>
                <w:highlight w:val="none"/>
                <w:vertAlign w:val="baseline"/>
                <w:lang w:val="en-US" w:eastAsia="zh-CN"/>
              </w:rPr>
              <w:t>泥溪沟麻柳树河坝取水口下游</w:t>
            </w:r>
            <w:r>
              <w:rPr>
                <w:rFonts w:hint="default" w:ascii="Times New Roman" w:hAnsi="Times New Roman" w:eastAsia="宋体" w:cs="Times New Roman"/>
                <w:b/>
                <w:bCs/>
                <w:color w:val="auto"/>
                <w:sz w:val="24"/>
                <w:szCs w:val="32"/>
                <w:highlight w:val="none"/>
                <w:vertAlign w:val="baseline"/>
                <w:lang w:val="en-US" w:eastAsia="zh-CN"/>
              </w:rPr>
              <w:t>3.17km处，在</w:t>
            </w:r>
            <w:r>
              <w:rPr>
                <w:rFonts w:hint="default" w:ascii="Times New Roman" w:hAnsi="Times New Roman" w:cs="Times New Roman"/>
                <w:b/>
                <w:bCs/>
                <w:color w:val="auto"/>
                <w:sz w:val="24"/>
                <w:szCs w:val="32"/>
                <w:highlight w:val="none"/>
                <w:vertAlign w:val="baseline"/>
                <w:lang w:val="en-US" w:eastAsia="zh-CN"/>
              </w:rPr>
              <w:t>中河取水口下游</w:t>
            </w:r>
            <w:r>
              <w:rPr>
                <w:rFonts w:hint="default" w:ascii="Times New Roman" w:hAnsi="Times New Roman" w:eastAsia="宋体" w:cs="Times New Roman"/>
                <w:b/>
                <w:bCs/>
                <w:color w:val="auto"/>
                <w:sz w:val="24"/>
                <w:szCs w:val="32"/>
                <w:highlight w:val="none"/>
                <w:vertAlign w:val="baseline"/>
                <w:lang w:val="en-US" w:eastAsia="zh-CN"/>
              </w:rPr>
              <w:t>1.53km处，不在饮用水源保护区内。根据现场调查，中河取水点上游1000米至下游100米的水域范围无工业废水和生活污水排入、沿线无其他可能对水环境造成不利影响的堆渣，沿线主要为林地、农田等。</w:t>
            </w: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综上，本项目的建设与《四川省饮用水水源保护管理条例》、与《达州市集中式饮用水水源保护管理条例》内容相符。</w:t>
            </w:r>
          </w:p>
          <w:p>
            <w:pPr>
              <w:keepNext w:val="0"/>
              <w:keepLines w:val="0"/>
              <w:pageBreakBefore w:val="0"/>
              <w:widowControl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9、与饮用水水源关系符合性分析</w:t>
            </w: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根据达州市人民政府《关于划定万源市、宣汉县和大竹县乡镇及以下集中式饮用水水源地保护区的批复》（达市府函〔2020〕124号）可知，本项目供水厂位于</w:t>
            </w:r>
            <w:r>
              <w:rPr>
                <w:rFonts w:hint="default" w:ascii="Times New Roman" w:hAnsi="Times New Roman" w:cs="Times New Roman"/>
                <w:color w:val="auto"/>
                <w:sz w:val="24"/>
                <w:szCs w:val="32"/>
                <w:highlight w:val="none"/>
                <w:vertAlign w:val="baseline"/>
                <w:lang w:val="en-US" w:eastAsia="zh-CN"/>
              </w:rPr>
              <w:t>泥溪沟麻柳树河坝取水口下游</w:t>
            </w:r>
            <w:r>
              <w:rPr>
                <w:rFonts w:hint="default" w:ascii="Times New Roman" w:hAnsi="Times New Roman" w:eastAsia="宋体" w:cs="Times New Roman"/>
                <w:color w:val="auto"/>
                <w:sz w:val="24"/>
                <w:szCs w:val="32"/>
                <w:highlight w:val="none"/>
                <w:vertAlign w:val="baseline"/>
                <w:lang w:val="en-US" w:eastAsia="zh-CN"/>
              </w:rPr>
              <w:t>3.17km处，</w:t>
            </w:r>
            <w:r>
              <w:rPr>
                <w:rFonts w:hint="default" w:ascii="Times New Roman" w:hAnsi="Times New Roman" w:cs="Times New Roman"/>
                <w:b w:val="0"/>
                <w:bCs w:val="0"/>
                <w:color w:val="auto"/>
                <w:sz w:val="24"/>
                <w:szCs w:val="32"/>
                <w:highlight w:val="none"/>
                <w:vertAlign w:val="baseline"/>
                <w:lang w:val="en-US" w:eastAsia="zh-CN"/>
              </w:rPr>
              <w:t>不属于其一、二级饮用水源保护区；本项目中河取水泵房位于</w:t>
            </w:r>
            <w:r>
              <w:rPr>
                <w:rFonts w:hint="default" w:ascii="Times New Roman" w:hAnsi="Times New Roman" w:cs="Times New Roman"/>
                <w:color w:val="auto"/>
                <w:sz w:val="24"/>
                <w:szCs w:val="32"/>
                <w:highlight w:val="none"/>
                <w:vertAlign w:val="baseline"/>
                <w:lang w:val="en-US" w:eastAsia="zh-CN"/>
              </w:rPr>
              <w:t>泥溪沟麻柳树河坝取水口下游</w:t>
            </w:r>
            <w:r>
              <w:rPr>
                <w:rFonts w:hint="default" w:ascii="Times New Roman" w:hAnsi="Times New Roman" w:eastAsia="宋体" w:cs="Times New Roman"/>
                <w:color w:val="auto"/>
                <w:sz w:val="24"/>
                <w:szCs w:val="32"/>
                <w:highlight w:val="none"/>
                <w:vertAlign w:val="baseline"/>
                <w:lang w:val="en-US" w:eastAsia="zh-CN"/>
              </w:rPr>
              <w:t>3.42km处，</w:t>
            </w:r>
            <w:r>
              <w:rPr>
                <w:rFonts w:hint="default" w:ascii="Times New Roman" w:hAnsi="Times New Roman" w:cs="Times New Roman"/>
                <w:b w:val="0"/>
                <w:bCs w:val="0"/>
                <w:color w:val="auto"/>
                <w:sz w:val="24"/>
                <w:szCs w:val="32"/>
                <w:highlight w:val="none"/>
                <w:vertAlign w:val="baseline"/>
                <w:lang w:val="en-US" w:eastAsia="zh-CN"/>
              </w:rPr>
              <w:t>不属于其一、二级饮用水源保护区。</w:t>
            </w: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本项目施工废水经沉淀处理后回用，不外排；施工人员生活污水依托租用民房现有的化粪池进行处理。项目运营期生活污水（食堂废水先经隔油池处理）经化粪池处理后用作周边农田农肥；项目排泥水和反冲洗废水经泥水混合池收集后，经泵提升至浓缩池进行浓缩，其上清液回用至预沉池，底部泥水进入脱水间脱水，其脱水滤液回到泥水混合池，生产废水循环使用，不外排。</w:t>
            </w: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故本项目不会对饮用水源造成影响，项目建设与饮用水水源地相容。</w:t>
            </w:r>
          </w:p>
          <w:p>
            <w:pPr>
              <w:keepNext w:val="0"/>
              <w:keepLines w:val="0"/>
              <w:pageBreakBefore w:val="0"/>
              <w:widowControl w:val="0"/>
              <w:kinsoku/>
              <w:wordWrap/>
              <w:overflowPunct/>
              <w:topLinePunct w:val="0"/>
              <w:autoSpaceDE/>
              <w:autoSpaceDN/>
              <w:bidi w:val="0"/>
              <w:snapToGrid/>
              <w:spacing w:line="360" w:lineRule="auto"/>
              <w:ind w:left="0" w:leftChars="0" w:right="0"/>
              <w:jc w:val="center"/>
              <w:rPr>
                <w:rFonts w:hint="default" w:ascii="Times New Roman" w:hAnsi="Times New Roman" w:eastAsia="黑体" w:cs="Times New Roman"/>
                <w:color w:val="auto"/>
                <w:szCs w:val="21"/>
                <w:highlight w:val="none"/>
                <w:lang w:eastAsia="zh-CN"/>
              </w:rPr>
            </w:pPr>
            <w:r>
              <w:rPr>
                <w:rFonts w:hint="default" w:ascii="Times New Roman" w:hAnsi="Times New Roman" w:eastAsia="黑体" w:cs="Times New Roman"/>
                <w:color w:val="auto"/>
                <w:szCs w:val="21"/>
                <w:highlight w:val="none"/>
              </w:rPr>
              <w:t>表1-</w:t>
            </w:r>
            <w:r>
              <w:rPr>
                <w:rFonts w:hint="default" w:ascii="Times New Roman" w:hAnsi="Times New Roman" w:eastAsia="黑体" w:cs="Times New Roman"/>
                <w:color w:val="auto"/>
                <w:szCs w:val="21"/>
                <w:highlight w:val="none"/>
                <w:lang w:val="en-US" w:eastAsia="zh-CN"/>
              </w:rPr>
              <w:t xml:space="preserve">10 </w:t>
            </w:r>
            <w:r>
              <w:rPr>
                <w:rFonts w:hint="default" w:ascii="Times New Roman" w:hAnsi="Times New Roman" w:eastAsia="黑体" w:cs="Times New Roman"/>
                <w:color w:val="auto"/>
                <w:szCs w:val="21"/>
                <w:highlight w:val="none"/>
                <w:lang w:eastAsia="zh-CN"/>
              </w:rPr>
              <w:t>本项目与集中式饮用水水源保护区关系表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942"/>
              <w:gridCol w:w="2277"/>
              <w:gridCol w:w="2591"/>
              <w:gridCol w:w="1118"/>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5"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eastAsiaTheme="minorEastAsia"/>
                      <w:b/>
                      <w:bCs/>
                      <w:color w:val="auto"/>
                      <w:szCs w:val="21"/>
                      <w:highlight w:val="none"/>
                      <w:lang w:val="en-US" w:eastAsia="zh-CN"/>
                    </w:rPr>
                  </w:pPr>
                  <w:r>
                    <w:rPr>
                      <w:rFonts w:hint="default" w:ascii="Times New Roman" w:hAnsi="Times New Roman" w:cs="Times New Roman"/>
                      <w:b/>
                      <w:color w:val="auto"/>
                      <w:sz w:val="21"/>
                      <w:szCs w:val="21"/>
                      <w:highlight w:val="none"/>
                      <w:lang w:val="en-US" w:eastAsia="zh-CN"/>
                    </w:rPr>
                    <w:t>水源地名称</w:t>
                  </w:r>
                </w:p>
              </w:tc>
              <w:tc>
                <w:tcPr>
                  <w:tcW w:w="547" w:type="pct"/>
                  <w:vAlign w:val="center"/>
                </w:tcPr>
                <w:p>
                  <w:pPr>
                    <w:pStyle w:val="11"/>
                    <w:keepNext w:val="0"/>
                    <w:keepLines w:val="0"/>
                    <w:pageBreakBefore w:val="0"/>
                    <w:kinsoku/>
                    <w:wordWrap/>
                    <w:topLinePunct w:val="0"/>
                    <w:bidi w:val="0"/>
                    <w:spacing w:beforeAutospacing="0" w:after="0" w:afterLines="0" w:line="240" w:lineRule="auto"/>
                    <w:ind w:left="0" w:leftChars="0" w:right="0" w:rightChars="0"/>
                    <w:jc w:val="center"/>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color w:val="auto"/>
                      <w:sz w:val="21"/>
                      <w:szCs w:val="21"/>
                      <w:highlight w:val="none"/>
                    </w:rPr>
                    <w:t>取水</w:t>
                  </w:r>
                  <w:r>
                    <w:rPr>
                      <w:rFonts w:hint="default" w:ascii="Times New Roman" w:hAnsi="Times New Roman" w:cs="Times New Roman"/>
                      <w:b/>
                      <w:color w:val="auto"/>
                      <w:sz w:val="21"/>
                      <w:szCs w:val="21"/>
                      <w:highlight w:val="none"/>
                      <w:lang w:val="en-US" w:eastAsia="zh-CN"/>
                    </w:rPr>
                    <w:t>口地名</w:t>
                  </w:r>
                </w:p>
              </w:tc>
              <w:tc>
                <w:tcPr>
                  <w:tcW w:w="132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eastAsiaTheme="minorEastAsia"/>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一级保护区</w:t>
                  </w:r>
                </w:p>
              </w:tc>
              <w:tc>
                <w:tcPr>
                  <w:tcW w:w="1506"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eastAsiaTheme="minorEastAsia"/>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二级保护区</w:t>
                  </w:r>
                </w:p>
              </w:tc>
              <w:tc>
                <w:tcPr>
                  <w:tcW w:w="649" w:type="pct"/>
                  <w:vAlign w:val="center"/>
                </w:tcPr>
                <w:p>
                  <w:pPr>
                    <w:pStyle w:val="11"/>
                    <w:keepNext w:val="0"/>
                    <w:keepLines w:val="0"/>
                    <w:pageBreakBefore w:val="0"/>
                    <w:widowControl w:val="0"/>
                    <w:kinsoku/>
                    <w:wordWrap/>
                    <w:overflowPunct/>
                    <w:topLinePunct w:val="0"/>
                    <w:autoSpaceDE/>
                    <w:autoSpaceDN/>
                    <w:bidi w:val="0"/>
                    <w:snapToGrid/>
                    <w:spacing w:before="0" w:beforeAutospacing="0" w:after="0" w:afterLines="0" w:line="240" w:lineRule="auto"/>
                    <w:ind w:left="0" w:leftChars="0" w:right="0" w:rightChars="0"/>
                    <w:jc w:val="center"/>
                    <w:rPr>
                      <w:rFonts w:hint="default" w:ascii="Times New Roman" w:hAnsi="Times New Roman" w:cs="Times New Roman" w:eastAsiaTheme="minorEastAsia"/>
                      <w:b/>
                      <w:color w:val="auto"/>
                      <w:kern w:val="2"/>
                      <w:sz w:val="21"/>
                      <w:szCs w:val="24"/>
                      <w:highlight w:val="none"/>
                      <w:lang w:val="en-US" w:eastAsia="zh-CN" w:bidi="ar-SA"/>
                    </w:rPr>
                  </w:pPr>
                  <w:r>
                    <w:rPr>
                      <w:rFonts w:hint="default" w:ascii="Times New Roman" w:hAnsi="Times New Roman" w:cs="Times New Roman"/>
                      <w:b/>
                      <w:color w:val="auto"/>
                      <w:highlight w:val="none"/>
                    </w:rPr>
                    <w:t>项目与取水点位置关系</w:t>
                  </w:r>
                </w:p>
              </w:tc>
              <w:tc>
                <w:tcPr>
                  <w:tcW w:w="507" w:type="pct"/>
                  <w:vAlign w:val="center"/>
                </w:tcPr>
                <w:p>
                  <w:pPr>
                    <w:pStyle w:val="11"/>
                    <w:keepNext w:val="0"/>
                    <w:keepLines w:val="0"/>
                    <w:pageBreakBefore w:val="0"/>
                    <w:widowControl w:val="0"/>
                    <w:kinsoku/>
                    <w:wordWrap/>
                    <w:overflowPunct/>
                    <w:topLinePunct w:val="0"/>
                    <w:autoSpaceDE/>
                    <w:autoSpaceDN/>
                    <w:bidi w:val="0"/>
                    <w:snapToGrid/>
                    <w:spacing w:before="0" w:beforeAutospacing="0" w:after="0" w:afterLines="0" w:line="240" w:lineRule="auto"/>
                    <w:ind w:left="0" w:leftChars="0" w:right="0" w:rightChars="0"/>
                    <w:jc w:val="center"/>
                    <w:rPr>
                      <w:rFonts w:hint="default" w:ascii="Times New Roman" w:hAnsi="Times New Roman" w:cs="Times New Roman" w:eastAsiaTheme="minorEastAsia"/>
                      <w:b/>
                      <w:color w:val="auto"/>
                      <w:kern w:val="2"/>
                      <w:sz w:val="21"/>
                      <w:szCs w:val="24"/>
                      <w:highlight w:val="none"/>
                      <w:lang w:val="en-US" w:eastAsia="zh-CN" w:bidi="ar-SA"/>
                    </w:rPr>
                  </w:pPr>
                  <w:r>
                    <w:rPr>
                      <w:rFonts w:hint="default" w:ascii="Times New Roman" w:hAnsi="Times New Roman" w:cs="Times New Roman"/>
                      <w:b/>
                      <w:color w:val="auto"/>
                      <w:highlight w:val="none"/>
                    </w:rPr>
                    <w:t>是否涉及饮用水源保护区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5"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eastAsiaTheme="minorEastAsia"/>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宣汉县新华镇泥溪沟麻柳树村集中式饮用水水源地</w:t>
                  </w:r>
                </w:p>
              </w:tc>
              <w:tc>
                <w:tcPr>
                  <w:tcW w:w="547" w:type="pct"/>
                  <w:vAlign w:val="center"/>
                </w:tcPr>
                <w:p>
                  <w:pPr>
                    <w:pStyle w:val="11"/>
                    <w:keepNext w:val="0"/>
                    <w:keepLines w:val="0"/>
                    <w:pageBreakBefore w:val="0"/>
                    <w:kinsoku/>
                    <w:wordWrap/>
                    <w:topLinePunct w:val="0"/>
                    <w:bidi w:val="0"/>
                    <w:spacing w:beforeAutospacing="0" w:after="0" w:afterLines="0" w:line="240" w:lineRule="auto"/>
                    <w:ind w:left="0" w:leftChars="0" w:right="0" w:rightChars="0"/>
                    <w:jc w:val="center"/>
                    <w:rPr>
                      <w:rFonts w:hint="default" w:ascii="Times New Roman" w:hAnsi="Times New Roman" w:cs="Times New Roman"/>
                      <w:b w:val="0"/>
                      <w:bCs w:val="0"/>
                      <w:color w:val="auto"/>
                      <w:szCs w:val="21"/>
                      <w:highlight w:val="none"/>
                      <w:lang w:val="en-US" w:eastAsia="zh-CN"/>
                    </w:rPr>
                  </w:pPr>
                  <w:r>
                    <w:rPr>
                      <w:rFonts w:hint="default" w:ascii="Times New Roman" w:hAnsi="Times New Roman" w:cs="Times New Roman"/>
                      <w:color w:val="auto"/>
                      <w:sz w:val="21"/>
                      <w:szCs w:val="21"/>
                      <w:highlight w:val="none"/>
                      <w:lang w:val="en-US" w:eastAsia="zh-CN"/>
                    </w:rPr>
                    <w:t>新华镇泥溪村9组E107°59′49.44″、N31°46′34.984″</w:t>
                  </w:r>
                </w:p>
              </w:tc>
              <w:tc>
                <w:tcPr>
                  <w:tcW w:w="1323"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both"/>
                    <w:rPr>
                      <w:rFonts w:hint="default" w:ascii="Times New Roman" w:hAnsi="Times New Roman"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水域范围：取水口坝址至上游G65高速公路下游侧（约450米），多年平均水位对应的高程线下的水域范围。</w:t>
                  </w:r>
                </w:p>
                <w:p>
                  <w:pPr>
                    <w:keepNext w:val="0"/>
                    <w:keepLines w:val="0"/>
                    <w:pageBreakBefore w:val="0"/>
                    <w:widowControl w:val="0"/>
                    <w:kinsoku/>
                    <w:wordWrap/>
                    <w:overflowPunct/>
                    <w:topLinePunct w:val="0"/>
                    <w:autoSpaceDE/>
                    <w:autoSpaceDN/>
                    <w:bidi w:val="0"/>
                    <w:snapToGrid/>
                    <w:spacing w:line="240" w:lineRule="auto"/>
                    <w:ind w:left="0" w:leftChars="0" w:right="0"/>
                    <w:jc w:val="both"/>
                    <w:rPr>
                      <w:rFonts w:hint="default" w:ascii="Times New Roman" w:hAnsi="Times New Roman" w:cs="Times New Roman" w:eastAsiaTheme="minorEastAsia"/>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陆域范围：与一级保护区水域长度一致，水域边界两岸纵深50米，但左岸不超过道路临河侧的全部陆域范围。</w:t>
                  </w:r>
                </w:p>
              </w:tc>
              <w:tc>
                <w:tcPr>
                  <w:tcW w:w="1506"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both"/>
                    <w:rPr>
                      <w:rFonts w:hint="default" w:ascii="Times New Roman" w:hAnsi="Times New Roman"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水域范围：一级保护区的上游边界起向上游延伸至中厂沟小桥下游侧（约1760米），多年平均水位对应的高程线下的水域范围。</w:t>
                  </w:r>
                </w:p>
                <w:p>
                  <w:pPr>
                    <w:keepNext w:val="0"/>
                    <w:keepLines w:val="0"/>
                    <w:pageBreakBefore w:val="0"/>
                    <w:widowControl w:val="0"/>
                    <w:kinsoku/>
                    <w:wordWrap/>
                    <w:overflowPunct/>
                    <w:topLinePunct w:val="0"/>
                    <w:autoSpaceDE/>
                    <w:autoSpaceDN/>
                    <w:bidi w:val="0"/>
                    <w:snapToGrid/>
                    <w:spacing w:line="240" w:lineRule="auto"/>
                    <w:ind w:left="0" w:leftChars="0" w:right="0"/>
                    <w:jc w:val="both"/>
                    <w:rPr>
                      <w:rFonts w:hint="default" w:ascii="Times New Roman" w:hAnsi="Times New Roman" w:cs="Times New Roman"/>
                      <w:b w:val="0"/>
                      <w:bCs w:val="0"/>
                      <w:color w:val="auto"/>
                      <w:szCs w:val="21"/>
                      <w:highlight w:val="none"/>
                      <w:lang w:val="en-US"/>
                    </w:rPr>
                  </w:pPr>
                  <w:r>
                    <w:rPr>
                      <w:rFonts w:hint="default" w:ascii="Times New Roman" w:hAnsi="Times New Roman" w:cs="Times New Roman"/>
                      <w:b w:val="0"/>
                      <w:bCs w:val="0"/>
                      <w:color w:val="auto"/>
                      <w:szCs w:val="21"/>
                      <w:highlight w:val="none"/>
                      <w:lang w:val="en-US" w:eastAsia="zh-CN"/>
                    </w:rPr>
                    <w:t>陆域范围：除一级保护区外，一二级保护区水域边界两岸纵深1000米，但不超过流域分水岭的宣汉县境内全部陆域范围。</w:t>
                  </w:r>
                </w:p>
              </w:tc>
              <w:tc>
                <w:tcPr>
                  <w:tcW w:w="649"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left"/>
                    <w:rPr>
                      <w:rFonts w:hint="default" w:ascii="Times New Roman" w:hAnsi="Times New Roman" w:cs="Times New Roman" w:eastAsiaTheme="minorEastAsia"/>
                      <w:b w:val="0"/>
                      <w:bCs w:val="0"/>
                      <w:color w:val="auto"/>
                      <w:szCs w:val="21"/>
                      <w:highlight w:val="none"/>
                      <w:lang w:val="en-US" w:eastAsia="zh-CN"/>
                    </w:rPr>
                  </w:pPr>
                  <w:r>
                    <w:rPr>
                      <w:rFonts w:hint="default" w:ascii="Times New Roman" w:hAnsi="Times New Roman" w:cs="Times New Roman"/>
                      <w:b/>
                      <w:bCs/>
                      <w:color w:val="auto"/>
                      <w:szCs w:val="21"/>
                      <w:highlight w:val="none"/>
                      <w:lang w:val="en-US" w:eastAsia="zh-CN"/>
                    </w:rPr>
                    <w:t>供水厂：</w:t>
                  </w:r>
                  <w:r>
                    <w:rPr>
                      <w:rFonts w:hint="default" w:ascii="Times New Roman" w:hAnsi="Times New Roman" w:cs="Times New Roman"/>
                      <w:b w:val="0"/>
                      <w:bCs w:val="0"/>
                      <w:color w:val="auto"/>
                      <w:szCs w:val="21"/>
                      <w:highlight w:val="none"/>
                      <w:lang w:val="en-US" w:eastAsia="zh-CN"/>
                    </w:rPr>
                    <w:t>下游直线距离约3.17km处；</w:t>
                  </w:r>
                  <w:r>
                    <w:rPr>
                      <w:rFonts w:hint="default" w:ascii="Times New Roman" w:hAnsi="Times New Roman" w:cs="Times New Roman"/>
                      <w:b/>
                      <w:bCs/>
                      <w:color w:val="auto"/>
                      <w:szCs w:val="21"/>
                      <w:highlight w:val="none"/>
                      <w:lang w:val="en-US" w:eastAsia="zh-CN"/>
                    </w:rPr>
                    <w:t>取水泵房：</w:t>
                  </w:r>
                  <w:r>
                    <w:rPr>
                      <w:rFonts w:hint="default" w:ascii="Times New Roman" w:hAnsi="Times New Roman" w:cs="Times New Roman"/>
                      <w:b w:val="0"/>
                      <w:bCs w:val="0"/>
                      <w:color w:val="auto"/>
                      <w:szCs w:val="21"/>
                      <w:highlight w:val="none"/>
                      <w:lang w:val="en-US" w:eastAsia="zh-CN"/>
                    </w:rPr>
                    <w:t>下游直线距离约3.42km处。</w:t>
                  </w:r>
                </w:p>
              </w:tc>
              <w:tc>
                <w:tcPr>
                  <w:tcW w:w="507" w:type="pct"/>
                  <w:vAlign w:val="center"/>
                </w:tcPr>
                <w:p>
                  <w:pPr>
                    <w:keepNext w:val="0"/>
                    <w:keepLines w:val="0"/>
                    <w:pageBreakBefore w:val="0"/>
                    <w:widowControl w:val="0"/>
                    <w:kinsoku/>
                    <w:wordWrap/>
                    <w:overflowPunct/>
                    <w:topLinePunct w:val="0"/>
                    <w:autoSpaceDE/>
                    <w:autoSpaceDN/>
                    <w:bidi w:val="0"/>
                    <w:snapToGrid/>
                    <w:spacing w:line="240" w:lineRule="auto"/>
                    <w:ind w:left="0" w:leftChars="0" w:right="0"/>
                    <w:jc w:val="center"/>
                    <w:rPr>
                      <w:rFonts w:hint="default" w:ascii="Times New Roman" w:hAnsi="Times New Roman" w:cs="Times New Roman" w:eastAsiaTheme="minorEastAsia"/>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否</w:t>
                  </w:r>
                </w:p>
              </w:tc>
            </w:tr>
          </w:tbl>
          <w:p>
            <w:pPr>
              <w:keepNext w:val="0"/>
              <w:keepLines w:val="0"/>
              <w:pageBreakBefore w:val="0"/>
              <w:widowControl w:val="0"/>
              <w:kinsoku/>
              <w:wordWrap/>
              <w:overflowPunct/>
              <w:topLinePunct w:val="0"/>
              <w:autoSpaceDE/>
              <w:autoSpaceDN/>
              <w:bidi w:val="0"/>
              <w:snapToGrid/>
              <w:spacing w:line="360" w:lineRule="auto"/>
              <w:ind w:left="0" w:leftChars="0"/>
              <w:jc w:val="center"/>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4460875</wp:posOffset>
                      </wp:positionH>
                      <wp:positionV relativeFrom="paragraph">
                        <wp:posOffset>3876675</wp:posOffset>
                      </wp:positionV>
                      <wp:extent cx="733425" cy="323215"/>
                      <wp:effectExtent l="4445" t="5080" r="5080" b="14605"/>
                      <wp:wrapNone/>
                      <wp:docPr id="8" name="文本框 8"/>
                      <wp:cNvGraphicFramePr/>
                      <a:graphic xmlns:a="http://schemas.openxmlformats.org/drawingml/2006/main">
                        <a:graphicData uri="http://schemas.microsoft.com/office/word/2010/wordprocessingShape">
                          <wps:wsp>
                            <wps:cNvSpPr txBox="1"/>
                            <wps:spPr>
                              <a:xfrm>
                                <a:off x="3203575" y="2926080"/>
                                <a:ext cx="733425" cy="323215"/>
                              </a:xfrm>
                              <a:prstGeom prst="rect">
                                <a:avLst/>
                              </a:prstGeom>
                              <a:solidFill>
                                <a:schemeClr val="bg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FF0000"/>
                                      <w:lang w:val="en-US" w:eastAsia="zh-CN"/>
                                    </w:rPr>
                                  </w:pPr>
                                  <w:r>
                                    <w:rPr>
                                      <w:rFonts w:hint="eastAsia"/>
                                      <w:color w:val="FF0000"/>
                                      <w:lang w:val="en-US" w:eastAsia="zh-CN"/>
                                    </w:rPr>
                                    <w:t>取水泵房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1.25pt;margin-top:305.25pt;height:25.45pt;width:57.75pt;z-index:251661312;mso-width-relative:page;mso-height-relative:page;" fillcolor="#FFFFFF [3212]" filled="t" stroked="t" coordsize="21600,21600" o:gfxdata="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nTELdwAAAALAQAADwAAAAAAAAABACAAAAAiAAAAZHJzL2Rvd25yZXYueG1sUEsBAhQA&#10;FAAAAAgAh07iQEupH+BgAgAAwwQAAA4AAAAAAAAAAQAgAAAAKwEAAGRycy9lMm9Eb2MueG1sUEsF&#10;BgAAAAAGAAYAWQEAAP0FAAAAAA==&#10;">
                      <v:fill on="t" focussize="0,0"/>
                      <v:stroke weight="0.5pt" color="#FF0000 [3204]" joinstyle="round"/>
                      <v:imagedata o:title=""/>
                      <o:lock v:ext="edit" aspectratio="f"/>
                      <v:textbox>
                        <w:txbxContent>
                          <w:p>
                            <w:pPr>
                              <w:jc w:val="center"/>
                              <w:rPr>
                                <w:rFonts w:hint="eastAsia" w:eastAsiaTheme="minorEastAsia"/>
                                <w:color w:val="FF0000"/>
                                <w:lang w:val="en-US" w:eastAsia="zh-CN"/>
                              </w:rPr>
                            </w:pPr>
                            <w:r>
                              <w:rPr>
                                <w:rFonts w:hint="eastAsia"/>
                                <w:color w:val="FF0000"/>
                                <w:lang w:val="en-US" w:eastAsia="zh-CN"/>
                              </w:rPr>
                              <w:t>取水泵房</w:t>
                            </w:r>
                          </w:p>
                        </w:txbxContent>
                      </v:textbox>
                    </v:shap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1818005</wp:posOffset>
                      </wp:positionH>
                      <wp:positionV relativeFrom="paragraph">
                        <wp:posOffset>117475</wp:posOffset>
                      </wp:positionV>
                      <wp:extent cx="2229485" cy="323215"/>
                      <wp:effectExtent l="4445" t="5080" r="13970" b="14605"/>
                      <wp:wrapNone/>
                      <wp:docPr id="9" name="文本框 9"/>
                      <wp:cNvGraphicFramePr/>
                      <a:graphic xmlns:a="http://schemas.openxmlformats.org/drawingml/2006/main">
                        <a:graphicData uri="http://schemas.microsoft.com/office/word/2010/wordprocessingShape">
                          <wps:wsp>
                            <wps:cNvSpPr txBox="1"/>
                            <wps:spPr>
                              <a:xfrm>
                                <a:off x="0" y="0"/>
                                <a:ext cx="2229485" cy="323215"/>
                              </a:xfrm>
                              <a:prstGeom prst="rect">
                                <a:avLst/>
                              </a:prstGeom>
                              <a:solidFill>
                                <a:schemeClr val="bg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color w:val="FF0000"/>
                                      <w:lang w:val="en-US" w:eastAsia="zh-CN"/>
                                    </w:rPr>
                                  </w:pPr>
                                  <w:r>
                                    <w:rPr>
                                      <w:rFonts w:hint="eastAsia"/>
                                      <w:color w:val="FF0000"/>
                                      <w:lang w:val="en-US" w:eastAsia="zh-CN"/>
                                    </w:rPr>
                                    <w:t>宣汉县新华镇泥溪沟麻柳树河坝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15pt;margin-top:9.25pt;height:25.45pt;width:175.55pt;z-index:251662336;mso-width-relative:page;mso-height-relative:page;" fillcolor="#FFFFFF [3212]" filled="t" stroked="t" coordsize="21600,21600" o:gfxdata="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lwXBzb&#10;AAAACQEAAA8AAAAAAAAAAQAgAAAAIgAAAGRycy9kb3ducmV2LnhtbFBLAQIUABQAAAAIAIdO4kAH&#10;tP55VgIAALgEAAAOAAAAAAAAAAEAIAAAACoBAABkcnMvZTJvRG9jLnhtbFBLBQYAAAAABgAGAFkB&#10;AADyBQAAAAA=&#10;">
                      <v:fill on="t" focussize="0,0"/>
                      <v:stroke weight="0.5pt" color="#FF0000 [3204]" joinstyle="round"/>
                      <v:imagedata o:title=""/>
                      <o:lock v:ext="edit" aspectratio="f"/>
                      <v:textbox>
                        <w:txbxContent>
                          <w:p>
                            <w:pPr>
                              <w:jc w:val="center"/>
                              <w:rPr>
                                <w:rFonts w:hint="default" w:eastAsiaTheme="minorEastAsia"/>
                                <w:color w:val="FF0000"/>
                                <w:lang w:val="en-US" w:eastAsia="zh-CN"/>
                              </w:rPr>
                            </w:pPr>
                            <w:r>
                              <w:rPr>
                                <w:rFonts w:hint="eastAsia"/>
                                <w:color w:val="FF0000"/>
                                <w:lang w:val="en-US" w:eastAsia="zh-CN"/>
                              </w:rPr>
                              <w:t>宣汉县新华镇泥溪沟麻柳树河坝</w:t>
                            </w:r>
                          </w:p>
                        </w:txbxContent>
                      </v:textbox>
                    </v:shape>
                  </w:pict>
                </mc:Fallback>
              </mc:AlternateContent>
            </w:r>
            <w:r>
              <w:rPr>
                <w:rFonts w:hint="default" w:ascii="Times New Roman" w:hAnsi="Times New Roman" w:cs="Times New Roman"/>
                <w:color w:val="auto"/>
                <w:sz w:val="21"/>
                <w:highlight w:val="none"/>
              </w:rPr>
              <mc:AlternateContent>
                <mc:Choice Requires="wpg">
                  <w:drawing>
                    <wp:anchor distT="0" distB="0" distL="114300" distR="114300" simplePos="0" relativeHeight="251667456" behindDoc="0" locked="0" layoutInCell="1" allowOverlap="1">
                      <wp:simplePos x="0" y="0"/>
                      <wp:positionH relativeFrom="column">
                        <wp:posOffset>1709420</wp:posOffset>
                      </wp:positionH>
                      <wp:positionV relativeFrom="paragraph">
                        <wp:posOffset>403860</wp:posOffset>
                      </wp:positionV>
                      <wp:extent cx="2687320" cy="4128770"/>
                      <wp:effectExtent l="6350" t="635" r="11430" b="42545"/>
                      <wp:wrapNone/>
                      <wp:docPr id="17" name="组合 17"/>
                      <wp:cNvGraphicFramePr/>
                      <a:graphic xmlns:a="http://schemas.openxmlformats.org/drawingml/2006/main">
                        <a:graphicData uri="http://schemas.microsoft.com/office/word/2010/wordprocessingGroup">
                          <wpg:wgp>
                            <wpg:cNvGrpSpPr/>
                            <wpg:grpSpPr>
                              <a:xfrm>
                                <a:off x="0" y="0"/>
                                <a:ext cx="2687320" cy="4128770"/>
                                <a:chOff x="4903" y="276023"/>
                                <a:chExt cx="4232" cy="6502"/>
                              </a:xfrm>
                            </wpg:grpSpPr>
                            <wps:wsp>
                              <wps:cNvPr id="6" name="直接箭头连接符 6"/>
                              <wps:cNvCnPr/>
                              <wps:spPr>
                                <a:xfrm>
                                  <a:off x="4903" y="276023"/>
                                  <a:ext cx="624" cy="6434"/>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直接箭头连接符 7"/>
                              <wps:cNvCnPr/>
                              <wps:spPr>
                                <a:xfrm flipH="1">
                                  <a:off x="5551" y="281913"/>
                                  <a:ext cx="3584" cy="613"/>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直接箭头连接符 13"/>
                              <wps:cNvCnPr/>
                              <wps:spPr>
                                <a:xfrm>
                                  <a:off x="4908" y="276038"/>
                                  <a:ext cx="4212" cy="587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34.6pt;margin-top:31.8pt;height:325.1pt;width:211.6pt;z-index:251667456;mso-width-relative:page;mso-height-relative:page;" coordorigin="4903,276023" coordsize="4232,6502" o:gfxdata="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4oG1adoAAAAKAQAADwAAAAAAAAABACAA&#10;AAAiAAAAZHJzL2Rvd25yZXYueG1sUEsBAhQAFAAAAAgAh07iQLlLrrXvAgAAOAkAAA4AAAAAAAAA&#10;AQAgAAAAKQEAAGRycy9lMm9Eb2MueG1sUEsFBgAAAAAGAAYAWQEAAIoGAAAAAA==&#10;">
                      <o:lock v:ext="edit" aspectratio="f"/>
                      <v:shape id="_x0000_s1026" o:spid="_x0000_s1026" o:spt="32" type="#_x0000_t32" style="position:absolute;left:4903;top:276023;height:6434;width:624;" filled="f" stroked="t" coordsize="21600,21600" o:gfxdata="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CYdK8AAAA&#10;2gAAAA8AAAAAAAAAAQAgAAAAIgAAAGRycy9kb3ducmV2LnhtbFBLAQIUABQAAAAIAIdO4kAzLwWe&#10;OwAAADkAAAAQAAAAAAAAAAEAIAAAAAsBAABkcnMvc2hhcGV4bWwueG1sUEsFBgAAAAAGAAYAWwEA&#10;ALUDAAAAAA==&#10;">
                        <v:fill on="f" focussize="0,0"/>
                        <v:stroke weight="1pt" color="#FF0000 [3204]" miterlimit="8" joinstyle="miter" endarrow="open"/>
                        <v:imagedata o:title=""/>
                        <o:lock v:ext="edit" aspectratio="f"/>
                      </v:shape>
                      <v:shape id="_x0000_s1026" o:spid="_x0000_s1026" o:spt="32" type="#_x0000_t32" style="position:absolute;left:5551;top:281913;flip:x;height:613;width:3584;" filled="f" stroked="t" coordsize="21600,21600" o:gfxdata="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lu4LsAAADa&#10;AAAADwAAAAAAAAABACAAAAAiAAAAZHJzL2Rvd25yZXYueG1sUEsBAhQAFAAAAAgAh07iQDMvBZ47&#10;AAAAOQAAABAAAAAAAAAAAQAgAAAACgEAAGRycy9zaGFwZXhtbC54bWxQSwUGAAAAAAYABgBbAQAA&#10;tAMAAAAA&#10;">
                        <v:fill on="f" focussize="0,0"/>
                        <v:stroke weight="1pt" color="#FF0000 [3204]" miterlimit="8" joinstyle="miter" endarrow="open"/>
                        <v:imagedata o:title=""/>
                        <o:lock v:ext="edit" aspectratio="f"/>
                      </v:shape>
                      <v:shape id="_x0000_s1026" o:spid="_x0000_s1026" o:spt="32" type="#_x0000_t32" style="position:absolute;left:4908;top:276038;height:5875;width:4212;" filled="f" stroked="t" coordsize="21600,21600" o:gfxdata="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jtkWLsAAADb&#10;AAAADwAAAAAAAAABACAAAAAiAAAAZHJzL2Rvd25yZXYueG1sUEsBAhQAFAAAAAgAh07iQDMvBZ47&#10;AAAAOQAAABAAAAAAAAAAAQAgAAAACgEAAGRycy9zaGFwZXhtbC54bWxQSwUGAAAAAAYABgBbAQAA&#10;tAMAAAAA&#10;">
                        <v:fill on="f" focussize="0,0"/>
                        <v:stroke weight="1pt" color="#FF0000 [3204]" miterlimit="8" joinstyle="miter" endarrow="open"/>
                        <v:imagedata o:title=""/>
                        <o:lock v:ext="edit" aspectratio="f"/>
                      </v:shape>
                    </v:group>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2788285</wp:posOffset>
                      </wp:positionH>
                      <wp:positionV relativeFrom="paragraph">
                        <wp:posOffset>1973580</wp:posOffset>
                      </wp:positionV>
                      <wp:extent cx="685800" cy="32321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685800" cy="323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color w:val="FF0000"/>
                                      <w:sz w:val="24"/>
                                      <w:szCs w:val="32"/>
                                      <w:lang w:val="en-US" w:eastAsia="zh-CN"/>
                                    </w:rPr>
                                  </w:pPr>
                                  <w:r>
                                    <w:rPr>
                                      <w:rFonts w:hint="default" w:ascii="Times New Roman" w:hAnsi="Times New Roman" w:cs="Times New Roman"/>
                                      <w:b/>
                                      <w:bCs/>
                                      <w:color w:val="FF0000"/>
                                      <w:sz w:val="24"/>
                                      <w:szCs w:val="32"/>
                                      <w:lang w:val="en-US" w:eastAsia="zh-CN"/>
                                    </w:rPr>
                                    <w:t>3.</w:t>
                                  </w:r>
                                  <w:r>
                                    <w:rPr>
                                      <w:rFonts w:hint="eastAsia" w:ascii="Times New Roman" w:hAnsi="Times New Roman" w:cs="Times New Roman"/>
                                      <w:b/>
                                      <w:bCs/>
                                      <w:color w:val="FF0000"/>
                                      <w:sz w:val="24"/>
                                      <w:szCs w:val="32"/>
                                      <w:lang w:val="en-US" w:eastAsia="zh-CN"/>
                                    </w:rPr>
                                    <w:t>42</w:t>
                                  </w:r>
                                  <w:r>
                                    <w:rPr>
                                      <w:rFonts w:hint="default" w:ascii="Times New Roman" w:hAnsi="Times New Roman" w:cs="Times New Roman"/>
                                      <w:b/>
                                      <w:bCs/>
                                      <w:color w:val="FF0000"/>
                                      <w:sz w:val="24"/>
                                      <w:szCs w:val="32"/>
                                      <w:lang w:val="en-US" w:eastAsia="zh-CN"/>
                                    </w:rPr>
                                    <w:t>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55pt;margin-top:155.4pt;height:25.45pt;width:54pt;z-index:251666432;mso-width-relative:page;mso-height-relative:page;" filled="f" stroked="f" coordsize="21600,21600" o:gfxdata="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INWjvZAAAACwEAAA8AAAAAAAAAAQAgAAAAIgAAAGRycy9k&#10;b3ducmV2LnhtbFBLAQIUABQAAAAIAIdO4kCA4vsiOgIAAGcEAAAOAAAAAAAAAAEAIAAAACgBAABk&#10;cnMvZTJvRG9jLnhtbFBLBQYAAAAABgAGAFkBAADUBQAAAAA=&#10;">
                      <v:fill on="f" focussize="0,0"/>
                      <v:stroke on="f" weight="0.5pt"/>
                      <v:imagedata o:title=""/>
                      <o:lock v:ext="edit" aspectratio="f"/>
                      <v:textbox>
                        <w:txbxContent>
                          <w:p>
                            <w:pPr>
                              <w:jc w:val="center"/>
                              <w:rPr>
                                <w:rFonts w:hint="default" w:ascii="Times New Roman" w:hAnsi="Times New Roman" w:cs="Times New Roman" w:eastAsiaTheme="minorEastAsia"/>
                                <w:b/>
                                <w:bCs/>
                                <w:color w:val="FF0000"/>
                                <w:sz w:val="24"/>
                                <w:szCs w:val="32"/>
                                <w:lang w:val="en-US" w:eastAsia="zh-CN"/>
                              </w:rPr>
                            </w:pPr>
                            <w:r>
                              <w:rPr>
                                <w:rFonts w:hint="default" w:ascii="Times New Roman" w:hAnsi="Times New Roman" w:cs="Times New Roman"/>
                                <w:b/>
                                <w:bCs/>
                                <w:color w:val="FF0000"/>
                                <w:sz w:val="24"/>
                                <w:szCs w:val="32"/>
                                <w:lang w:val="en-US" w:eastAsia="zh-CN"/>
                              </w:rPr>
                              <w:t>3.</w:t>
                            </w:r>
                            <w:r>
                              <w:rPr>
                                <w:rFonts w:hint="eastAsia" w:ascii="Times New Roman" w:hAnsi="Times New Roman" w:cs="Times New Roman"/>
                                <w:b/>
                                <w:bCs/>
                                <w:color w:val="FF0000"/>
                                <w:sz w:val="24"/>
                                <w:szCs w:val="32"/>
                                <w:lang w:val="en-US" w:eastAsia="zh-CN"/>
                              </w:rPr>
                              <w:t>42</w:t>
                            </w:r>
                            <w:r>
                              <w:rPr>
                                <w:rFonts w:hint="default" w:ascii="Times New Roman" w:hAnsi="Times New Roman" w:cs="Times New Roman"/>
                                <w:b/>
                                <w:bCs/>
                                <w:color w:val="FF0000"/>
                                <w:sz w:val="24"/>
                                <w:szCs w:val="32"/>
                                <w:lang w:val="en-US" w:eastAsia="zh-CN"/>
                              </w:rPr>
                              <w:t>km</w:t>
                            </w:r>
                          </w:p>
                        </w:txbxContent>
                      </v:textbox>
                    </v:shap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2792730</wp:posOffset>
                      </wp:positionH>
                      <wp:positionV relativeFrom="paragraph">
                        <wp:posOffset>3968115</wp:posOffset>
                      </wp:positionV>
                      <wp:extent cx="685800" cy="32321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685800" cy="323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color w:val="FF0000"/>
                                      <w:sz w:val="24"/>
                                      <w:szCs w:val="32"/>
                                      <w:lang w:val="en-US" w:eastAsia="zh-CN"/>
                                    </w:rPr>
                                  </w:pPr>
                                  <w:r>
                                    <w:rPr>
                                      <w:rFonts w:hint="eastAsia" w:ascii="Times New Roman" w:hAnsi="Times New Roman" w:cs="Times New Roman"/>
                                      <w:b/>
                                      <w:bCs/>
                                      <w:color w:val="FF0000"/>
                                      <w:sz w:val="24"/>
                                      <w:szCs w:val="32"/>
                                      <w:lang w:val="en-US" w:eastAsia="zh-CN"/>
                                    </w:rPr>
                                    <w:t>1.53</w:t>
                                  </w:r>
                                  <w:r>
                                    <w:rPr>
                                      <w:rFonts w:hint="default" w:ascii="Times New Roman" w:hAnsi="Times New Roman" w:cs="Times New Roman"/>
                                      <w:b/>
                                      <w:bCs/>
                                      <w:color w:val="FF0000"/>
                                      <w:sz w:val="24"/>
                                      <w:szCs w:val="32"/>
                                      <w:lang w:val="en-US" w:eastAsia="zh-CN"/>
                                    </w:rPr>
                                    <w:t>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9pt;margin-top:312.45pt;height:25.45pt;width:54pt;z-index:251665408;mso-width-relative:page;mso-height-relative:page;" filled="f" stroked="f" coordsize="21600,21600" o:gfxdata="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H0YrtsAAAALAQAADwAAAAAAAAABACAAAAAiAAAAZHJz&#10;L2Rvd25yZXYueG1sUEsBAhQAFAAAAAgAh07iQJ/r4z06AgAAZwQAAA4AAAAAAAAAAQAgAAAAKgEA&#10;AGRycy9lMm9Eb2MueG1sUEsFBgAAAAAGAAYAWQEAANYFAAAAAA==&#10;">
                      <v:fill on="f" focussize="0,0"/>
                      <v:stroke on="f" weight="0.5pt"/>
                      <v:imagedata o:title=""/>
                      <o:lock v:ext="edit" aspectratio="f"/>
                      <v:textbox>
                        <w:txbxContent>
                          <w:p>
                            <w:pPr>
                              <w:jc w:val="center"/>
                              <w:rPr>
                                <w:rFonts w:hint="default" w:ascii="Times New Roman" w:hAnsi="Times New Roman" w:cs="Times New Roman" w:eastAsiaTheme="minorEastAsia"/>
                                <w:b/>
                                <w:bCs/>
                                <w:color w:val="FF0000"/>
                                <w:sz w:val="24"/>
                                <w:szCs w:val="32"/>
                                <w:lang w:val="en-US" w:eastAsia="zh-CN"/>
                              </w:rPr>
                            </w:pPr>
                            <w:r>
                              <w:rPr>
                                <w:rFonts w:hint="eastAsia" w:ascii="Times New Roman" w:hAnsi="Times New Roman" w:cs="Times New Roman"/>
                                <w:b/>
                                <w:bCs/>
                                <w:color w:val="FF0000"/>
                                <w:sz w:val="24"/>
                                <w:szCs w:val="32"/>
                                <w:lang w:val="en-US" w:eastAsia="zh-CN"/>
                              </w:rPr>
                              <w:t>1.53</w:t>
                            </w:r>
                            <w:r>
                              <w:rPr>
                                <w:rFonts w:hint="default" w:ascii="Times New Roman" w:hAnsi="Times New Roman" w:cs="Times New Roman"/>
                                <w:b/>
                                <w:bCs/>
                                <w:color w:val="FF0000"/>
                                <w:sz w:val="24"/>
                                <w:szCs w:val="32"/>
                                <w:lang w:val="en-US" w:eastAsia="zh-CN"/>
                              </w:rPr>
                              <w:t>km</w:t>
                            </w:r>
                          </w:p>
                        </w:txbxContent>
                      </v:textbox>
                    </v:shap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935355</wp:posOffset>
                      </wp:positionH>
                      <wp:positionV relativeFrom="paragraph">
                        <wp:posOffset>1844040</wp:posOffset>
                      </wp:positionV>
                      <wp:extent cx="685800" cy="32321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85800" cy="323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color w:val="FF0000"/>
                                      <w:sz w:val="24"/>
                                      <w:szCs w:val="32"/>
                                      <w:lang w:val="en-US" w:eastAsia="zh-CN"/>
                                    </w:rPr>
                                  </w:pPr>
                                  <w:r>
                                    <w:rPr>
                                      <w:rFonts w:hint="default" w:ascii="Times New Roman" w:hAnsi="Times New Roman" w:cs="Times New Roman"/>
                                      <w:b/>
                                      <w:bCs/>
                                      <w:color w:val="FF0000"/>
                                      <w:sz w:val="24"/>
                                      <w:szCs w:val="32"/>
                                      <w:lang w:val="en-US" w:eastAsia="zh-CN"/>
                                    </w:rPr>
                                    <w:t>3.17km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65pt;margin-top:145.2pt;height:25.45pt;width:54pt;z-index:251664384;mso-width-relative:page;mso-height-relative:page;" filled="f" stroked="f" coordsize="21600,21600" o:gfxdata="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mTE8i2gAAAAsBAAAPAAAAAAAAAAEAIAAAACIAAABkcnMv&#10;ZG93bnJldi54bWxQSwECFAAUAAAACACHTuJAMGzX3zoCAABnBAAADgAAAAAAAAABACAAAAApAQAA&#10;ZHJzL2Uyb0RvYy54bWxQSwUGAAAAAAYABgBZAQAA1QUAAAAA&#10;">
                      <v:fill on="f" focussize="0,0"/>
                      <v:stroke on="f" weight="0.5pt"/>
                      <v:imagedata o:title=""/>
                      <o:lock v:ext="edit" aspectratio="f"/>
                      <v:textbox>
                        <w:txbxContent>
                          <w:p>
                            <w:pPr>
                              <w:jc w:val="center"/>
                              <w:rPr>
                                <w:rFonts w:hint="default" w:ascii="Times New Roman" w:hAnsi="Times New Roman" w:cs="Times New Roman" w:eastAsiaTheme="minorEastAsia"/>
                                <w:b/>
                                <w:bCs/>
                                <w:color w:val="FF0000"/>
                                <w:sz w:val="24"/>
                                <w:szCs w:val="32"/>
                                <w:lang w:val="en-US" w:eastAsia="zh-CN"/>
                              </w:rPr>
                            </w:pPr>
                            <w:r>
                              <w:rPr>
                                <w:rFonts w:hint="default" w:ascii="Times New Roman" w:hAnsi="Times New Roman" w:cs="Times New Roman"/>
                                <w:b/>
                                <w:bCs/>
                                <w:color w:val="FF0000"/>
                                <w:sz w:val="24"/>
                                <w:szCs w:val="32"/>
                                <w:lang w:val="en-US" w:eastAsia="zh-CN"/>
                              </w:rPr>
                              <w:t>3.17km</w:t>
                            </w:r>
                          </w:p>
                        </w:txbxContent>
                      </v:textbox>
                    </v:shap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1163320</wp:posOffset>
                      </wp:positionH>
                      <wp:positionV relativeFrom="paragraph">
                        <wp:posOffset>4368165</wp:posOffset>
                      </wp:positionV>
                      <wp:extent cx="600710" cy="323215"/>
                      <wp:effectExtent l="4445" t="4445" r="23495" b="15240"/>
                      <wp:wrapNone/>
                      <wp:docPr id="10" name="文本框 10"/>
                      <wp:cNvGraphicFramePr/>
                      <a:graphic xmlns:a="http://schemas.openxmlformats.org/drawingml/2006/main">
                        <a:graphicData uri="http://schemas.microsoft.com/office/word/2010/wordprocessingShape">
                          <wps:wsp>
                            <wps:cNvSpPr txBox="1"/>
                            <wps:spPr>
                              <a:xfrm>
                                <a:off x="0" y="0"/>
                                <a:ext cx="600710" cy="323215"/>
                              </a:xfrm>
                              <a:prstGeom prst="rect">
                                <a:avLst/>
                              </a:prstGeom>
                              <a:solidFill>
                                <a:schemeClr val="bg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color w:val="FF0000"/>
                                      <w:lang w:val="en-US" w:eastAsia="zh-CN"/>
                                    </w:rPr>
                                  </w:pPr>
                                  <w:r>
                                    <w:rPr>
                                      <w:rFonts w:hint="eastAsia"/>
                                      <w:color w:val="FF0000"/>
                                      <w:lang w:val="en-US" w:eastAsia="zh-CN"/>
                                    </w:rPr>
                                    <w:t>供水厂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6pt;margin-top:343.95pt;height:25.45pt;width:47.3pt;z-index:251663360;mso-width-relative:page;mso-height-relative:page;" fillcolor="#FFFFFF [3212]" filled="t" stroked="t" coordsize="21600,21600" o:gfxdata="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qIWoDcAAAA&#10;CwEAAA8AAAAAAAAAAQAgAAAAIgAAAGRycy9kb3ducmV2LnhtbFBLAQIUABQAAAAIAIdO4kDsTFiL&#10;UgIAALkEAAAOAAAAAAAAAAEAIAAAACsBAABkcnMvZTJvRG9jLnhtbFBLBQYAAAAABgAGAFkBAADv&#10;BQAAAAA=&#10;">
                      <v:fill on="t" focussize="0,0"/>
                      <v:stroke weight="0.5pt" color="#FF0000 [3204]" joinstyle="round"/>
                      <v:imagedata o:title=""/>
                      <o:lock v:ext="edit" aspectratio="f"/>
                      <v:textbox>
                        <w:txbxContent>
                          <w:p>
                            <w:pPr>
                              <w:jc w:val="center"/>
                              <w:rPr>
                                <w:rFonts w:hint="default" w:eastAsiaTheme="minorEastAsia"/>
                                <w:color w:val="FF0000"/>
                                <w:lang w:val="en-US" w:eastAsia="zh-CN"/>
                              </w:rPr>
                            </w:pPr>
                            <w:r>
                              <w:rPr>
                                <w:rFonts w:hint="eastAsia"/>
                                <w:color w:val="FF0000"/>
                                <w:lang w:val="en-US" w:eastAsia="zh-CN"/>
                              </w:rPr>
                              <w:t>供水厂</w:t>
                            </w:r>
                          </w:p>
                        </w:txbxContent>
                      </v:textbox>
                    </v:shape>
                  </w:pict>
                </mc:Fallback>
              </mc:AlternateContent>
            </w:r>
            <w:r>
              <w:rPr>
                <w:rFonts w:hint="default" w:ascii="Times New Roman" w:hAnsi="Times New Roman" w:cs="Times New Roman"/>
                <w:color w:val="auto"/>
                <w:highlight w:val="none"/>
              </w:rPr>
              <w:drawing>
                <wp:inline distT="0" distB="0" distL="114300" distR="114300">
                  <wp:extent cx="5035550" cy="527685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rcRect b="3496"/>
                          <a:stretch>
                            <a:fillRect/>
                          </a:stretch>
                        </pic:blipFill>
                        <pic:spPr>
                          <a:xfrm>
                            <a:off x="0" y="0"/>
                            <a:ext cx="5035550" cy="527685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360" w:lineRule="auto"/>
              <w:ind w:left="0" w:leftChars="0" w:right="0"/>
              <w:jc w:val="center"/>
              <w:textAlignment w:val="baseline"/>
              <w:rPr>
                <w:rFonts w:hint="default" w:ascii="Times New Roman" w:hAnsi="Times New Roman" w:eastAsia="黑体" w:cs="Times New Roman"/>
                <w:color w:val="auto"/>
                <w:szCs w:val="21"/>
                <w:highlight w:val="none"/>
                <w:lang w:eastAsia="zh-CN"/>
              </w:rPr>
            </w:pPr>
            <w:r>
              <w:rPr>
                <w:rFonts w:hint="default" w:ascii="Times New Roman" w:hAnsi="Times New Roman" w:eastAsia="黑体" w:cs="Times New Roman"/>
                <w:color w:val="auto"/>
                <w:szCs w:val="21"/>
                <w:highlight w:val="none"/>
                <w:lang w:eastAsia="zh-CN"/>
              </w:rPr>
              <w:t>图1-</w:t>
            </w:r>
            <w:r>
              <w:rPr>
                <w:rFonts w:hint="eastAsia" w:ascii="Times New Roman" w:hAnsi="Times New Roman" w:eastAsia="黑体" w:cs="Times New Roman"/>
                <w:color w:val="auto"/>
                <w:szCs w:val="21"/>
                <w:highlight w:val="none"/>
                <w:lang w:val="en-US" w:eastAsia="zh-CN"/>
              </w:rPr>
              <w:t>6</w:t>
            </w:r>
            <w:r>
              <w:rPr>
                <w:rFonts w:hint="default" w:ascii="Times New Roman" w:hAnsi="Times New Roman" w:eastAsia="黑体" w:cs="Times New Roman"/>
                <w:color w:val="auto"/>
                <w:szCs w:val="21"/>
                <w:highlight w:val="none"/>
                <w:lang w:eastAsia="zh-CN"/>
              </w:rPr>
              <w:t>项目与集中式生活饮用水源保护区的位置关系图</w:t>
            </w:r>
          </w:p>
          <w:p>
            <w:pPr>
              <w:keepNext w:val="0"/>
              <w:keepLines w:val="0"/>
              <w:pageBreakBefore w:val="0"/>
              <w:widowControl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10、项目与《生活饮用水集中式供水单位卫生规范》的符合性分析</w:t>
            </w: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根据《生活饮用水集中式供水单位卫生规范》，本项目取水工程与规范相符性分析如表1-11所示。</w:t>
            </w:r>
          </w:p>
          <w:p>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360" w:lineRule="auto"/>
              <w:ind w:left="0" w:leftChars="0" w:right="0"/>
              <w:jc w:val="center"/>
              <w:textAlignment w:val="baseline"/>
              <w:rPr>
                <w:rFonts w:hint="default" w:ascii="Times New Roman" w:hAnsi="Times New Roman" w:eastAsia="黑体" w:cs="Times New Roman"/>
                <w:color w:val="auto"/>
                <w:szCs w:val="21"/>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360" w:lineRule="auto"/>
              <w:ind w:left="0" w:leftChars="0" w:right="0"/>
              <w:jc w:val="center"/>
              <w:textAlignment w:val="baseline"/>
              <w:rPr>
                <w:rFonts w:hint="default"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szCs w:val="21"/>
                <w:highlight w:val="none"/>
                <w:lang w:val="en-US" w:eastAsia="zh-CN"/>
              </w:rPr>
              <w:t>表1-11 本项目取水工程与规范相符性分析</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528"/>
              <w:gridCol w:w="4056"/>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50" w:type="pct"/>
                  <w:tcBorders>
                    <w:tl2br w:val="nil"/>
                    <w:tr2bl w:val="nil"/>
                  </w:tcBorders>
                  <w:vAlign w:val="center"/>
                </w:tcPr>
                <w:p>
                  <w:pPr>
                    <w:pStyle w:val="11"/>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eastAsia="宋体" w:cs="Times New Roman"/>
                      <w:b/>
                      <w:color w:val="auto"/>
                      <w:highlight w:val="none"/>
                      <w:lang w:val="en-US" w:eastAsia="zh-CN"/>
                    </w:rPr>
                  </w:pPr>
                  <w:r>
                    <w:rPr>
                      <w:rFonts w:hint="default" w:ascii="Times New Roman" w:hAnsi="Times New Roman" w:cs="Times New Roman"/>
                      <w:b/>
                      <w:color w:val="auto"/>
                      <w:highlight w:val="none"/>
                      <w:lang w:val="en-US" w:eastAsia="zh-CN"/>
                    </w:rPr>
                    <w:t>规范</w:t>
                  </w:r>
                </w:p>
              </w:tc>
              <w:tc>
                <w:tcPr>
                  <w:tcW w:w="2357" w:type="pct"/>
                  <w:tcBorders>
                    <w:tl2br w:val="nil"/>
                    <w:tr2bl w:val="nil"/>
                  </w:tcBorders>
                  <w:vAlign w:val="center"/>
                </w:tcPr>
                <w:p>
                  <w:pPr>
                    <w:pStyle w:val="11"/>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eastAsia="宋体" w:cs="Times New Roman"/>
                      <w:b/>
                      <w:color w:val="auto"/>
                      <w:highlight w:val="none"/>
                      <w:lang w:val="en-US" w:eastAsia="zh-CN"/>
                    </w:rPr>
                  </w:pPr>
                  <w:r>
                    <w:rPr>
                      <w:rFonts w:hint="default" w:ascii="Times New Roman" w:hAnsi="Times New Roman" w:cs="Times New Roman"/>
                      <w:b/>
                      <w:color w:val="auto"/>
                      <w:highlight w:val="none"/>
                      <w:lang w:val="en-US" w:eastAsia="zh-CN"/>
                    </w:rPr>
                    <w:t>本项目</w:t>
                  </w:r>
                </w:p>
              </w:tc>
              <w:tc>
                <w:tcPr>
                  <w:tcW w:w="591" w:type="pct"/>
                  <w:tcBorders>
                    <w:tl2br w:val="nil"/>
                    <w:tr2bl w:val="nil"/>
                  </w:tcBorders>
                  <w:vAlign w:val="center"/>
                </w:tcPr>
                <w:p>
                  <w:pPr>
                    <w:pStyle w:val="11"/>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eastAsia="宋体" w:cs="Times New Roman"/>
                      <w:b/>
                      <w:color w:val="auto"/>
                      <w:highlight w:val="none"/>
                      <w:lang w:val="en-US" w:eastAsia="zh-CN"/>
                    </w:rPr>
                  </w:pPr>
                  <w:r>
                    <w:rPr>
                      <w:rFonts w:hint="default" w:ascii="Times New Roman" w:hAnsi="Times New Roman" w:cs="Times New Roman"/>
                      <w:b/>
                      <w:color w:val="auto"/>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50" w:type="pct"/>
                  <w:tcBorders>
                    <w:tl2br w:val="nil"/>
                    <w:tr2bl w:val="nil"/>
                  </w:tcBorders>
                  <w:vAlign w:val="center"/>
                </w:tcPr>
                <w:p>
                  <w:pPr>
                    <w:pStyle w:val="11"/>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cs="Times New Roman"/>
                      <w:bCs/>
                      <w:color w:val="auto"/>
                      <w:highlight w:val="none"/>
                      <w:lang w:val="en-US"/>
                    </w:rPr>
                  </w:pPr>
                  <w:r>
                    <w:rPr>
                      <w:rFonts w:hint="default" w:ascii="Times New Roman" w:hAnsi="Times New Roman" w:cs="Times New Roman"/>
                      <w:bCs/>
                      <w:color w:val="auto"/>
                      <w:highlight w:val="none"/>
                      <w:lang w:val="en-US"/>
                    </w:rPr>
                    <w:t>集中式供水单位应选择水质良好、水量充沛、便于防护的水源。</w:t>
                  </w:r>
                </w:p>
              </w:tc>
              <w:tc>
                <w:tcPr>
                  <w:tcW w:w="2357" w:type="pct"/>
                  <w:tcBorders>
                    <w:tl2br w:val="nil"/>
                    <w:tr2bl w:val="nil"/>
                  </w:tcBorders>
                  <w:vAlign w:val="center"/>
                </w:tcPr>
                <w:p>
                  <w:pPr>
                    <w:pStyle w:val="11"/>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中河水量充足，其水质《地表水环境质量标准》（GB3838-2002）进行评价为Ⅲ类。</w:t>
                  </w:r>
                </w:p>
              </w:tc>
              <w:tc>
                <w:tcPr>
                  <w:tcW w:w="591" w:type="pct"/>
                  <w:tcBorders>
                    <w:tl2br w:val="nil"/>
                    <w:tr2bl w:val="nil"/>
                  </w:tcBorders>
                  <w:vAlign w:val="center"/>
                </w:tcPr>
                <w:p>
                  <w:pPr>
                    <w:pStyle w:val="11"/>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50" w:type="pct"/>
                  <w:tcBorders>
                    <w:tl2br w:val="nil"/>
                    <w:tr2bl w:val="nil"/>
                  </w:tcBorders>
                  <w:vAlign w:val="center"/>
                </w:tcPr>
                <w:p>
                  <w:pPr>
                    <w:pStyle w:val="11"/>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cs="Times New Roman"/>
                      <w:bCs/>
                      <w:color w:val="auto"/>
                      <w:highlight w:val="none"/>
                      <w:lang w:val="en-US"/>
                    </w:rPr>
                  </w:pPr>
                  <w:r>
                    <w:rPr>
                      <w:rFonts w:hint="default" w:ascii="Times New Roman" w:hAnsi="Times New Roman" w:cs="Times New Roman"/>
                      <w:bCs/>
                      <w:color w:val="auto"/>
                      <w:highlight w:val="none"/>
                      <w:lang w:val="en-US"/>
                    </w:rPr>
                    <w:t>取水点周围半径100米的水域内，严禁捕捞、网箱养殖、停靠船只、游泳和从事其他可能污染水源的任何活动。</w:t>
                  </w:r>
                </w:p>
              </w:tc>
              <w:tc>
                <w:tcPr>
                  <w:tcW w:w="2357" w:type="pct"/>
                  <w:tcBorders>
                    <w:tl2br w:val="nil"/>
                    <w:tr2bl w:val="nil"/>
                  </w:tcBorders>
                  <w:vAlign w:val="center"/>
                </w:tcPr>
                <w:p>
                  <w:pPr>
                    <w:pStyle w:val="11"/>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cs="Times New Roman" w:eastAsiaTheme="minorEastAsia"/>
                      <w:bCs/>
                      <w:color w:val="auto"/>
                      <w:highlight w:val="none"/>
                      <w:lang w:eastAsia="zh-CN"/>
                    </w:rPr>
                  </w:pPr>
                  <w:r>
                    <w:rPr>
                      <w:rFonts w:hint="default" w:ascii="Times New Roman" w:hAnsi="Times New Roman" w:cs="Times New Roman"/>
                      <w:bCs/>
                      <w:color w:val="auto"/>
                      <w:highlight w:val="none"/>
                    </w:rPr>
                    <w:t>取水点周围半径100米内，建设单位需会同有关部门，加强饮用水源保护区的监管工作，禁止捕捞、网箱养殖、停靠船只、游泳和从事其他可能污染水源的任何活动</w:t>
                  </w:r>
                  <w:r>
                    <w:rPr>
                      <w:rFonts w:hint="default" w:ascii="Times New Roman" w:hAnsi="Times New Roman" w:cs="Times New Roman"/>
                      <w:bCs/>
                      <w:color w:val="auto"/>
                      <w:highlight w:val="none"/>
                      <w:lang w:eastAsia="zh-CN"/>
                    </w:rPr>
                    <w:t>。</w:t>
                  </w:r>
                </w:p>
              </w:tc>
              <w:tc>
                <w:tcPr>
                  <w:tcW w:w="591" w:type="pct"/>
                  <w:tcBorders>
                    <w:tl2br w:val="nil"/>
                    <w:tr2bl w:val="nil"/>
                  </w:tcBorders>
                  <w:vAlign w:val="center"/>
                </w:tcPr>
                <w:p>
                  <w:pPr>
                    <w:pStyle w:val="11"/>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50" w:type="pct"/>
                  <w:tcBorders>
                    <w:tl2br w:val="nil"/>
                    <w:tr2bl w:val="nil"/>
                  </w:tcBorders>
                  <w:vAlign w:val="center"/>
                </w:tcPr>
                <w:p>
                  <w:pPr>
                    <w:pStyle w:val="11"/>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cs="Times New Roman"/>
                      <w:bCs/>
                      <w:color w:val="auto"/>
                      <w:highlight w:val="none"/>
                      <w:lang w:val="en-US"/>
                    </w:rPr>
                  </w:pPr>
                  <w:r>
                    <w:rPr>
                      <w:rFonts w:hint="default" w:ascii="Times New Roman" w:hAnsi="Times New Roman" w:cs="Times New Roman"/>
                      <w:bCs/>
                      <w:color w:val="auto"/>
                      <w:highlight w:val="none"/>
                      <w:lang w:val="en-US"/>
                    </w:rPr>
                    <w:t>取水点上游1000米至下游100米的水域不得排入工业废水和生活污水；其沿岸防护范围内不得堆放废渣，不得设立有毒、有害化学物品仓库、堆栈，不得设立装卸垃圾、粪便和有毒有害化学物品的码头，不得使用工业废水或生活污水灌溉及使用难降解或剧毒的农药，不得排放有毒气体、放射性物质，不得从事放牧等有可能污染该段水域水质的活动。</w:t>
                  </w:r>
                </w:p>
              </w:tc>
              <w:tc>
                <w:tcPr>
                  <w:tcW w:w="2357" w:type="pct"/>
                  <w:tcBorders>
                    <w:tl2br w:val="nil"/>
                    <w:tr2bl w:val="nil"/>
                  </w:tcBorders>
                  <w:vAlign w:val="center"/>
                </w:tcPr>
                <w:p>
                  <w:pPr>
                    <w:pStyle w:val="11"/>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取水点上游1000米至下游100米的水域范围</w:t>
                  </w:r>
                  <w:r>
                    <w:rPr>
                      <w:rFonts w:hint="default" w:ascii="Times New Roman" w:hAnsi="Times New Roman" w:cs="Times New Roman"/>
                      <w:bCs/>
                      <w:color w:val="auto"/>
                      <w:highlight w:val="none"/>
                      <w:lang w:val="en-US" w:eastAsia="zh-CN"/>
                    </w:rPr>
                    <w:t>无工业废水和生活污水排入</w:t>
                  </w:r>
                  <w:r>
                    <w:rPr>
                      <w:rFonts w:hint="default" w:ascii="Times New Roman" w:hAnsi="Times New Roman" w:cs="Times New Roman"/>
                      <w:bCs/>
                      <w:color w:val="auto"/>
                      <w:highlight w:val="none"/>
                    </w:rPr>
                    <w:t>、沿线无其他可能对水环境造成不利影响的堆渣。另外，建设单位需会同农业部门，加强对饮用水源地农田灌溉用水安全、农药科学合理的使用进行宣传，最大限度降低农业污染源对该段水质的影响。</w:t>
                  </w:r>
                </w:p>
              </w:tc>
              <w:tc>
                <w:tcPr>
                  <w:tcW w:w="591" w:type="pct"/>
                  <w:tcBorders>
                    <w:tl2br w:val="nil"/>
                    <w:tr2bl w:val="nil"/>
                  </w:tcBorders>
                  <w:vAlign w:val="center"/>
                </w:tcPr>
                <w:p>
                  <w:pPr>
                    <w:pStyle w:val="11"/>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50" w:type="pct"/>
                  <w:tcBorders>
                    <w:tl2br w:val="nil"/>
                    <w:tr2bl w:val="nil"/>
                  </w:tcBorders>
                  <w:vAlign w:val="center"/>
                </w:tcPr>
                <w:p>
                  <w:pPr>
                    <w:pStyle w:val="11"/>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cs="Times New Roman"/>
                      <w:bCs/>
                      <w:color w:val="auto"/>
                      <w:highlight w:val="none"/>
                      <w:lang w:val="en-US"/>
                    </w:rPr>
                  </w:pPr>
                  <w:r>
                    <w:rPr>
                      <w:rFonts w:hint="default" w:ascii="Times New Roman" w:hAnsi="Times New Roman" w:cs="Times New Roman"/>
                      <w:bCs/>
                      <w:color w:val="auto"/>
                      <w:highlight w:val="none"/>
                      <w:lang w:val="en-US"/>
                    </w:rPr>
                    <w:t>集中式供水单位应对取水、输水、净水、蓄水和配水等设施加强质量管理，建立放水、清洗、消毒和检修制度及操作规程，保证供水水质。</w:t>
                  </w:r>
                </w:p>
              </w:tc>
              <w:tc>
                <w:tcPr>
                  <w:tcW w:w="2357" w:type="pct"/>
                  <w:tcBorders>
                    <w:tl2br w:val="nil"/>
                    <w:tr2bl w:val="nil"/>
                  </w:tcBorders>
                  <w:vAlign w:val="center"/>
                </w:tcPr>
                <w:p>
                  <w:pPr>
                    <w:pStyle w:val="11"/>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本项目取水、输水等设施均建立检修制度及操作规程。</w:t>
                  </w:r>
                </w:p>
              </w:tc>
              <w:tc>
                <w:tcPr>
                  <w:tcW w:w="591" w:type="pct"/>
                  <w:tcBorders>
                    <w:tl2br w:val="nil"/>
                    <w:tr2bl w:val="nil"/>
                  </w:tcBorders>
                  <w:vAlign w:val="center"/>
                </w:tcPr>
                <w:p>
                  <w:pPr>
                    <w:pStyle w:val="11"/>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50" w:type="pct"/>
                  <w:tcBorders>
                    <w:tl2br w:val="nil"/>
                    <w:tr2bl w:val="nil"/>
                  </w:tcBorders>
                  <w:vAlign w:val="center"/>
                </w:tcPr>
                <w:p>
                  <w:pPr>
                    <w:pStyle w:val="11"/>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rPr>
                    <w:t>集中式供水单位应针对取水、输水、净水、蓄水和配水等可能发生污染的环节，制订和落实防范措施，加强检查，严防污染事件发生</w:t>
                  </w:r>
                  <w:r>
                    <w:rPr>
                      <w:rFonts w:hint="default" w:ascii="Times New Roman" w:hAnsi="Times New Roman" w:cs="Times New Roman"/>
                      <w:bCs/>
                      <w:color w:val="auto"/>
                      <w:highlight w:val="none"/>
                      <w:lang w:val="en-US" w:eastAsia="zh-CN"/>
                    </w:rPr>
                    <w:t>。</w:t>
                  </w:r>
                </w:p>
              </w:tc>
              <w:tc>
                <w:tcPr>
                  <w:tcW w:w="2357" w:type="pct"/>
                  <w:tcBorders>
                    <w:tl2br w:val="nil"/>
                    <w:tr2bl w:val="nil"/>
                  </w:tcBorders>
                  <w:vAlign w:val="center"/>
                </w:tcPr>
                <w:p>
                  <w:pPr>
                    <w:pStyle w:val="11"/>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项目在落实本评价提出的污染治理措施，加强管理；建设单位需会同环保主管部门建立联动监控机制，建立健全饮用水源应急预案，保证取水安全。</w:t>
                  </w:r>
                </w:p>
              </w:tc>
              <w:tc>
                <w:tcPr>
                  <w:tcW w:w="591" w:type="pct"/>
                  <w:tcBorders>
                    <w:tl2br w:val="nil"/>
                    <w:tr2bl w:val="nil"/>
                  </w:tcBorders>
                  <w:vAlign w:val="center"/>
                </w:tcPr>
                <w:p>
                  <w:pPr>
                    <w:pStyle w:val="11"/>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落实各项措施后符合规范</w:t>
                  </w:r>
                </w:p>
              </w:tc>
            </w:tr>
          </w:tbl>
          <w:p>
            <w:pPr>
              <w:keepNext w:val="0"/>
              <w:keepLines w:val="0"/>
              <w:pageBreakBefore w:val="0"/>
              <w:widowControl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11、取水可行性分析</w:t>
            </w:r>
          </w:p>
          <w:p>
            <w:pPr>
              <w:keepNext w:val="0"/>
              <w:keepLines w:val="0"/>
              <w:pageBreakBefore w:val="0"/>
              <w:widowControl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eastAsia="zh-CN"/>
              </w:rPr>
            </w:pPr>
            <w:r>
              <w:rPr>
                <w:rFonts w:hint="default" w:ascii="Times New Roman" w:hAnsi="Times New Roman" w:cs="Times New Roman"/>
                <w:b/>
                <w:bCs/>
                <w:color w:val="auto"/>
                <w:sz w:val="24"/>
                <w:szCs w:val="32"/>
                <w:highlight w:val="none"/>
                <w:vertAlign w:val="baseline"/>
                <w:lang w:eastAsia="zh-CN"/>
              </w:rPr>
              <w:t>（</w:t>
            </w:r>
            <w:r>
              <w:rPr>
                <w:rFonts w:hint="default" w:ascii="Times New Roman" w:hAnsi="Times New Roman" w:cs="Times New Roman"/>
                <w:b/>
                <w:bCs/>
                <w:color w:val="auto"/>
                <w:sz w:val="24"/>
                <w:szCs w:val="32"/>
                <w:highlight w:val="none"/>
                <w:vertAlign w:val="baseline"/>
                <w:lang w:val="en-US" w:eastAsia="zh-CN"/>
              </w:rPr>
              <w:t>1</w:t>
            </w:r>
            <w:r>
              <w:rPr>
                <w:rFonts w:hint="default" w:ascii="Times New Roman" w:hAnsi="Times New Roman" w:cs="Times New Roman"/>
                <w:b/>
                <w:bCs/>
                <w:color w:val="auto"/>
                <w:sz w:val="24"/>
                <w:szCs w:val="32"/>
                <w:highlight w:val="none"/>
                <w:vertAlign w:val="baseline"/>
                <w:lang w:eastAsia="zh-CN"/>
              </w:rPr>
              <w:t>）水资源承载力可行性分析</w:t>
            </w: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eastAsia="zh-CN"/>
              </w:rPr>
            </w:pPr>
            <w:r>
              <w:rPr>
                <w:rFonts w:hint="default" w:ascii="Times New Roman" w:hAnsi="Times New Roman" w:cs="Times New Roman"/>
                <w:color w:val="auto"/>
                <w:sz w:val="24"/>
                <w:szCs w:val="32"/>
                <w:highlight w:val="none"/>
                <w:vertAlign w:val="baseline"/>
                <w:lang w:val="en-US" w:eastAsia="zh-CN"/>
              </w:rPr>
              <w:t>根据《宣汉县乡村水务试点县供水保障工程》初步设计及相关资料，新华供水厂新建</w:t>
            </w:r>
            <w:r>
              <w:rPr>
                <w:rFonts w:hint="default" w:ascii="Times New Roman" w:hAnsi="Times New Roman" w:cs="Times New Roman"/>
                <w:color w:val="auto"/>
                <w:sz w:val="24"/>
                <w:szCs w:val="32"/>
                <w:highlight w:val="none"/>
                <w:vertAlign w:val="baseline"/>
                <w:lang w:eastAsia="zh-CN"/>
              </w:rPr>
              <w:t>取水泵房</w:t>
            </w:r>
            <w:r>
              <w:rPr>
                <w:rFonts w:hint="default" w:ascii="Times New Roman" w:hAnsi="Times New Roman" w:cs="Times New Roman"/>
                <w:color w:val="auto"/>
                <w:sz w:val="24"/>
                <w:szCs w:val="32"/>
                <w:highlight w:val="none"/>
                <w:vertAlign w:val="baseline"/>
                <w:lang w:val="en-US" w:eastAsia="zh-CN"/>
              </w:rPr>
              <w:t>位于新华场镇东北侧上游中河右岸，水源地为中河地表水，泵房设计直径为10m，取水规模为7000m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/d，水泵为2用1备，设计流量Q=321m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/h（7700m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/d），能够满足新华供水厂的原水来源。</w:t>
            </w: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根据《四川达州宣汉县新华镇新华水厂水资源论证报告书》，项目取水口处多年平均来水量为15.6m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/s（49196万m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/a），</w:t>
            </w:r>
            <w:r>
              <w:rPr>
                <w:rFonts w:hint="eastAsia" w:ascii="Times New Roman" w:hAnsi="Times New Roman" w:cs="Times New Roman"/>
                <w:color w:val="auto"/>
                <w:sz w:val="24"/>
                <w:szCs w:val="32"/>
                <w:highlight w:val="none"/>
                <w:vertAlign w:val="baseline"/>
                <w:lang w:val="en-US" w:eastAsia="zh-CN"/>
              </w:rPr>
              <w:t>用水保证率</w:t>
            </w:r>
            <w:r>
              <w:rPr>
                <w:rFonts w:hint="default" w:ascii="Times New Roman" w:hAnsi="Times New Roman" w:cs="Times New Roman"/>
                <w:color w:val="auto"/>
                <w:sz w:val="24"/>
                <w:szCs w:val="32"/>
                <w:highlight w:val="none"/>
                <w:vertAlign w:val="baseline"/>
                <w:lang w:val="en-US" w:eastAsia="zh-CN"/>
              </w:rPr>
              <w:t>P=95%枯水期来水量为8.56m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/s（26995万m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/a），本项目日取原水量为0.08m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/s（7000m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/d），可知中河水径流量远远大于需水量，水资源总量是满足的，满足当地水资源上线要求。</w:t>
            </w: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综上，本项目从取水口水资源承度分载力的角析，项目由中河提供原水是可行的。</w:t>
            </w:r>
          </w:p>
          <w:p>
            <w:pPr>
              <w:keepNext w:val="0"/>
              <w:keepLines w:val="0"/>
              <w:pageBreakBefore w:val="0"/>
              <w:widowControl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eastAsia="zh-CN"/>
              </w:rPr>
            </w:pPr>
            <w:r>
              <w:rPr>
                <w:rFonts w:hint="default" w:ascii="Times New Roman" w:hAnsi="Times New Roman" w:cs="Times New Roman"/>
                <w:b/>
                <w:bCs/>
                <w:color w:val="auto"/>
                <w:sz w:val="24"/>
                <w:szCs w:val="32"/>
                <w:highlight w:val="none"/>
                <w:vertAlign w:val="baseline"/>
                <w:lang w:eastAsia="zh-CN"/>
              </w:rPr>
              <w:t>（2）取水口现状</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lang w:eastAsia="zh-CN"/>
              </w:rPr>
              <w:t>为了解项目拟设取水口水质现状，本环评引用达州市生态环境局公布的《达州市乡镇集中式饮用水水源地水环境质量》（</w:t>
            </w:r>
            <w:r>
              <w:rPr>
                <w:rFonts w:hint="default" w:ascii="Times New Roman" w:hAnsi="Times New Roman" w:cs="Times New Roman"/>
                <w:b w:val="0"/>
                <w:bCs/>
                <w:color w:val="auto"/>
                <w:sz w:val="24"/>
                <w:szCs w:val="24"/>
                <w:highlight w:val="none"/>
                <w:lang w:val="en-US" w:eastAsia="zh-CN"/>
              </w:rPr>
              <w:t>2020年、2021年、2022年</w:t>
            </w:r>
            <w:r>
              <w:rPr>
                <w:rFonts w:hint="default"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lang w:val="en-US" w:eastAsia="zh-CN"/>
              </w:rPr>
              <w:t>发布的数据（网址：https://sthjj.dazhou.gov.cn/news-list-yyssyzl.html）：</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2020年：</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乡镇集中式饮用水源地水质达标率：</w:t>
            </w:r>
            <w:r>
              <w:rPr>
                <w:rFonts w:hint="default" w:ascii="Times New Roman" w:hAnsi="Times New Roman" w:cs="Times New Roman"/>
                <w:b w:val="0"/>
                <w:bCs/>
                <w:color w:val="auto"/>
                <w:sz w:val="24"/>
                <w:szCs w:val="24"/>
                <w:highlight w:val="none"/>
                <w:lang w:val="en-US" w:eastAsia="zh-CN"/>
              </w:rPr>
              <w:t>通川区、高新区、宣汉县、开江县、万源市乡镇集中式饮用水源地水质达标率为100%，达川区为99.1%，大竹县为99%，渠县为97.4%。</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地表水水质达标率</w:t>
            </w:r>
            <w:r>
              <w:rPr>
                <w:rFonts w:hint="default" w:ascii="Times New Roman" w:hAnsi="Times New Roman" w:cs="Times New Roman"/>
                <w:b w:val="0"/>
                <w:bCs/>
                <w:color w:val="auto"/>
                <w:sz w:val="24"/>
                <w:szCs w:val="24"/>
                <w:highlight w:val="none"/>
                <w:lang w:val="en-US" w:eastAsia="zh-CN"/>
              </w:rPr>
              <w:t>：通川区、高新区、</w:t>
            </w:r>
            <w:r>
              <w:rPr>
                <w:rFonts w:hint="default" w:ascii="Times New Roman" w:hAnsi="Times New Roman" w:cs="Times New Roman"/>
                <w:b/>
                <w:bCs w:val="0"/>
                <w:color w:val="auto"/>
                <w:sz w:val="24"/>
                <w:szCs w:val="24"/>
                <w:highlight w:val="none"/>
                <w:lang w:val="en-US" w:eastAsia="zh-CN"/>
              </w:rPr>
              <w:t>宣汉县</w:t>
            </w:r>
            <w:r>
              <w:rPr>
                <w:rFonts w:hint="default" w:ascii="Times New Roman" w:hAnsi="Times New Roman" w:cs="Times New Roman"/>
                <w:b w:val="0"/>
                <w:bCs/>
                <w:color w:val="auto"/>
                <w:sz w:val="24"/>
                <w:szCs w:val="24"/>
                <w:highlight w:val="none"/>
                <w:lang w:val="en-US" w:eastAsia="zh-CN"/>
              </w:rPr>
              <w:t>、开江县、万源市</w:t>
            </w:r>
            <w:r>
              <w:rPr>
                <w:rFonts w:hint="default" w:ascii="Times New Roman" w:hAnsi="Times New Roman" w:cs="Times New Roman"/>
                <w:b/>
                <w:bCs w:val="0"/>
                <w:color w:val="auto"/>
                <w:sz w:val="24"/>
                <w:szCs w:val="24"/>
                <w:highlight w:val="none"/>
                <w:lang w:val="en-US" w:eastAsia="zh-CN"/>
              </w:rPr>
              <w:t>地表水源地水质达标率为100%</w:t>
            </w:r>
            <w:r>
              <w:rPr>
                <w:rFonts w:hint="default" w:ascii="Times New Roman" w:hAnsi="Times New Roman" w:cs="Times New Roman"/>
                <w:b w:val="0"/>
                <w:bCs/>
                <w:color w:val="auto"/>
                <w:sz w:val="24"/>
                <w:szCs w:val="24"/>
                <w:highlight w:val="none"/>
                <w:lang w:val="en-US" w:eastAsia="zh-CN"/>
              </w:rPr>
              <w:t>，达川区为99%，大竹县为98.9%，渠县为97.5%。</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2021年：</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val="0"/>
                <w:bCs/>
                <w:color w:val="auto"/>
                <w:sz w:val="24"/>
                <w:szCs w:val="24"/>
                <w:highlight w:val="none"/>
                <w:lang w:eastAsia="zh-CN"/>
              </w:rPr>
            </w:pPr>
            <w:r>
              <w:rPr>
                <w:rFonts w:hint="default" w:ascii="Times New Roman" w:hAnsi="Times New Roman" w:cs="Times New Roman"/>
                <w:b/>
                <w:bCs w:val="0"/>
                <w:color w:val="auto"/>
                <w:sz w:val="24"/>
                <w:szCs w:val="24"/>
                <w:highlight w:val="none"/>
                <w:lang w:val="en-US" w:eastAsia="zh-CN"/>
              </w:rPr>
              <w:t>乡镇集中式饮用水源地水质达标率：</w:t>
            </w:r>
            <w:r>
              <w:rPr>
                <w:rFonts w:hint="default" w:ascii="Times New Roman" w:hAnsi="Times New Roman" w:cs="Times New Roman"/>
                <w:b w:val="0"/>
                <w:bCs/>
                <w:color w:val="auto"/>
                <w:sz w:val="24"/>
                <w:szCs w:val="24"/>
                <w:highlight w:val="none"/>
                <w:lang w:eastAsia="zh-CN"/>
              </w:rPr>
              <w:t>达川区、宣汉县、开江县乡镇集中式饮用水源地水质达标率为100%，渠县为99.9%，通川区为99.1%，高于全市平均值（98.9%）。大竹县、万源市、高新区水质达标率低于全市平均值。大竹县水质达标率为97.3%，万源市为95.9%，高新区为38.5%</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val="0"/>
                <w:bCs/>
                <w:color w:val="auto"/>
                <w:sz w:val="24"/>
                <w:szCs w:val="24"/>
                <w:highlight w:val="none"/>
                <w:lang w:eastAsia="zh-CN"/>
              </w:rPr>
            </w:pPr>
            <w:r>
              <w:rPr>
                <w:rFonts w:hint="default" w:ascii="Times New Roman" w:hAnsi="Times New Roman" w:cs="Times New Roman"/>
                <w:b/>
                <w:bCs w:val="0"/>
                <w:color w:val="auto"/>
                <w:sz w:val="24"/>
                <w:szCs w:val="24"/>
                <w:highlight w:val="none"/>
                <w:lang w:val="en-US" w:eastAsia="zh-CN"/>
              </w:rPr>
              <w:t>地表水水质达标率：</w:t>
            </w:r>
            <w:r>
              <w:rPr>
                <w:rFonts w:hint="default" w:ascii="Times New Roman" w:hAnsi="Times New Roman" w:cs="Times New Roman"/>
                <w:b w:val="0"/>
                <w:bCs/>
                <w:color w:val="auto"/>
                <w:sz w:val="24"/>
                <w:szCs w:val="24"/>
                <w:highlight w:val="none"/>
                <w:lang w:eastAsia="zh-CN"/>
              </w:rPr>
              <w:t>达川区、</w:t>
            </w:r>
            <w:r>
              <w:rPr>
                <w:rFonts w:hint="default" w:ascii="Times New Roman" w:hAnsi="Times New Roman" w:cs="Times New Roman"/>
                <w:b/>
                <w:bCs w:val="0"/>
                <w:color w:val="auto"/>
                <w:sz w:val="24"/>
                <w:szCs w:val="24"/>
                <w:highlight w:val="none"/>
                <w:lang w:val="en-US" w:eastAsia="zh-CN"/>
              </w:rPr>
              <w:t>宣汉县</w:t>
            </w:r>
            <w:r>
              <w:rPr>
                <w:rFonts w:hint="default" w:ascii="Times New Roman" w:hAnsi="Times New Roman" w:cs="Times New Roman"/>
                <w:b w:val="0"/>
                <w:bCs/>
                <w:color w:val="auto"/>
                <w:sz w:val="24"/>
                <w:szCs w:val="24"/>
                <w:highlight w:val="none"/>
                <w:lang w:eastAsia="zh-CN"/>
              </w:rPr>
              <w:t>、开江县和渠县</w:t>
            </w:r>
            <w:r>
              <w:rPr>
                <w:rFonts w:hint="default" w:ascii="Times New Roman" w:hAnsi="Times New Roman" w:cs="Times New Roman"/>
                <w:b/>
                <w:bCs w:val="0"/>
                <w:color w:val="auto"/>
                <w:sz w:val="24"/>
                <w:szCs w:val="24"/>
                <w:highlight w:val="none"/>
                <w:lang w:val="en-US" w:eastAsia="zh-CN"/>
              </w:rPr>
              <w:t>地表水源地水质达标率为100%</w:t>
            </w:r>
            <w:r>
              <w:rPr>
                <w:rFonts w:hint="default" w:ascii="Times New Roman" w:hAnsi="Times New Roman" w:cs="Times New Roman"/>
                <w:b w:val="0"/>
                <w:bCs/>
                <w:color w:val="auto"/>
                <w:sz w:val="24"/>
                <w:szCs w:val="24"/>
                <w:highlight w:val="none"/>
                <w:lang w:eastAsia="zh-CN"/>
              </w:rPr>
              <w:t>，通川区为99.1%，高于全市平均值（98.9%）。大竹县、万源市、高新区低于全市平均值。大竹县水质达标率为97.2%，万源市为95.5%，高新区为38.5%。</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2022年：</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val="0"/>
                <w:bCs/>
                <w:color w:val="auto"/>
                <w:sz w:val="24"/>
                <w:szCs w:val="24"/>
                <w:highlight w:val="none"/>
                <w:lang w:eastAsia="zh-CN"/>
              </w:rPr>
            </w:pPr>
            <w:r>
              <w:rPr>
                <w:rFonts w:hint="default" w:ascii="Times New Roman" w:hAnsi="Times New Roman" w:cs="Times New Roman"/>
                <w:b/>
                <w:bCs w:val="0"/>
                <w:color w:val="auto"/>
                <w:sz w:val="24"/>
                <w:szCs w:val="24"/>
                <w:highlight w:val="none"/>
                <w:lang w:val="en-US" w:eastAsia="zh-CN"/>
              </w:rPr>
              <w:t>乡镇集中式饮用水源地水质达标率：</w:t>
            </w:r>
            <w:r>
              <w:rPr>
                <w:rFonts w:hint="default" w:ascii="Times New Roman" w:hAnsi="Times New Roman" w:cs="Times New Roman"/>
                <w:b w:val="0"/>
                <w:bCs/>
                <w:color w:val="auto"/>
                <w:sz w:val="24"/>
                <w:szCs w:val="24"/>
                <w:highlight w:val="none"/>
                <w:lang w:eastAsia="zh-CN"/>
              </w:rPr>
              <w:t>达川区、东部经开区、宣汉县、开江县、大竹县、渠县和万源市乡镇集中式饮用水源地水质达标率为100%，高于全市平均值（99.8%）。通川区、高新区水质达标率低于全市平均值。通川区为98.1%，高新区为68.4%。</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val="0"/>
                <w:bCs/>
                <w:color w:val="auto"/>
                <w:sz w:val="24"/>
                <w:szCs w:val="24"/>
                <w:highlight w:val="none"/>
                <w:lang w:eastAsia="zh-CN"/>
              </w:rPr>
            </w:pPr>
            <w:r>
              <w:rPr>
                <w:rFonts w:hint="default" w:ascii="Times New Roman" w:hAnsi="Times New Roman" w:cs="Times New Roman"/>
                <w:b/>
                <w:bCs w:val="0"/>
                <w:color w:val="auto"/>
                <w:sz w:val="24"/>
                <w:szCs w:val="24"/>
                <w:highlight w:val="none"/>
                <w:lang w:eastAsia="zh-CN"/>
              </w:rPr>
              <w:t>地表水水质达标率：</w:t>
            </w:r>
            <w:r>
              <w:rPr>
                <w:rFonts w:hint="default" w:ascii="Times New Roman" w:hAnsi="Times New Roman" w:cs="Times New Roman"/>
                <w:b w:val="0"/>
                <w:bCs/>
                <w:color w:val="auto"/>
                <w:sz w:val="24"/>
                <w:szCs w:val="24"/>
                <w:highlight w:val="none"/>
                <w:lang w:eastAsia="zh-CN"/>
              </w:rPr>
              <w:t>达川区、东部经开区、</w:t>
            </w:r>
            <w:r>
              <w:rPr>
                <w:rFonts w:hint="default" w:ascii="Times New Roman" w:hAnsi="Times New Roman" w:cs="Times New Roman"/>
                <w:b/>
                <w:bCs w:val="0"/>
                <w:color w:val="auto"/>
                <w:sz w:val="24"/>
                <w:szCs w:val="24"/>
                <w:highlight w:val="none"/>
                <w:lang w:eastAsia="zh-CN"/>
              </w:rPr>
              <w:t>宣汉县</w:t>
            </w:r>
            <w:r>
              <w:rPr>
                <w:rFonts w:hint="default" w:ascii="Times New Roman" w:hAnsi="Times New Roman" w:cs="Times New Roman"/>
                <w:b w:val="0"/>
                <w:bCs/>
                <w:color w:val="auto"/>
                <w:sz w:val="24"/>
                <w:szCs w:val="24"/>
                <w:highlight w:val="none"/>
                <w:lang w:eastAsia="zh-CN"/>
              </w:rPr>
              <w:t>、开江县、大竹县、渠县和万源市</w:t>
            </w:r>
            <w:r>
              <w:rPr>
                <w:rFonts w:hint="default" w:ascii="Times New Roman" w:hAnsi="Times New Roman" w:cs="Times New Roman"/>
                <w:b/>
                <w:bCs w:val="0"/>
                <w:color w:val="auto"/>
                <w:sz w:val="24"/>
                <w:szCs w:val="24"/>
                <w:highlight w:val="none"/>
                <w:lang w:eastAsia="zh-CN"/>
              </w:rPr>
              <w:t>地表水源地水质达标率为100%</w:t>
            </w:r>
            <w:r>
              <w:rPr>
                <w:rFonts w:hint="default" w:ascii="Times New Roman" w:hAnsi="Times New Roman" w:cs="Times New Roman"/>
                <w:b w:val="0"/>
                <w:bCs/>
                <w:color w:val="auto"/>
                <w:sz w:val="24"/>
                <w:szCs w:val="24"/>
                <w:highlight w:val="none"/>
                <w:lang w:eastAsia="zh-CN"/>
              </w:rPr>
              <w:t>，高于全市平均值（99.7%）。通川区、高新区低于全市平均值。通川区水质达标率为98.1%，高新区为68.4%。</w:t>
            </w: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本项目拟建中河取水口属于宣汉县地表水，因其达标率为100%，可认为项目中河水质较好，满足《地表水环境质量标准》（GB3838-2002）Ⅲ类标准。</w:t>
            </w: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同时，根据补充监测恒福（环）检字（2023）第</w:t>
            </w:r>
            <w:r>
              <w:rPr>
                <w:rFonts w:hint="eastAsia" w:ascii="Times New Roman" w:hAnsi="Times New Roman" w:cs="Times New Roman"/>
                <w:color w:val="auto"/>
                <w:sz w:val="24"/>
                <w:szCs w:val="32"/>
                <w:highlight w:val="none"/>
                <w:vertAlign w:val="baseline"/>
                <w:lang w:val="en-US" w:eastAsia="zh-CN"/>
              </w:rPr>
              <w:t>0383</w:t>
            </w:r>
            <w:r>
              <w:rPr>
                <w:rFonts w:hint="default" w:ascii="Times New Roman" w:hAnsi="Times New Roman" w:cs="Times New Roman"/>
                <w:color w:val="auto"/>
                <w:sz w:val="24"/>
                <w:szCs w:val="32"/>
                <w:highlight w:val="none"/>
                <w:vertAlign w:val="baseline"/>
                <w:lang w:val="en-US" w:eastAsia="zh-CN"/>
              </w:rPr>
              <w:t>号，监测期间项目拟设的中河取水口水质均满足《地表水环境质量标准》（GB3838-2002）中的Ⅲ类水质标准。</w:t>
            </w: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综上，本项目从取水口处现状水质达标的角度分析，拟设的中河取水作为饮用水是可行的。</w:t>
            </w:r>
          </w:p>
          <w:p>
            <w:pPr>
              <w:keepNext w:val="0"/>
              <w:keepLines w:val="0"/>
              <w:pageBreakBefore w:val="0"/>
              <w:widowControl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12、选址可行性分析</w:t>
            </w:r>
          </w:p>
          <w:p>
            <w:pPr>
              <w:keepNext w:val="0"/>
              <w:keepLines w:val="0"/>
              <w:pageBreakBefore w:val="0"/>
              <w:numPr>
                <w:ilvl w:val="0"/>
                <w:numId w:val="0"/>
              </w:numPr>
              <w:suppressLineNumbers w:val="0"/>
              <w:kinsoku/>
              <w:wordWrap/>
              <w:topLinePunct w:val="0"/>
              <w:bidi w:val="0"/>
              <w:spacing w:beforeAutospacing="0" w:afterAutospacing="0" w:line="360" w:lineRule="auto"/>
              <w:ind w:left="0" w:leftChars="0" w:right="0" w:rightChars="0"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（1）管网敷设选址合理性分析</w:t>
            </w:r>
          </w:p>
          <w:p>
            <w:pPr>
              <w:keepNext w:val="0"/>
              <w:keepLines w:val="0"/>
              <w:pageBreakBefore w:val="0"/>
              <w:numPr>
                <w:ilvl w:val="0"/>
                <w:numId w:val="0"/>
              </w:numPr>
              <w:suppressLineNumbers w:val="0"/>
              <w:kinsoku/>
              <w:wordWrap/>
              <w:topLinePunct w:val="0"/>
              <w:bidi w:val="0"/>
              <w:spacing w:beforeAutospacing="0" w:afterAutospacing="0" w:line="360" w:lineRule="auto"/>
              <w:ind w:left="0" w:leftChars="0" w:right="0" w:righ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val="0"/>
                <w:bCs w:val="0"/>
                <w:color w:val="auto"/>
                <w:sz w:val="24"/>
                <w:szCs w:val="24"/>
                <w:highlight w:val="none"/>
                <w:lang w:val="en-US" w:eastAsia="zh-CN"/>
              </w:rPr>
              <w:t>本项目管网敷设区域主要为</w:t>
            </w:r>
            <w:r>
              <w:rPr>
                <w:rFonts w:hint="default" w:ascii="Times New Roman" w:hAnsi="Times New Roman" w:cs="Times New Roman"/>
                <w:color w:val="auto"/>
                <w:sz w:val="24"/>
                <w:szCs w:val="32"/>
                <w:highlight w:val="none"/>
                <w:vertAlign w:val="baseline"/>
                <w:lang w:val="en-US" w:eastAsia="zh-CN"/>
              </w:rPr>
              <w:t>石铁乡、新华镇、厂溪镇、黄金镇四个乡镇，四个乡镇地形起伏较大，综合考虑区域地形和施工期间材料运输等因素，本项目管网主要采用重力流形式，沿乡镇之间的道路（属于山谷地带）进行敷设，便于工程施工。</w:t>
            </w:r>
          </w:p>
          <w:p>
            <w:pPr>
              <w:keepNext w:val="0"/>
              <w:keepLines w:val="0"/>
              <w:pageBreakBefore w:val="0"/>
              <w:numPr>
                <w:ilvl w:val="0"/>
                <w:numId w:val="0"/>
              </w:numPr>
              <w:suppressLineNumbers w:val="0"/>
              <w:kinsoku/>
              <w:wordWrap/>
              <w:topLinePunct w:val="0"/>
              <w:bidi w:val="0"/>
              <w:spacing w:beforeAutospacing="0" w:afterAutospacing="0" w:line="360" w:lineRule="auto"/>
              <w:ind w:left="0" w:leftChars="0" w:right="0" w:rightChars="0"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32"/>
                <w:highlight w:val="none"/>
                <w:vertAlign w:val="baseline"/>
                <w:lang w:val="en-US" w:eastAsia="zh-CN"/>
              </w:rPr>
              <w:t>综合上述因素考虑，本项目管网敷设选址是合理的。</w:t>
            </w:r>
          </w:p>
          <w:p>
            <w:pPr>
              <w:keepNext w:val="0"/>
              <w:keepLines w:val="0"/>
              <w:pageBreakBefore w:val="0"/>
              <w:numPr>
                <w:ilvl w:val="0"/>
                <w:numId w:val="0"/>
              </w:numPr>
              <w:suppressLineNumbers w:val="0"/>
              <w:kinsoku/>
              <w:wordWrap/>
              <w:topLinePunct w:val="0"/>
              <w:bidi w:val="0"/>
              <w:spacing w:beforeAutospacing="0" w:afterAutospacing="0" w:line="360" w:lineRule="auto"/>
              <w:ind w:left="0" w:leftChars="0" w:right="0" w:rightChars="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（2）取水工程选址合理性分析</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附近可供选择的水源除本项目区段的中河、泥溪沟地表水外，主要还包括地下水。根据《达州市水资源公报》（2020年）及《达州市人民政府办公室关于印发达州市实行最严格水资源管理制度考核办法的通知》（达市府办〔2014〕49号），2030年宣汉县地下水资源可利用潜力预估仅为0.13亿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，为保护地下水资源，减少地下水资源开发，本项目不适宜取用地下水资源。</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lang w:val="en-US" w:eastAsia="zh-CN"/>
              </w:rPr>
            </w:pPr>
            <w:r>
              <w:rPr>
                <w:rFonts w:hint="default" w:ascii="Times New Roman" w:hAnsi="Times New Roman" w:cs="Times New Roman"/>
                <w:color w:val="auto"/>
                <w:sz w:val="24"/>
                <w:szCs w:val="32"/>
                <w:highlight w:val="none"/>
                <w:lang w:val="en-US" w:eastAsia="zh-CN"/>
              </w:rPr>
              <w:t>根据现场调查，项目新华镇现有水厂位于新华镇大棺山上，供水范围主要为新华场镇、新华镇盐店村、花果村等2个村的居民。新华镇现有水厂取水水源为泥溪沟，取水口位于</w:t>
            </w:r>
            <w:r>
              <w:rPr>
                <w:rFonts w:hint="default" w:ascii="Times New Roman" w:hAnsi="Times New Roman" w:cs="Times New Roman"/>
                <w:color w:val="auto"/>
                <w:sz w:val="24"/>
                <w:szCs w:val="32"/>
                <w:highlight w:val="none"/>
                <w:vertAlign w:val="baseline"/>
                <w:lang w:val="en-US" w:eastAsia="zh-CN"/>
              </w:rPr>
              <w:t>新华镇泥溪村6组（溪沟）（东经107°59′49.441″，北纬31°46′34.982″）</w:t>
            </w:r>
            <w:r>
              <w:rPr>
                <w:rFonts w:hint="default" w:ascii="Times New Roman" w:hAnsi="Times New Roman" w:cs="Times New Roman"/>
                <w:color w:val="auto"/>
                <w:sz w:val="24"/>
                <w:szCs w:val="32"/>
                <w:highlight w:val="none"/>
                <w:lang w:val="en-US" w:eastAsia="zh-CN"/>
              </w:rPr>
              <w:t>，</w:t>
            </w:r>
            <w:r>
              <w:rPr>
                <w:rFonts w:hint="default" w:ascii="Times New Roman" w:hAnsi="Times New Roman" w:cs="Times New Roman"/>
                <w:b w:val="0"/>
                <w:bCs w:val="0"/>
                <w:color w:val="auto"/>
                <w:sz w:val="24"/>
                <w:szCs w:val="32"/>
                <w:highlight w:val="none"/>
                <w:vertAlign w:val="baseline"/>
                <w:lang w:val="en-US" w:eastAsia="zh-CN"/>
              </w:rPr>
              <w:t>根据达州市人民政府《关于划定万源市、宣汉县和大竹县乡镇及以下集中式饮用水水源地保护区的批复》（达市府函〔2020〕124号）可知，泥溪沟已划分</w:t>
            </w:r>
            <w:r>
              <w:rPr>
                <w:rFonts w:hint="default" w:ascii="Times New Roman" w:hAnsi="Times New Roman" w:cs="Times New Roman"/>
                <w:color w:val="auto"/>
                <w:sz w:val="24"/>
                <w:szCs w:val="32"/>
                <w:highlight w:val="none"/>
                <w:vertAlign w:val="baseline"/>
                <w:lang w:val="en-US" w:eastAsia="zh-CN"/>
              </w:rPr>
              <w:t>保护区范围——</w:t>
            </w:r>
            <w:r>
              <w:rPr>
                <w:rFonts w:hint="default" w:ascii="Times New Roman" w:hAnsi="Times New Roman" w:cs="Times New Roman"/>
                <w:color w:val="auto"/>
                <w:sz w:val="24"/>
                <w:szCs w:val="32"/>
                <w:highlight w:val="none"/>
                <w:lang w:val="en-US" w:eastAsia="zh-CN"/>
              </w:rPr>
              <w:t>宣汉县新华镇泥溪沟麻柳树村集中式饮用水水源地。</w:t>
            </w:r>
            <w:r>
              <w:rPr>
                <w:rFonts w:hint="default" w:ascii="Times New Roman" w:hAnsi="Times New Roman" w:cs="Times New Roman"/>
                <w:color w:val="auto"/>
                <w:sz w:val="24"/>
                <w:szCs w:val="32"/>
                <w:highlight w:val="none"/>
                <w:vertAlign w:val="baseline"/>
                <w:lang w:val="en-US" w:eastAsia="zh-CN"/>
              </w:rPr>
              <w:t>根据现场调查，泥溪沟取水口现设置有拦水坝，泥溪沟取水可直接从现状拦水坝取水管接口通过重力流输送原水，</w:t>
            </w:r>
            <w:r>
              <w:rPr>
                <w:rFonts w:hint="default" w:ascii="Times New Roman" w:hAnsi="Times New Roman" w:cs="Times New Roman"/>
                <w:color w:val="auto"/>
                <w:sz w:val="24"/>
                <w:szCs w:val="32"/>
                <w:highlight w:val="none"/>
                <w:lang w:val="en-US" w:eastAsia="zh-CN"/>
              </w:rPr>
              <w:t>其取水规模为220m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lang w:val="en-US" w:eastAsia="zh-CN"/>
              </w:rPr>
              <w:t>/d，不能满足新华供水工程7000m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lang w:val="en-US" w:eastAsia="zh-CN"/>
              </w:rPr>
              <w:t>/d的需求。</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综上所述，本项目已无合适的其他地表水、地下水水源，本项目水源方案合理，因此本项目最优化的取水水源为本项目取水口所在的中河干流直接取水。泥溪沟可作为补充水源。</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取水工程主体结构由取水头部和取水泵房两部分组成。本项目中河取水点位于新华场镇东北侧上游中河右岸，水源为中河地表水。新建的取水泵房为直吸式河床干式取水泵房，以百年一遇洪水淹没标高考虑，通过吸水管将原水吸入泵房中，水泵引水方式采用自灌式。取水泵站取水后按设计管线布置，管道沿线公路直接提升至新华水厂。同时，项目供水作为饮用水，根据本次现状监测，取水口处水质能达到《地表水环境质量标准》（GB3838-2002）中的Ⅲ类水质标准，满足作为饮用水的取水要求。</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项目取水泵房位于新华水厂东侧，直线距离约1.53km，距离较近，且附近有乡村道路相通，交通方便，便于运行管理。</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取水泵房东北侧82~157m处有约8户农户（约25人），250~410m处有约11户农户（约40人），344~384m处有约2户农户（约6人）；东南侧450~470m处约有2户农户（约5人）；西南侧414~500m处约有7户农户（约25人）；西侧427~500m处约有3户农户（约10人）；西北侧142~205m处约有8户农户（约30人），260~303m处有2户农户（约5人）。</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val="en-US" w:eastAsia="zh-CN"/>
              </w:rPr>
              <w:t>根据外环境关系可知，</w:t>
            </w:r>
            <w:r>
              <w:rPr>
                <w:rFonts w:hint="default" w:ascii="Times New Roman" w:hAnsi="Times New Roman" w:cs="Times New Roman"/>
                <w:b w:val="0"/>
                <w:bCs w:val="0"/>
                <w:color w:val="auto"/>
                <w:sz w:val="24"/>
                <w:szCs w:val="24"/>
                <w:highlight w:val="none"/>
                <w:lang w:eastAsia="zh-CN"/>
              </w:rPr>
              <w:t>该选址地形开阔、岸坡适宜、水文地质条件简单、水源可靠、水质良好、取水方便有利于工程布置；</w:t>
            </w:r>
            <w:r>
              <w:rPr>
                <w:rFonts w:hint="default" w:ascii="Times New Roman" w:hAnsi="Times New Roman" w:cs="Times New Roman"/>
                <w:b w:val="0"/>
                <w:bCs w:val="0"/>
                <w:color w:val="auto"/>
                <w:sz w:val="24"/>
                <w:szCs w:val="24"/>
                <w:highlight w:val="none"/>
                <w:lang w:val="en-US" w:eastAsia="zh-CN"/>
              </w:rPr>
              <w:t>取水</w:t>
            </w:r>
            <w:r>
              <w:rPr>
                <w:rFonts w:hint="default" w:ascii="Times New Roman" w:hAnsi="Times New Roman" w:cs="Times New Roman"/>
                <w:b w:val="0"/>
                <w:bCs w:val="0"/>
                <w:color w:val="auto"/>
                <w:sz w:val="24"/>
                <w:szCs w:val="24"/>
                <w:highlight w:val="none"/>
                <w:lang w:eastAsia="zh-CN"/>
              </w:rPr>
              <w:t>泵站运行过程中产生噪声，噪声经采取措施后对周边环境影响较小。因此泵站选址合理可行。</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w:t>
            </w: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w:t>
            </w:r>
            <w:r>
              <w:rPr>
                <w:rFonts w:hint="default" w:ascii="Times New Roman" w:hAnsi="Times New Roman" w:cs="Times New Roman"/>
                <w:b/>
                <w:bCs/>
                <w:color w:val="auto"/>
                <w:sz w:val="24"/>
                <w:szCs w:val="24"/>
                <w:highlight w:val="none"/>
                <w:lang w:eastAsia="zh-CN"/>
              </w:rPr>
              <w:t>水厂</w:t>
            </w:r>
            <w:r>
              <w:rPr>
                <w:rFonts w:hint="default" w:ascii="Times New Roman" w:hAnsi="Times New Roman" w:cs="Times New Roman"/>
                <w:b/>
                <w:bCs/>
                <w:color w:val="auto"/>
                <w:sz w:val="24"/>
                <w:szCs w:val="24"/>
                <w:highlight w:val="none"/>
                <w:lang w:val="en-US" w:eastAsia="zh-CN"/>
              </w:rPr>
              <w:t>选址合理性分析</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水厂</w:t>
            </w:r>
            <w:r>
              <w:rPr>
                <w:rFonts w:hint="default" w:ascii="Times New Roman" w:hAnsi="Times New Roman" w:cs="Times New Roman"/>
                <w:color w:val="auto"/>
                <w:sz w:val="24"/>
                <w:szCs w:val="24"/>
                <w:highlight w:val="none"/>
              </w:rPr>
              <w:t>位于</w:t>
            </w:r>
            <w:r>
              <w:rPr>
                <w:rFonts w:hint="default" w:ascii="Times New Roman" w:hAnsi="Times New Roman" w:cs="Times New Roman"/>
                <w:color w:val="auto"/>
                <w:sz w:val="24"/>
                <w:szCs w:val="24"/>
                <w:highlight w:val="none"/>
                <w:lang w:val="en-US" w:eastAsia="zh-CN"/>
              </w:rPr>
              <w:t>宣汉县新华镇盐店村</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水厂距离新华镇约430m，位于取水口西侧1.53km，占地面积约</w:t>
            </w:r>
            <w:r>
              <w:rPr>
                <w:rFonts w:hint="default" w:ascii="Times New Roman" w:hAnsi="Times New Roman" w:eastAsia="宋体" w:cs="Times New Roman"/>
                <w:color w:val="auto"/>
                <w:kern w:val="2"/>
                <w:sz w:val="24"/>
                <w:szCs w:val="24"/>
                <w:highlight w:val="none"/>
                <w:lang w:val="en-US" w:eastAsia="zh-CN" w:bidi="ar-SA"/>
              </w:rPr>
              <w:t>5100m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。根据现场踏勘，项目西北侧282</w:t>
            </w:r>
            <w:r>
              <w:rPr>
                <w:rFonts w:hint="default" w:ascii="Times New Roman" w:hAnsi="Times New Roman" w:cs="Times New Roman"/>
                <w:color w:val="auto"/>
                <w:sz w:val="24"/>
                <w:szCs w:val="24"/>
                <w:highlight w:val="none"/>
                <w:lang w:val="en-US" w:eastAsia="zh-CN"/>
              </w:rPr>
              <w:t>~500m处约有13户农户（约45人）；东北侧448m处约有1户农户（约3人）约497m处约有1户农户（约3人），303~500m处约有25户农户（约80人）；东南侧274~297m处约有11户农户（约35人），305m处约有1户农户（约4人）；西南侧422~500m处约有5户农户（约20人）。</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highlight w:val="none"/>
              </w:rPr>
              <w:t>由以上描述可知，本项目厂界50m范围内</w:t>
            </w:r>
            <w:r>
              <w:rPr>
                <w:rFonts w:hint="eastAsia" w:ascii="Times New Roman" w:hAnsi="Times New Roman" w:cs="Times New Roman"/>
                <w:color w:val="auto"/>
                <w:sz w:val="24"/>
                <w:highlight w:val="none"/>
                <w:lang w:val="en-US" w:eastAsia="zh-CN"/>
              </w:rPr>
              <w:t>无</w:t>
            </w:r>
            <w:r>
              <w:rPr>
                <w:rFonts w:hint="default" w:ascii="Times New Roman" w:hAnsi="Times New Roman" w:cs="Times New Roman"/>
                <w:color w:val="auto"/>
                <w:sz w:val="24"/>
                <w:highlight w:val="none"/>
                <w:lang w:val="en-US" w:eastAsia="zh-CN"/>
              </w:rPr>
              <w:t>声环境敏感点，项目周边</w:t>
            </w:r>
            <w:r>
              <w:rPr>
                <w:rFonts w:hint="default" w:ascii="Times New Roman" w:hAnsi="Times New Roman" w:cs="Times New Roman"/>
                <w:color w:val="auto"/>
                <w:sz w:val="24"/>
                <w:szCs w:val="24"/>
                <w:highlight w:val="none"/>
              </w:rPr>
              <w:t>无自然保护区、</w:t>
            </w:r>
            <w:r>
              <w:rPr>
                <w:rFonts w:hint="default" w:ascii="Times New Roman" w:hAnsi="Times New Roman" w:cs="Times New Roman"/>
                <w:color w:val="auto"/>
                <w:sz w:val="24"/>
                <w:szCs w:val="24"/>
                <w:highlight w:val="none"/>
                <w:lang w:eastAsia="zh-CN"/>
              </w:rPr>
              <w:t>风景名胜区、饮用水源保护区等环境敏感区，亦无文物古迹等敏感点。本项目营运期产生的污染物主要为</w:t>
            </w:r>
            <w:r>
              <w:rPr>
                <w:rFonts w:hint="default" w:ascii="Times New Roman" w:hAnsi="Times New Roman" w:cs="Times New Roman"/>
                <w:color w:val="auto"/>
                <w:sz w:val="24"/>
                <w:szCs w:val="24"/>
                <w:highlight w:val="none"/>
                <w:lang w:val="en-US" w:eastAsia="zh-CN"/>
              </w:rPr>
              <w:t>油烟</w:t>
            </w:r>
            <w:r>
              <w:rPr>
                <w:rFonts w:hint="default" w:ascii="Times New Roman" w:hAnsi="Times New Roman" w:cs="Times New Roman"/>
                <w:color w:val="auto"/>
                <w:sz w:val="24"/>
                <w:szCs w:val="24"/>
                <w:highlight w:val="none"/>
                <w:lang w:eastAsia="zh-CN"/>
              </w:rPr>
              <w:t>、废水和噪声。项目</w:t>
            </w:r>
            <w:r>
              <w:rPr>
                <w:rFonts w:hint="default" w:ascii="Times New Roman" w:hAnsi="Times New Roman" w:cs="Times New Roman"/>
                <w:color w:val="auto"/>
                <w:sz w:val="24"/>
                <w:szCs w:val="24"/>
                <w:highlight w:val="none"/>
                <w:lang w:val="en-US" w:eastAsia="zh-CN"/>
              </w:rPr>
              <w:t>油烟经油烟净化器处理后楼顶排放</w:t>
            </w:r>
            <w:r>
              <w:rPr>
                <w:rFonts w:hint="default" w:ascii="Times New Roman" w:hAnsi="Times New Roman" w:cs="Times New Roman"/>
                <w:color w:val="auto"/>
                <w:sz w:val="24"/>
                <w:szCs w:val="24"/>
                <w:highlight w:val="none"/>
                <w:lang w:eastAsia="zh-CN"/>
              </w:rPr>
              <w:t>。项目</w:t>
            </w:r>
            <w:r>
              <w:rPr>
                <w:rFonts w:hint="default" w:ascii="Times New Roman" w:hAnsi="Times New Roman" w:cs="Times New Roman"/>
                <w:color w:val="auto"/>
                <w:sz w:val="24"/>
                <w:szCs w:val="24"/>
                <w:highlight w:val="none"/>
                <w:lang w:val="en-US" w:eastAsia="zh-CN"/>
              </w:rPr>
              <w:t>生活污水（食堂废水先经隔油池处理）经化粪池处理后用于农肥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项目排泥水和反冲洗废水经泥水混合池收集后，经泵提升至浓缩池进行浓缩，其上清液回用至预沉池，底部泥水进入脱水间脱水，其脱水滤液回到泥水混合池，生产废水循环使用，不外排。</w:t>
            </w:r>
            <w:r>
              <w:rPr>
                <w:rFonts w:hint="default" w:ascii="Times New Roman" w:hAnsi="Times New Roman" w:cs="Times New Roman"/>
                <w:color w:val="auto"/>
                <w:sz w:val="24"/>
                <w:szCs w:val="24"/>
                <w:highlight w:val="none"/>
                <w:lang w:eastAsia="zh-CN"/>
              </w:rPr>
              <w:t>噪声采用低噪声设备、</w:t>
            </w:r>
            <w:r>
              <w:rPr>
                <w:rFonts w:hint="default" w:ascii="Times New Roman" w:hAnsi="Times New Roman" w:cs="Times New Roman"/>
                <w:color w:val="auto"/>
                <w:sz w:val="24"/>
                <w:szCs w:val="24"/>
                <w:highlight w:val="none"/>
                <w:lang w:val="en-US" w:eastAsia="zh-CN"/>
              </w:rPr>
              <w:t>绿化</w:t>
            </w:r>
            <w:r>
              <w:rPr>
                <w:rFonts w:hint="default" w:ascii="Times New Roman" w:hAnsi="Times New Roman" w:cs="Times New Roman"/>
                <w:color w:val="auto"/>
                <w:sz w:val="24"/>
                <w:szCs w:val="24"/>
                <w:highlight w:val="none"/>
                <w:lang w:eastAsia="zh-CN"/>
              </w:rPr>
              <w:t>等降噪措施，可确保噪声达标排放，不会对周围居民造成影响。</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综上所述，本项目与周边环境较相容，不在国家限制、禁止用地项目的范围内，项目选址合理。</w:t>
            </w: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p>
          <w:p>
            <w:pPr>
              <w:keepNext w:val="0"/>
              <w:keepLines w:val="0"/>
              <w:pageBreakBefore w:val="0"/>
              <w:widowControl w:val="0"/>
              <w:kinsoku/>
              <w:wordWrap/>
              <w:overflowPunct/>
              <w:topLinePunct w:val="0"/>
              <w:autoSpaceDE/>
              <w:autoSpaceDN/>
              <w:bidi w:val="0"/>
              <w:snapToGrid/>
              <w:spacing w:line="360" w:lineRule="auto"/>
              <w:rPr>
                <w:rFonts w:hint="default" w:ascii="Times New Roman" w:hAnsi="Times New Roman" w:cs="Times New Roman"/>
                <w:color w:val="auto"/>
                <w:sz w:val="24"/>
                <w:szCs w:val="32"/>
                <w:highlight w:val="none"/>
                <w:vertAlign w:val="baseline"/>
                <w:lang w:val="en-US" w:eastAsia="zh-CN"/>
              </w:rPr>
            </w:pPr>
          </w:p>
        </w:tc>
      </w:tr>
    </w:tbl>
    <w:p>
      <w:pPr>
        <w:keepNext w:val="0"/>
        <w:keepLines w:val="0"/>
        <w:pageBreakBefore w:val="0"/>
        <w:kinsoku/>
        <w:wordWrap/>
        <w:topLinePunct w:val="0"/>
        <w:bidi w:val="0"/>
        <w:ind w:left="0" w:leftChars="0"/>
        <w:rPr>
          <w:rFonts w:hint="default" w:ascii="Times New Roman" w:hAnsi="Times New Roman" w:eastAsia="黑体" w:cs="Times New Roman"/>
          <w:b w:val="0"/>
          <w:color w:val="auto"/>
          <w:sz w:val="30"/>
          <w:szCs w:val="30"/>
          <w:highlight w:val="none"/>
        </w:rPr>
      </w:pPr>
      <w:bookmarkStart w:id="0" w:name="_Toc97040274"/>
      <w:r>
        <w:rPr>
          <w:rFonts w:hint="default" w:ascii="Times New Roman" w:hAnsi="Times New Roman" w:eastAsia="黑体" w:cs="Times New Roman"/>
          <w:b w:val="0"/>
          <w:color w:val="auto"/>
          <w:sz w:val="30"/>
          <w:szCs w:val="30"/>
          <w:highlight w:val="none"/>
        </w:rPr>
        <w:br w:type="page"/>
      </w:r>
    </w:p>
    <w:p>
      <w:pPr>
        <w:pStyle w:val="25"/>
        <w:keepNext w:val="0"/>
        <w:keepLines w:val="0"/>
        <w:pageBreakBefore w:val="0"/>
        <w:kinsoku/>
        <w:wordWrap/>
        <w:topLinePunct w:val="0"/>
        <w:bidi w:val="0"/>
        <w:ind w:left="0" w:leftChars="0"/>
        <w:jc w:val="center"/>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b w:val="0"/>
          <w:color w:val="auto"/>
          <w:sz w:val="30"/>
          <w:szCs w:val="30"/>
          <w:highlight w:val="none"/>
        </w:rPr>
        <w:t>二、建设项目工程分析</w:t>
      </w:r>
      <w:bookmarkEnd w:id="0"/>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8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0" w:hRule="atLeast"/>
        </w:trPr>
        <w:tc>
          <w:tcPr>
            <w:tcW w:w="24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建设内容</w:t>
            </w:r>
          </w:p>
        </w:tc>
        <w:tc>
          <w:tcPr>
            <w:tcW w:w="4759" w:type="pct"/>
            <w:vAlign w:val="center"/>
          </w:tcPr>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1、项目由来</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宣汉县辖37个乡镇（街道），2020年户籍总人口127.2万人，目前县城有2座水厂，供水总规模6.0万m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/d；村镇上规模的集中供水工程约60余处，供水总规模约5.5万m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十三五”期间，通过实施农村饮水安全巩固提升工程，解决了部分农村人口饮水安全问题，但是由于各种自然环境改变等因素，新的农村饮水不安全问题不断出现。2020年，宣汉县开展了“十四五”农村供水保障规划，县水务局工作小组深入各乡镇，逐乡、逐村、逐社开展调查摸底，在摸清农村饮水工程现状的基础上，按照中央要求，顺应广大农民需求，亟需实施农村饮水巩固提升，使广大农村居民喝上更加方便、更加稳定、更加安全的饮用水，提出了“十四五”农村供水保障规划。在此基础上，为落实《四川省2022年水利乡村振兴工作要点》，推进建设乡村水务一体化，全力提升农村自来水普及率，将有利于提高城乡供水质量，改善城乡生产、生活条件，改善环境卫生面貌，使城乡因水源水质等严重影响当地居民生命和身体健康的问题得到解决，降低疾病发病率，有效控制流行疾病的传染源，增强国民身体素质，从而为当地居民节约了医药费，节省了劳动力，专一发展城乡经济，使当地居民收入增加，为促进城乡经济的快速发展奠定良好基础，为全面建设小康社会铺平道路，社会效益十分显著。因此，宣汉县乡村水务试点县供水保障工程的建设迫在眉睫。</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lang w:val="en-US" w:eastAsia="zh-CN"/>
              </w:rPr>
              <w:t>为此，</w:t>
            </w:r>
            <w:r>
              <w:rPr>
                <w:rFonts w:hint="default" w:ascii="Times New Roman" w:hAnsi="Times New Roman" w:cs="Times New Roman"/>
                <w:color w:val="auto"/>
                <w:sz w:val="24"/>
                <w:szCs w:val="32"/>
                <w:highlight w:val="none"/>
                <w:vertAlign w:val="baseline"/>
                <w:lang w:val="en-US" w:eastAsia="zh-CN"/>
              </w:rPr>
              <w:t>四川汉润水务集团有限公司拟投资8515万元在四川省达州市宣汉县</w:t>
            </w:r>
            <w:r>
              <w:rPr>
                <w:rFonts w:hint="default" w:ascii="Times New Roman" w:hAnsi="Times New Roman" w:eastAsia="宋体" w:cs="Times New Roman"/>
                <w:color w:val="auto"/>
                <w:sz w:val="24"/>
                <w:szCs w:val="32"/>
                <w:highlight w:val="none"/>
                <w:vertAlign w:val="baseline"/>
                <w:lang w:val="en-US" w:eastAsia="zh-CN"/>
              </w:rPr>
              <w:t>新华镇建设</w:t>
            </w:r>
            <w:r>
              <w:rPr>
                <w:rFonts w:hint="default" w:ascii="Times New Roman" w:hAnsi="Times New Roman" w:eastAsia="宋体" w:cs="Times New Roman"/>
                <w:color w:val="auto"/>
                <w:sz w:val="24"/>
                <w:szCs w:val="32"/>
                <w:highlight w:val="none"/>
                <w:vertAlign w:val="baseline"/>
                <w:lang w:eastAsia="zh-CN"/>
              </w:rPr>
              <w:t>宣汉县乡村水务试点县供水保障工程（新华供水工程），</w:t>
            </w:r>
            <w:r>
              <w:rPr>
                <w:rFonts w:hint="default" w:ascii="Times New Roman" w:hAnsi="Times New Roman" w:eastAsia="宋体" w:cs="Times New Roman"/>
                <w:color w:val="auto"/>
                <w:sz w:val="24"/>
                <w:szCs w:val="32"/>
                <w:highlight w:val="none"/>
                <w:vertAlign w:val="baseline"/>
                <w:lang w:val="en-US" w:eastAsia="zh-CN"/>
              </w:rPr>
              <w:t>本项目属于《</w:t>
            </w:r>
            <w:r>
              <w:rPr>
                <w:rFonts w:hint="default" w:ascii="Times New Roman" w:hAnsi="Times New Roman" w:cs="Times New Roman"/>
                <w:color w:val="auto"/>
                <w:sz w:val="24"/>
                <w:szCs w:val="32"/>
                <w:highlight w:val="none"/>
                <w:lang w:val="en-US" w:eastAsia="zh-CN"/>
              </w:rPr>
              <w:t>宣汉县乡村水务试点县供水保障工程</w:t>
            </w:r>
            <w:r>
              <w:rPr>
                <w:rFonts w:hint="default" w:ascii="Times New Roman" w:hAnsi="Times New Roman" w:eastAsia="宋体" w:cs="Times New Roman"/>
                <w:color w:val="auto"/>
                <w:sz w:val="24"/>
                <w:szCs w:val="32"/>
                <w:highlight w:val="none"/>
                <w:vertAlign w:val="baseline"/>
                <w:lang w:val="en-US" w:eastAsia="zh-CN"/>
              </w:rPr>
              <w:t>》</w:t>
            </w:r>
            <w:r>
              <w:rPr>
                <w:rFonts w:hint="default" w:ascii="Times New Roman" w:hAnsi="Times New Roman" w:cs="Times New Roman"/>
                <w:color w:val="auto"/>
                <w:sz w:val="24"/>
                <w:szCs w:val="32"/>
                <w:highlight w:val="none"/>
                <w:lang w:val="en-US" w:eastAsia="zh-CN"/>
              </w:rPr>
              <w:t>中的一个子项目</w:t>
            </w:r>
            <w:r>
              <w:rPr>
                <w:rFonts w:hint="default" w:ascii="Times New Roman" w:hAnsi="Times New Roman" w:cs="Times New Roman"/>
                <w:color w:val="auto"/>
                <w:sz w:val="24"/>
                <w:szCs w:val="32"/>
                <w:highlight w:val="none"/>
                <w:vertAlign w:val="baseline"/>
                <w:lang w:val="en-US" w:eastAsia="zh-CN"/>
              </w:rPr>
              <w:t>。项目建设后与厂溪水厂联合供水给石铁乡、新华镇、厂溪镇、黄金镇四个乡镇，将极大地改善宣汉县的净水及供水设施现状，可保证农村居民生活用水需求，改善宣汉县综合水环境生态，为宣汉县的经济发展，社会稳定，人民安居乐业提供有力的保障。</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根据《中华人民共和国环境保护法》《中华人民共和国环境影响评价法》及国务院第682号令《建设项目环境保护管理条例》中的有关规定，需对建设项目进行环境影响评价；根据《建设项目环境影响评价分类管理名录（2021版）》，项目类别属于“四十三、水的生产和供应业94自来水生产和供应”，需编制环境影响报告表。</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2、项目概况</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项目名称：</w:t>
            </w:r>
            <w:r>
              <w:rPr>
                <w:rFonts w:hint="default" w:ascii="Times New Roman" w:hAnsi="Times New Roman" w:eastAsia="宋体" w:cs="Times New Roman"/>
                <w:color w:val="auto"/>
                <w:sz w:val="24"/>
                <w:szCs w:val="32"/>
                <w:highlight w:val="none"/>
                <w:vertAlign w:val="baseline"/>
                <w:lang w:eastAsia="zh-CN"/>
              </w:rPr>
              <w:t>宣汉县乡村水务试点县供水保障工程（新华供水工程）</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建设单位：</w:t>
            </w:r>
            <w:r>
              <w:rPr>
                <w:rFonts w:hint="default" w:ascii="Times New Roman" w:hAnsi="Times New Roman" w:cs="Times New Roman"/>
                <w:color w:val="auto"/>
                <w:sz w:val="24"/>
                <w:szCs w:val="32"/>
                <w:highlight w:val="none"/>
                <w:vertAlign w:val="baseline"/>
                <w:lang w:val="en-US" w:eastAsia="zh-CN"/>
              </w:rPr>
              <w:t>四川汉润水务集团有限公司</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建设地点：</w:t>
            </w:r>
            <w:r>
              <w:rPr>
                <w:rFonts w:hint="default" w:ascii="Times New Roman" w:hAnsi="Times New Roman" w:cs="Times New Roman"/>
                <w:color w:val="auto"/>
                <w:sz w:val="24"/>
                <w:szCs w:val="32"/>
                <w:highlight w:val="none"/>
                <w:vertAlign w:val="baseline"/>
                <w:lang w:val="en-US" w:eastAsia="zh-CN"/>
              </w:rPr>
              <w:t>四川省达州市宣汉县</w:t>
            </w:r>
            <w:r>
              <w:rPr>
                <w:rFonts w:hint="default" w:ascii="Times New Roman" w:hAnsi="Times New Roman" w:eastAsia="宋体" w:cs="Times New Roman"/>
                <w:color w:val="auto"/>
                <w:sz w:val="24"/>
                <w:szCs w:val="32"/>
                <w:highlight w:val="none"/>
                <w:vertAlign w:val="baseline"/>
                <w:lang w:val="en-US" w:eastAsia="zh-CN"/>
              </w:rPr>
              <w:t>新华镇</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建设性质：</w:t>
            </w:r>
            <w:r>
              <w:rPr>
                <w:rFonts w:hint="default" w:ascii="Times New Roman" w:hAnsi="Times New Roman" w:cs="Times New Roman"/>
                <w:color w:val="auto"/>
                <w:sz w:val="24"/>
                <w:szCs w:val="32"/>
                <w:highlight w:val="none"/>
                <w:vertAlign w:val="baseline"/>
                <w:lang w:val="en-US" w:eastAsia="zh-CN"/>
              </w:rPr>
              <w:t>新建</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项目投资：</w:t>
            </w:r>
            <w:r>
              <w:rPr>
                <w:rFonts w:hint="default" w:ascii="Times New Roman" w:hAnsi="Times New Roman" w:cs="Times New Roman"/>
                <w:color w:val="auto"/>
                <w:sz w:val="24"/>
                <w:szCs w:val="32"/>
                <w:highlight w:val="none"/>
                <w:vertAlign w:val="baseline"/>
                <w:lang w:val="en-US" w:eastAsia="zh-CN"/>
              </w:rPr>
              <w:t>总投资8515万元</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服务范围：</w:t>
            </w:r>
            <w:r>
              <w:rPr>
                <w:rFonts w:hint="default" w:ascii="Times New Roman" w:hAnsi="Times New Roman" w:cs="Times New Roman"/>
                <w:color w:val="auto"/>
                <w:sz w:val="24"/>
                <w:szCs w:val="32"/>
                <w:highlight w:val="none"/>
                <w:vertAlign w:val="baseline"/>
                <w:lang w:val="en-US" w:eastAsia="zh-CN"/>
              </w:rPr>
              <w:t>项目新华供水厂与厂溪水厂联合供水给石铁乡、新华镇、厂溪镇、黄金镇四个乡镇，服务人口约9.61万人</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供水水源：</w:t>
            </w:r>
            <w:r>
              <w:rPr>
                <w:rFonts w:hint="default" w:ascii="Times New Roman" w:hAnsi="Times New Roman" w:cs="Times New Roman"/>
                <w:color w:val="auto"/>
                <w:sz w:val="24"/>
                <w:szCs w:val="32"/>
                <w:highlight w:val="none"/>
                <w:vertAlign w:val="baseline"/>
                <w:lang w:val="en-US" w:eastAsia="zh-CN"/>
              </w:rPr>
              <w:t>中河</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供水用途：</w:t>
            </w:r>
            <w:r>
              <w:rPr>
                <w:rFonts w:hint="default" w:ascii="Times New Roman" w:hAnsi="Times New Roman" w:cs="Times New Roman"/>
                <w:color w:val="auto"/>
                <w:sz w:val="24"/>
                <w:szCs w:val="32"/>
                <w:highlight w:val="none"/>
                <w:vertAlign w:val="baseline"/>
                <w:lang w:val="en-US" w:eastAsia="zh-CN"/>
              </w:rPr>
              <w:t>饮用水</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净水工艺：</w:t>
            </w:r>
            <w:r>
              <w:rPr>
                <w:rFonts w:hint="default" w:ascii="Times New Roman" w:hAnsi="Times New Roman" w:cs="Times New Roman"/>
                <w:color w:val="auto"/>
                <w:sz w:val="24"/>
                <w:szCs w:val="32"/>
                <w:highlight w:val="none"/>
                <w:vertAlign w:val="baseline"/>
                <w:lang w:val="en-US" w:eastAsia="zh-CN"/>
              </w:rPr>
              <w:t>采用“原水→预沉→一体化处理设备（絮凝沉淀+V型滤池）→二氧化氯消毒→清水池→配套管网”</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建设内容：</w:t>
            </w:r>
            <w:r>
              <w:rPr>
                <w:rFonts w:hint="eastAsia" w:ascii="Times New Roman" w:hAnsi="Times New Roman" w:cs="Times New Roman"/>
                <w:b w:val="0"/>
                <w:bCs w:val="0"/>
                <w:color w:val="auto"/>
                <w:sz w:val="24"/>
                <w:szCs w:val="32"/>
                <w:highlight w:val="none"/>
                <w:vertAlign w:val="baseline"/>
                <w:lang w:val="en-US" w:eastAsia="zh-CN"/>
              </w:rPr>
              <w:t>①</w:t>
            </w:r>
            <w:r>
              <w:rPr>
                <w:rFonts w:hint="default" w:ascii="Times New Roman" w:hAnsi="Times New Roman" w:cs="Times New Roman"/>
                <w:color w:val="auto"/>
                <w:sz w:val="24"/>
                <w:szCs w:val="32"/>
                <w:highlight w:val="none"/>
                <w:vertAlign w:val="baseline"/>
                <w:lang w:val="en-US" w:eastAsia="zh-CN"/>
              </w:rPr>
              <w:t>新建一座</w:t>
            </w:r>
            <w:r>
              <w:rPr>
                <w:rFonts w:hint="eastAsia" w:ascii="Times New Roman" w:hAnsi="Times New Roman" w:cs="Times New Roman"/>
                <w:color w:val="auto"/>
                <w:sz w:val="24"/>
                <w:szCs w:val="32"/>
                <w:highlight w:val="none"/>
                <w:vertAlign w:val="baseline"/>
                <w:lang w:val="en-US" w:eastAsia="zh-CN"/>
              </w:rPr>
              <w:t>供水</w:t>
            </w:r>
            <w:r>
              <w:rPr>
                <w:rFonts w:hint="default" w:ascii="Times New Roman" w:hAnsi="Times New Roman" w:cs="Times New Roman"/>
                <w:color w:val="auto"/>
                <w:sz w:val="24"/>
                <w:szCs w:val="32"/>
                <w:highlight w:val="none"/>
                <w:vertAlign w:val="baseline"/>
                <w:lang w:val="en-US" w:eastAsia="zh-CN"/>
              </w:rPr>
              <w:t>规模</w:t>
            </w:r>
            <w:r>
              <w:rPr>
                <w:rFonts w:hint="eastAsia" w:ascii="Times New Roman" w:hAnsi="Times New Roman" w:cs="Times New Roman"/>
                <w:color w:val="auto"/>
                <w:sz w:val="24"/>
                <w:szCs w:val="32"/>
                <w:highlight w:val="none"/>
                <w:vertAlign w:val="baseline"/>
                <w:lang w:val="en-US" w:eastAsia="zh-CN"/>
              </w:rPr>
              <w:t>为</w:t>
            </w:r>
            <w:r>
              <w:rPr>
                <w:rFonts w:hint="default" w:ascii="Times New Roman" w:hAnsi="Times New Roman" w:cs="Times New Roman"/>
                <w:color w:val="auto"/>
                <w:sz w:val="24"/>
                <w:szCs w:val="32"/>
                <w:highlight w:val="none"/>
                <w:vertAlign w:val="baseline"/>
                <w:lang w:val="en-US" w:eastAsia="zh-CN"/>
              </w:rPr>
              <w:t>7000m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w:t>
            </w:r>
            <w:r>
              <w:rPr>
                <w:rFonts w:hint="eastAsia" w:ascii="Times New Roman" w:hAnsi="Times New Roman" w:cs="Times New Roman"/>
                <w:color w:val="auto"/>
                <w:sz w:val="24"/>
                <w:szCs w:val="32"/>
                <w:highlight w:val="none"/>
                <w:vertAlign w:val="baseline"/>
                <w:lang w:val="en-US" w:eastAsia="zh-CN"/>
              </w:rPr>
              <w:t>的</w:t>
            </w:r>
            <w:r>
              <w:rPr>
                <w:rFonts w:hint="default" w:ascii="Times New Roman" w:hAnsi="Times New Roman" w:cs="Times New Roman"/>
                <w:color w:val="auto"/>
                <w:sz w:val="24"/>
                <w:szCs w:val="32"/>
                <w:highlight w:val="none"/>
                <w:vertAlign w:val="baseline"/>
                <w:lang w:val="en-US" w:eastAsia="zh-CN"/>
              </w:rPr>
              <w:t>水厂，</w:t>
            </w:r>
            <w:r>
              <w:rPr>
                <w:rFonts w:hint="eastAsia" w:ascii="Times New Roman" w:hAnsi="Times New Roman" w:cs="Times New Roman"/>
                <w:color w:val="auto"/>
                <w:sz w:val="24"/>
                <w:szCs w:val="32"/>
                <w:highlight w:val="none"/>
                <w:vertAlign w:val="baseline"/>
                <w:lang w:val="en-US" w:eastAsia="zh-CN"/>
              </w:rPr>
              <w:t>取水水源为中河，采用“</w:t>
            </w:r>
            <w:r>
              <w:rPr>
                <w:rFonts w:hint="default" w:ascii="Times New Roman" w:hAnsi="Times New Roman" w:cs="Times New Roman"/>
                <w:color w:val="auto"/>
                <w:sz w:val="24"/>
                <w:szCs w:val="32"/>
                <w:highlight w:val="none"/>
                <w:vertAlign w:val="baseline"/>
                <w:lang w:val="en-US" w:eastAsia="zh-CN"/>
              </w:rPr>
              <w:t>絮凝沉淀+V型滤池</w:t>
            </w:r>
            <w:r>
              <w:rPr>
                <w:rFonts w:hint="eastAsia" w:ascii="Times New Roman" w:hAnsi="Times New Roman" w:cs="Times New Roman"/>
                <w:color w:val="auto"/>
                <w:sz w:val="24"/>
                <w:szCs w:val="32"/>
                <w:highlight w:val="none"/>
                <w:vertAlign w:val="baseline"/>
                <w:lang w:val="en-US" w:eastAsia="zh-CN"/>
              </w:rPr>
              <w:t>+</w:t>
            </w:r>
            <w:r>
              <w:rPr>
                <w:rFonts w:hint="default" w:ascii="Times New Roman" w:hAnsi="Times New Roman" w:cs="Times New Roman"/>
                <w:color w:val="auto"/>
                <w:sz w:val="24"/>
                <w:szCs w:val="32"/>
                <w:highlight w:val="none"/>
                <w:vertAlign w:val="baseline"/>
                <w:lang w:val="en-US" w:eastAsia="zh-CN"/>
              </w:rPr>
              <w:t>二氧化氯消毒</w:t>
            </w:r>
            <w:r>
              <w:rPr>
                <w:rFonts w:hint="eastAsia" w:ascii="Times New Roman" w:hAnsi="Times New Roman" w:cs="Times New Roman"/>
                <w:color w:val="auto"/>
                <w:sz w:val="24"/>
                <w:szCs w:val="32"/>
                <w:highlight w:val="none"/>
                <w:vertAlign w:val="baseline"/>
                <w:lang w:val="en-US" w:eastAsia="zh-CN"/>
              </w:rPr>
              <w:t>”处理工艺，</w:t>
            </w:r>
            <w:r>
              <w:rPr>
                <w:rFonts w:hint="default" w:ascii="Times New Roman" w:hAnsi="Times New Roman" w:cs="Times New Roman"/>
                <w:color w:val="auto"/>
                <w:sz w:val="24"/>
                <w:szCs w:val="32"/>
                <w:highlight w:val="none"/>
                <w:vertAlign w:val="baseline"/>
                <w:lang w:val="en-US" w:eastAsia="zh-CN"/>
              </w:rPr>
              <w:t>占地面积5100m</w:t>
            </w:r>
            <w:r>
              <w:rPr>
                <w:rFonts w:hint="default" w:ascii="Times New Roman" w:hAnsi="Times New Roman" w:cs="Times New Roman"/>
                <w:color w:val="auto"/>
                <w:sz w:val="24"/>
                <w:szCs w:val="32"/>
                <w:highlight w:val="none"/>
                <w:vertAlign w:val="superscript"/>
                <w:lang w:val="en-US" w:eastAsia="zh-CN"/>
              </w:rPr>
              <w:t>2</w:t>
            </w:r>
            <w:r>
              <w:rPr>
                <w:rFonts w:hint="default" w:ascii="Times New Roman" w:hAnsi="Times New Roman" w:cs="Times New Roman"/>
                <w:color w:val="auto"/>
                <w:sz w:val="24"/>
                <w:szCs w:val="32"/>
                <w:highlight w:val="none"/>
                <w:vertAlign w:val="baseline"/>
                <w:lang w:val="en-US" w:eastAsia="zh-CN"/>
              </w:rPr>
              <w:t>。</w:t>
            </w:r>
            <w:r>
              <w:rPr>
                <w:rFonts w:hint="eastAsia" w:ascii="Times New Roman" w:hAnsi="Times New Roman" w:cs="Times New Roman"/>
                <w:color w:val="auto"/>
                <w:sz w:val="24"/>
                <w:szCs w:val="32"/>
                <w:highlight w:val="none"/>
                <w:vertAlign w:val="baseline"/>
                <w:lang w:val="en-US" w:eastAsia="zh-CN"/>
              </w:rPr>
              <w:t>②</w:t>
            </w:r>
            <w:r>
              <w:rPr>
                <w:rFonts w:hint="default" w:ascii="Times New Roman" w:hAnsi="Times New Roman" w:cs="Times New Roman"/>
                <w:color w:val="auto"/>
                <w:sz w:val="24"/>
                <w:szCs w:val="32"/>
                <w:highlight w:val="none"/>
                <w:vertAlign w:val="baseline"/>
                <w:lang w:val="en-US" w:eastAsia="zh-CN"/>
              </w:rPr>
              <w:t>新建</w:t>
            </w:r>
            <w:r>
              <w:rPr>
                <w:rFonts w:hint="eastAsia" w:ascii="Times New Roman" w:hAnsi="Times New Roman" w:cs="Times New Roman"/>
                <w:color w:val="auto"/>
                <w:sz w:val="24"/>
                <w:szCs w:val="32"/>
                <w:highlight w:val="none"/>
                <w:vertAlign w:val="baseline"/>
                <w:lang w:val="en-US" w:eastAsia="zh-CN"/>
              </w:rPr>
              <w:t>取水泵房一座。③</w:t>
            </w:r>
            <w:r>
              <w:rPr>
                <w:rFonts w:hint="default" w:ascii="Times New Roman" w:hAnsi="Times New Roman" w:cs="Times New Roman"/>
                <w:color w:val="auto"/>
                <w:sz w:val="24"/>
                <w:szCs w:val="32"/>
                <w:highlight w:val="none"/>
                <w:vertAlign w:val="baseline"/>
                <w:lang w:val="en-US" w:eastAsia="zh-CN"/>
              </w:rPr>
              <w:t>新建</w:t>
            </w:r>
            <w:r>
              <w:rPr>
                <w:rFonts w:hint="eastAsia" w:ascii="Times New Roman" w:hAnsi="Times New Roman" w:cs="Times New Roman"/>
                <w:color w:val="auto"/>
                <w:sz w:val="24"/>
                <w:szCs w:val="32"/>
                <w:highlight w:val="none"/>
                <w:vertAlign w:val="baseline"/>
                <w:lang w:val="en-US" w:eastAsia="zh-CN"/>
              </w:rPr>
              <w:t>中河至供水厂</w:t>
            </w:r>
            <w:r>
              <w:rPr>
                <w:rFonts w:hint="default" w:ascii="Times New Roman" w:hAnsi="Times New Roman" w:cs="Times New Roman"/>
                <w:color w:val="auto"/>
                <w:sz w:val="24"/>
                <w:szCs w:val="32"/>
                <w:highlight w:val="none"/>
                <w:vertAlign w:val="baseline"/>
                <w:lang w:val="en-US" w:eastAsia="zh-CN"/>
              </w:rPr>
              <w:t>原水</w:t>
            </w:r>
            <w:r>
              <w:rPr>
                <w:rFonts w:hint="eastAsia" w:ascii="Times New Roman" w:hAnsi="Times New Roman" w:cs="Times New Roman"/>
                <w:color w:val="auto"/>
                <w:sz w:val="24"/>
                <w:szCs w:val="32"/>
                <w:highlight w:val="none"/>
                <w:vertAlign w:val="baseline"/>
                <w:lang w:val="en-US" w:eastAsia="zh-CN"/>
              </w:rPr>
              <w:t>输送</w:t>
            </w:r>
            <w:r>
              <w:rPr>
                <w:rFonts w:hint="default" w:ascii="Times New Roman" w:hAnsi="Times New Roman" w:cs="Times New Roman"/>
                <w:color w:val="auto"/>
                <w:sz w:val="24"/>
                <w:szCs w:val="32"/>
                <w:highlight w:val="none"/>
                <w:vertAlign w:val="baseline"/>
                <w:lang w:val="en-US" w:eastAsia="zh-CN"/>
              </w:rPr>
              <w:t>管道1935m</w:t>
            </w:r>
            <w:r>
              <w:rPr>
                <w:rFonts w:hint="eastAsia" w:ascii="Times New Roman" w:hAnsi="Times New Roman" w:cs="Times New Roman"/>
                <w:color w:val="auto"/>
                <w:sz w:val="24"/>
                <w:szCs w:val="32"/>
                <w:highlight w:val="none"/>
                <w:vertAlign w:val="baseline"/>
                <w:lang w:val="en-US" w:eastAsia="zh-CN"/>
              </w:rPr>
              <w:t>。④新建</w:t>
            </w:r>
            <w:r>
              <w:rPr>
                <w:rFonts w:hint="default" w:ascii="Times New Roman" w:hAnsi="Times New Roman" w:cs="Times New Roman"/>
                <w:color w:val="auto"/>
                <w:sz w:val="24"/>
                <w:szCs w:val="32"/>
                <w:highlight w:val="none"/>
                <w:vertAlign w:val="baseline"/>
                <w:lang w:val="en-US" w:eastAsia="zh-CN"/>
              </w:rPr>
              <w:t>配水管道94.148km。</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（1）项目取水方案</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本次在新建的中河取水口处设置1座取水泵房，取水泵房取水设计规模为7000m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/d，吸水管采用2根DN300管道伸出泵房至取水头部。水泵房至供水厂之间的原水输水管采用1根DN350钢管输水，管道长约1935m。</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（2）供水工程</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eastAsia="zh-CN"/>
              </w:rPr>
              <w:t>新华供水工程</w:t>
            </w:r>
            <w:r>
              <w:rPr>
                <w:rFonts w:hint="default" w:ascii="Times New Roman" w:hAnsi="Times New Roman" w:cs="Times New Roman"/>
                <w:color w:val="auto"/>
                <w:sz w:val="24"/>
                <w:szCs w:val="32"/>
                <w:highlight w:val="none"/>
                <w:vertAlign w:val="baseline"/>
                <w:lang w:val="en-US" w:eastAsia="zh-CN"/>
              </w:rPr>
              <w:t>供应范围包括石铁乡、新华镇、厂溪镇、黄金镇四个乡镇，总共供水人口约9.61万人，新华场镇用水取110L/人·d，农村取50L/人·d。项目</w:t>
            </w:r>
            <w:r>
              <w:rPr>
                <w:rFonts w:hint="default" w:ascii="Times New Roman" w:hAnsi="Times New Roman" w:eastAsia="宋体" w:cs="Times New Roman"/>
                <w:color w:val="auto"/>
                <w:sz w:val="24"/>
                <w:szCs w:val="32"/>
                <w:highlight w:val="none"/>
                <w:vertAlign w:val="baseline"/>
                <w:lang w:eastAsia="zh-CN"/>
              </w:rPr>
              <w:t>供</w:t>
            </w:r>
            <w:r>
              <w:rPr>
                <w:rFonts w:hint="default" w:ascii="Times New Roman" w:hAnsi="Times New Roman" w:cs="Times New Roman"/>
                <w:color w:val="auto"/>
                <w:sz w:val="24"/>
                <w:szCs w:val="32"/>
                <w:highlight w:val="none"/>
                <w:vertAlign w:val="baseline"/>
                <w:lang w:val="en-US" w:eastAsia="zh-CN"/>
              </w:rPr>
              <w:t>水厂配套建设各乡镇村落输配水主管网，管径DN100~DN450，管材DN＞300采用球磨铸铁管，DN≤300采用聚乙烯复合管，管道总长度约94.148km。</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（3）水量、水质和水压目标</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①水量目标</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color w:val="auto"/>
                <w:sz w:val="24"/>
                <w:szCs w:val="32"/>
                <w:highlight w:val="none"/>
                <w:vertAlign w:val="baseline"/>
                <w:lang w:val="en-US" w:eastAsia="zh-CN"/>
              </w:rPr>
              <w:t>根据《宣汉县乡村水务试点县供水保障工程工程可行性研究报告》（报批稿）可知，项目供水范围内供水规模预测量如下：</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szCs w:val="21"/>
                <w:highlight w:val="none"/>
              </w:rPr>
              <w:t>表2-</w:t>
            </w:r>
            <w:r>
              <w:rPr>
                <w:rFonts w:hint="eastAsia" w:ascii="Times New Roman" w:hAnsi="Times New Roman" w:eastAsia="黑体" w:cs="Times New Roman"/>
                <w:color w:val="auto"/>
                <w:szCs w:val="21"/>
                <w:highlight w:val="none"/>
                <w:lang w:val="en-US" w:eastAsia="zh-CN"/>
              </w:rPr>
              <w:t>1</w:t>
            </w:r>
            <w:r>
              <w:rPr>
                <w:rFonts w:hint="default" w:ascii="Times New Roman" w:hAnsi="Times New Roman" w:eastAsia="黑体" w:cs="Times New Roman"/>
                <w:color w:val="auto"/>
                <w:szCs w:val="21"/>
                <w:highlight w:val="none"/>
              </w:rPr>
              <w:t xml:space="preserve">  项目</w:t>
            </w:r>
            <w:r>
              <w:rPr>
                <w:rFonts w:hint="eastAsia" w:ascii="Times New Roman" w:hAnsi="Times New Roman" w:eastAsia="黑体" w:cs="Times New Roman"/>
                <w:color w:val="auto"/>
                <w:szCs w:val="21"/>
                <w:highlight w:val="none"/>
                <w:lang w:val="en-US" w:eastAsia="zh-CN"/>
              </w:rPr>
              <w:t>供水规模</w:t>
            </w:r>
          </w:p>
          <w:tbl>
            <w:tblPr>
              <w:tblStyle w:val="19"/>
              <w:tblW w:w="87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57" w:type="dxa"/>
                <w:bottom w:w="0" w:type="dxa"/>
                <w:right w:w="57" w:type="dxa"/>
              </w:tblCellMar>
            </w:tblPr>
            <w:tblGrid>
              <w:gridCol w:w="659"/>
              <w:gridCol w:w="550"/>
              <w:gridCol w:w="551"/>
              <w:gridCol w:w="551"/>
              <w:gridCol w:w="587"/>
              <w:gridCol w:w="587"/>
              <w:gridCol w:w="587"/>
              <w:gridCol w:w="666"/>
              <w:gridCol w:w="666"/>
              <w:gridCol w:w="666"/>
              <w:gridCol w:w="666"/>
              <w:gridCol w:w="666"/>
              <w:gridCol w:w="666"/>
              <w:gridCol w:w="6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118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供区乡镇</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设计场镇人口（人）</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设计农村人口（人）</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设计牲畜（头）</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场镇用水定额（L/人·天）</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农村用水定额（L/人·天）</w:t>
                  </w:r>
                </w:p>
              </w:tc>
              <w:tc>
                <w:tcPr>
                  <w:tcW w:w="3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牲畜用水定额（L/人·天）</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居民生活用水量（m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color w:val="auto"/>
                      <w:kern w:val="0"/>
                      <w:sz w:val="18"/>
                      <w:szCs w:val="18"/>
                      <w:highlight w:val="none"/>
                      <w:u w:val="none"/>
                      <w:lang w:val="en-US" w:eastAsia="zh-CN" w:bidi="ar"/>
                    </w:rPr>
                    <w:t>/d）</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公共建筑用水量（m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color w:val="auto"/>
                      <w:kern w:val="0"/>
                      <w:sz w:val="18"/>
                      <w:szCs w:val="18"/>
                      <w:highlight w:val="none"/>
                      <w:u w:val="none"/>
                      <w:lang w:val="en-US" w:eastAsia="zh-CN" w:bidi="ar"/>
                    </w:rPr>
                    <w:t>/d）</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牲畜用水量（m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color w:val="auto"/>
                      <w:kern w:val="0"/>
                      <w:sz w:val="18"/>
                      <w:szCs w:val="18"/>
                      <w:highlight w:val="none"/>
                      <w:u w:val="none"/>
                      <w:lang w:val="en-US" w:eastAsia="zh-CN" w:bidi="ar"/>
                    </w:rPr>
                    <w:t>/d）</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企业用水量（m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color w:val="auto"/>
                      <w:kern w:val="0"/>
                      <w:sz w:val="18"/>
                      <w:szCs w:val="18"/>
                      <w:highlight w:val="none"/>
                      <w:u w:val="none"/>
                      <w:lang w:val="en-US" w:eastAsia="zh-CN" w:bidi="ar"/>
                    </w:rPr>
                    <w:t>/d）</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浇洒道路和绿化用水量（m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color w:val="auto"/>
                      <w:kern w:val="0"/>
                      <w:sz w:val="18"/>
                      <w:szCs w:val="18"/>
                      <w:highlight w:val="none"/>
                      <w:u w:val="none"/>
                      <w:lang w:val="en-US" w:eastAsia="zh-CN" w:bidi="ar"/>
                    </w:rPr>
                    <w:t>/d）</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管网漏损和未预见水量（m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color w:val="auto"/>
                      <w:kern w:val="0"/>
                      <w:sz w:val="18"/>
                      <w:szCs w:val="18"/>
                      <w:highlight w:val="none"/>
                      <w:u w:val="none"/>
                      <w:lang w:val="en-US" w:eastAsia="zh-CN" w:bidi="ar"/>
                    </w:rPr>
                    <w:t>/d）</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总用水量（m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color w:val="auto"/>
                      <w:kern w:val="0"/>
                      <w:sz w:val="18"/>
                      <w:szCs w:val="18"/>
                      <w:highlight w:val="none"/>
                      <w:u w:val="none"/>
                      <w:lang w:val="en-US" w:eastAsia="zh-CN" w:bidi="ar"/>
                    </w:rPr>
                    <w: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7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石铁乡</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1977</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7907</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4519</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110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50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30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613</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61</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136</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40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26</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131</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7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新华镇</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6241</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18724</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10699</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110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50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30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1623</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162</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321</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105</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66</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342</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2619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7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厂溪镇</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7645</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22936</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13106</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110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50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30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1988</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199</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393</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129</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81</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419</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3209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7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黄金镇</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12275</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18412</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10521</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110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50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30</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2271</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227</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316</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141</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89</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456</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3499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7" w:type="dxa"/>
                  <w:bottom w:w="0" w:type="dxa"/>
                  <w:right w:w="57" w:type="dxa"/>
                </w:tblCellMar>
              </w:tblPrEx>
              <w:trPr>
                <w:trHeight w:val="270" w:hRule="atLeast"/>
              </w:trPr>
              <w:tc>
                <w:tcPr>
                  <w:tcW w:w="4618"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合计</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10334</w:t>
                  </w:r>
                </w:p>
              </w:tc>
            </w:tr>
          </w:tbl>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color w:val="auto"/>
                <w:sz w:val="24"/>
                <w:szCs w:val="32"/>
                <w:highlight w:val="none"/>
                <w:vertAlign w:val="baseline"/>
                <w:lang w:val="en-US" w:eastAsia="zh-CN"/>
              </w:rPr>
              <w:t>根据可研预测，</w:t>
            </w:r>
            <w:r>
              <w:rPr>
                <w:rFonts w:hint="default" w:ascii="Times New Roman" w:hAnsi="Times New Roman" w:cs="Times New Roman"/>
                <w:color w:val="auto"/>
                <w:sz w:val="24"/>
                <w:szCs w:val="32"/>
                <w:highlight w:val="none"/>
                <w:vertAlign w:val="baseline"/>
                <w:lang w:val="en-US" w:eastAsia="zh-CN"/>
              </w:rPr>
              <w:t>石铁乡、新华镇、厂溪镇、黄金镇四个乡镇</w:t>
            </w:r>
            <w:r>
              <w:rPr>
                <w:rFonts w:hint="eastAsia" w:ascii="Times New Roman" w:hAnsi="Times New Roman" w:cs="Times New Roman"/>
                <w:color w:val="auto"/>
                <w:sz w:val="24"/>
                <w:szCs w:val="32"/>
                <w:highlight w:val="none"/>
                <w:vertAlign w:val="baseline"/>
                <w:lang w:val="en-US" w:eastAsia="zh-CN"/>
              </w:rPr>
              <w:t>，总用水量为10334</w:t>
            </w:r>
            <w:r>
              <w:rPr>
                <w:rFonts w:hint="default" w:ascii="Times New Roman" w:hAnsi="Times New Roman" w:cs="Times New Roman"/>
                <w:color w:val="auto"/>
                <w:sz w:val="24"/>
                <w:szCs w:val="32"/>
                <w:highlight w:val="none"/>
                <w:vertAlign w:val="baseline"/>
                <w:lang w:val="en-US" w:eastAsia="zh-CN"/>
              </w:rPr>
              <w:t>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w:t>
            </w:r>
            <w:r>
              <w:rPr>
                <w:rFonts w:hint="eastAsia" w:ascii="Times New Roman" w:hAnsi="Times New Roman" w:cs="Times New Roman"/>
                <w:color w:val="auto"/>
                <w:sz w:val="24"/>
                <w:szCs w:val="32"/>
                <w:highlight w:val="none"/>
                <w:vertAlign w:val="baseline"/>
                <w:lang w:val="en-US" w:eastAsia="zh-CN"/>
              </w:rPr>
              <w:t>（2030年）。以上四个乡镇由新华水厂与厂溪水厂联合供水给，在用水保证率</w:t>
            </w:r>
            <w:r>
              <w:rPr>
                <w:rFonts w:hint="default" w:ascii="Times New Roman" w:hAnsi="Times New Roman" w:cs="Times New Roman"/>
                <w:color w:val="auto"/>
                <w:sz w:val="24"/>
                <w:szCs w:val="32"/>
                <w:highlight w:val="none"/>
                <w:vertAlign w:val="baseline"/>
                <w:lang w:val="en-US" w:eastAsia="zh-CN"/>
              </w:rPr>
              <w:t>P=95%</w:t>
            </w:r>
            <w:r>
              <w:rPr>
                <w:rFonts w:hint="eastAsia" w:ascii="Times New Roman" w:hAnsi="Times New Roman" w:cs="Times New Roman"/>
                <w:color w:val="auto"/>
                <w:sz w:val="24"/>
                <w:szCs w:val="32"/>
                <w:highlight w:val="none"/>
                <w:vertAlign w:val="baseline"/>
                <w:lang w:val="en-US" w:eastAsia="zh-CN"/>
              </w:rPr>
              <w:t>情况下，四个乡镇用水总规模为9817.3</w:t>
            </w:r>
            <w:r>
              <w:rPr>
                <w:rFonts w:hint="default" w:ascii="Times New Roman" w:hAnsi="Times New Roman" w:cs="Times New Roman"/>
                <w:color w:val="auto"/>
                <w:sz w:val="24"/>
                <w:szCs w:val="32"/>
                <w:highlight w:val="none"/>
                <w:vertAlign w:val="baseline"/>
                <w:lang w:val="en-US" w:eastAsia="zh-CN"/>
              </w:rPr>
              <w:t>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w:t>
            </w:r>
            <w:r>
              <w:rPr>
                <w:rFonts w:hint="eastAsia" w:ascii="Times New Roman" w:hAnsi="Times New Roman" w:cs="Times New Roman"/>
                <w:color w:val="auto"/>
                <w:sz w:val="24"/>
                <w:szCs w:val="32"/>
                <w:highlight w:val="none"/>
                <w:vertAlign w:val="baseline"/>
                <w:lang w:val="en-US" w:eastAsia="zh-CN"/>
              </w:rPr>
              <w:t>，可研综合</w:t>
            </w:r>
            <w:r>
              <w:rPr>
                <w:rFonts w:hint="default" w:ascii="Times New Roman" w:hAnsi="Times New Roman" w:cs="Times New Roman"/>
                <w:color w:val="auto"/>
                <w:sz w:val="24"/>
                <w:szCs w:val="32"/>
                <w:highlight w:val="none"/>
                <w:vertAlign w:val="baseline"/>
                <w:lang w:val="en-US" w:eastAsia="zh-CN"/>
              </w:rPr>
              <w:t>考虑用水规模尽量取整，</w:t>
            </w:r>
            <w:r>
              <w:rPr>
                <w:rFonts w:hint="eastAsia" w:ascii="Times New Roman" w:hAnsi="Times New Roman" w:cs="Times New Roman"/>
                <w:color w:val="auto"/>
                <w:sz w:val="24"/>
                <w:szCs w:val="32"/>
                <w:highlight w:val="none"/>
                <w:vertAlign w:val="baseline"/>
                <w:lang w:val="en-US" w:eastAsia="zh-CN"/>
              </w:rPr>
              <w:t>新华水厂供水</w:t>
            </w:r>
            <w:r>
              <w:rPr>
                <w:rFonts w:hint="default" w:ascii="Times New Roman" w:hAnsi="Times New Roman" w:cs="Times New Roman"/>
                <w:color w:val="auto"/>
                <w:sz w:val="24"/>
                <w:szCs w:val="32"/>
                <w:highlight w:val="none"/>
                <w:vertAlign w:val="baseline"/>
                <w:lang w:val="en-US" w:eastAsia="zh-CN"/>
              </w:rPr>
              <w:t>规模为：7000m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w:t>
            </w:r>
            <w:r>
              <w:rPr>
                <w:rFonts w:hint="eastAsia" w:ascii="Times New Roman" w:hAnsi="Times New Roman" w:cs="Times New Roman"/>
                <w:color w:val="auto"/>
                <w:sz w:val="24"/>
                <w:szCs w:val="32"/>
                <w:highlight w:val="none"/>
                <w:vertAlign w:val="baseline"/>
                <w:lang w:val="en-US" w:eastAsia="zh-CN"/>
              </w:rPr>
              <w:t>，厂溪水厂供水规模为3000</w:t>
            </w:r>
            <w:r>
              <w:rPr>
                <w:rFonts w:hint="default" w:ascii="Times New Roman" w:hAnsi="Times New Roman" w:cs="Times New Roman"/>
                <w:color w:val="auto"/>
                <w:sz w:val="24"/>
                <w:szCs w:val="32"/>
                <w:highlight w:val="none"/>
                <w:vertAlign w:val="baseline"/>
                <w:lang w:val="en-US" w:eastAsia="zh-CN"/>
              </w:rPr>
              <w:t>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color w:val="auto"/>
                <w:sz w:val="24"/>
                <w:szCs w:val="32"/>
                <w:highlight w:val="none"/>
                <w:vertAlign w:val="baseline"/>
                <w:lang w:val="en-US" w:eastAsia="zh-CN"/>
              </w:rPr>
              <w:t>综上，</w:t>
            </w:r>
            <w:r>
              <w:rPr>
                <w:rFonts w:hint="default" w:ascii="Times New Roman" w:hAnsi="Times New Roman" w:cs="Times New Roman"/>
                <w:color w:val="auto"/>
                <w:sz w:val="24"/>
                <w:szCs w:val="32"/>
                <w:highlight w:val="none"/>
                <w:vertAlign w:val="baseline"/>
                <w:lang w:val="en-US" w:eastAsia="zh-CN"/>
              </w:rPr>
              <w:t>本次</w:t>
            </w:r>
            <w:r>
              <w:rPr>
                <w:rFonts w:hint="eastAsia" w:ascii="Times New Roman" w:hAnsi="Times New Roman" w:cs="Times New Roman"/>
                <w:color w:val="auto"/>
                <w:sz w:val="24"/>
                <w:szCs w:val="32"/>
                <w:highlight w:val="none"/>
                <w:vertAlign w:val="baseline"/>
                <w:lang w:val="en-US" w:eastAsia="zh-CN"/>
              </w:rPr>
              <w:t>新华水厂</w:t>
            </w:r>
            <w:r>
              <w:rPr>
                <w:rFonts w:hint="default" w:ascii="Times New Roman" w:hAnsi="Times New Roman" w:cs="Times New Roman"/>
                <w:color w:val="auto"/>
                <w:sz w:val="24"/>
                <w:szCs w:val="32"/>
                <w:highlight w:val="none"/>
                <w:vertAlign w:val="baseline"/>
                <w:lang w:val="en-US" w:eastAsia="zh-CN"/>
              </w:rPr>
              <w:t>设计</w:t>
            </w:r>
            <w:r>
              <w:rPr>
                <w:rFonts w:hint="eastAsia" w:ascii="Times New Roman" w:hAnsi="Times New Roman" w:cs="Times New Roman"/>
                <w:color w:val="auto"/>
                <w:sz w:val="24"/>
                <w:szCs w:val="32"/>
                <w:highlight w:val="none"/>
                <w:vertAlign w:val="baseline"/>
                <w:lang w:val="en-US" w:eastAsia="zh-CN"/>
              </w:rPr>
              <w:t>供水规模</w:t>
            </w:r>
            <w:r>
              <w:rPr>
                <w:rFonts w:hint="default" w:ascii="Times New Roman" w:hAnsi="Times New Roman" w:cs="Times New Roman"/>
                <w:color w:val="auto"/>
                <w:sz w:val="24"/>
                <w:szCs w:val="32"/>
                <w:highlight w:val="none"/>
                <w:vertAlign w:val="baseline"/>
                <w:lang w:val="en-US" w:eastAsia="zh-CN"/>
              </w:rPr>
              <w:t>为</w:t>
            </w:r>
            <w:r>
              <w:rPr>
                <w:rFonts w:hint="eastAsia" w:ascii="Times New Roman" w:hAnsi="Times New Roman" w:cs="Times New Roman"/>
                <w:color w:val="auto"/>
                <w:sz w:val="24"/>
                <w:szCs w:val="32"/>
                <w:highlight w:val="none"/>
                <w:vertAlign w:val="baseline"/>
                <w:lang w:val="en-US" w:eastAsia="zh-CN"/>
              </w:rPr>
              <w:t>7000</w:t>
            </w:r>
            <w:r>
              <w:rPr>
                <w:rFonts w:hint="default" w:ascii="Times New Roman" w:hAnsi="Times New Roman" w:cs="Times New Roman"/>
                <w:color w:val="auto"/>
                <w:sz w:val="24"/>
                <w:szCs w:val="32"/>
                <w:highlight w:val="none"/>
                <w:vertAlign w:val="baseline"/>
                <w:lang w:val="en-US" w:eastAsia="zh-CN"/>
              </w:rPr>
              <w:t>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/d，满足供水要求。</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②水质目标</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本项目出厂水水质按国家卫生部《生活饮用水卫生标准》（GB5749-2022）要求执行，水厂出厂水浊度值应不超过1.0NTU。采用二氧化氯消毒，出厂水残余游离态氯（接触时间30min后）≥0.1mg/L，并保证管网末梢水中余氯≥0.02mg/L。</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③水压目标</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场镇用水压力按满足用水区域内最不利点6层建筑用户的水压要求，即最不利点自由水头不小于28m，农村用水最不利点自由水头不小于10m，满足供水区域内大部分用户的供水水压要求。</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3、项目组成及主要环境问题</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项目组成及主要环境问题见表2-</w:t>
            </w:r>
            <w:r>
              <w:rPr>
                <w:rFonts w:hint="eastAsia" w:ascii="Times New Roman" w:hAnsi="Times New Roman" w:cs="Times New Roman"/>
                <w:color w:val="auto"/>
                <w:sz w:val="24"/>
                <w:szCs w:val="32"/>
                <w:highlight w:val="none"/>
                <w:vertAlign w:val="baseline"/>
                <w:lang w:val="en-US" w:eastAsia="zh-CN"/>
              </w:rPr>
              <w:t>2</w:t>
            </w:r>
            <w:r>
              <w:rPr>
                <w:rFonts w:hint="default" w:ascii="Times New Roman" w:hAnsi="Times New Roman" w:cs="Times New Roman"/>
                <w:color w:val="auto"/>
                <w:sz w:val="24"/>
                <w:szCs w:val="32"/>
                <w:highlight w:val="none"/>
                <w:vertAlign w:val="baseli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szCs w:val="21"/>
                <w:highlight w:val="none"/>
                <w:lang w:val="en-US" w:eastAsia="zh-CN"/>
              </w:rPr>
              <w:t>2</w:t>
            </w:r>
            <w:r>
              <w:rPr>
                <w:rFonts w:hint="default" w:ascii="Times New Roman" w:hAnsi="Times New Roman" w:eastAsia="黑体" w:cs="Times New Roman"/>
                <w:color w:val="auto"/>
                <w:szCs w:val="21"/>
                <w:highlight w:val="none"/>
              </w:rPr>
              <w:t>-</w:t>
            </w:r>
            <w:r>
              <w:rPr>
                <w:rFonts w:hint="eastAsia" w:ascii="Times New Roman" w:hAnsi="Times New Roman" w:eastAsia="黑体" w:cs="Times New Roman"/>
                <w:color w:val="auto"/>
                <w:szCs w:val="21"/>
                <w:highlight w:val="none"/>
                <w:lang w:val="en-US" w:eastAsia="zh-CN"/>
              </w:rPr>
              <w:t xml:space="preserve">2 </w:t>
            </w:r>
            <w:r>
              <w:rPr>
                <w:rFonts w:hint="default" w:ascii="Times New Roman" w:hAnsi="Times New Roman" w:eastAsia="黑体" w:cs="Times New Roman"/>
                <w:color w:val="auto"/>
                <w:szCs w:val="21"/>
                <w:highlight w:val="none"/>
              </w:rPr>
              <w:t>项目组成及主要环境问题</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426"/>
              <w:gridCol w:w="428"/>
              <w:gridCol w:w="5014"/>
              <w:gridCol w:w="1091"/>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restart"/>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工程分类</w:t>
                  </w:r>
                </w:p>
              </w:tc>
              <w:tc>
                <w:tcPr>
                  <w:tcW w:w="489" w:type="pct"/>
                  <w:gridSpan w:val="2"/>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2874"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建设内容及规模</w:t>
                  </w:r>
                </w:p>
              </w:tc>
              <w:tc>
                <w:tcPr>
                  <w:tcW w:w="1248" w:type="pct"/>
                  <w:gridSpan w:val="2"/>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可能产生的环境问题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rPr>
                  </w:pPr>
                </w:p>
              </w:tc>
              <w:tc>
                <w:tcPr>
                  <w:tcW w:w="489" w:type="pct"/>
                  <w:gridSpan w:val="2"/>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rPr>
                  </w:pPr>
                </w:p>
              </w:tc>
              <w:tc>
                <w:tcPr>
                  <w:tcW w:w="2874"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rPr>
                  </w:pPr>
                </w:p>
              </w:tc>
              <w:tc>
                <w:tcPr>
                  <w:tcW w:w="62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施工期</w:t>
                  </w: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bCs/>
                      <w:color w:val="auto"/>
                      <w:sz w:val="21"/>
                      <w:szCs w:val="21"/>
                      <w:highlight w:val="none"/>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restart"/>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主体工程</w:t>
                  </w:r>
                </w:p>
              </w:tc>
              <w:tc>
                <w:tcPr>
                  <w:tcW w:w="489" w:type="pct"/>
                  <w:gridSpan w:val="2"/>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原水</w:t>
                  </w:r>
                </w:p>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管道</w:t>
                  </w: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jc w:val="both"/>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中河取水泵房→供水厂：采用DN350钢管，沿现有道路敷设，原水管道长1935m。</w:t>
                  </w:r>
                </w:p>
              </w:tc>
              <w:tc>
                <w:tcPr>
                  <w:tcW w:w="625"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施工废气</w:t>
                  </w:r>
                </w:p>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施工废水</w:t>
                  </w:r>
                </w:p>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施工噪声</w:t>
                  </w:r>
                </w:p>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固体废物</w:t>
                  </w: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489" w:type="pct"/>
                  <w:gridSpan w:val="2"/>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配水</w:t>
                  </w:r>
                </w:p>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管道</w:t>
                  </w: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配水主管网管径DN100~DN450，管材DN＞300采用球磨铸铁管，DN≤300采用聚乙烯复合管，管道总长度约94.148km。</w:t>
                  </w:r>
                </w:p>
                <w:p>
                  <w:pPr>
                    <w:keepNext w:val="0"/>
                    <w:keepLines w:val="0"/>
                    <w:pageBreakBefore w:val="0"/>
                    <w:kinsoku/>
                    <w:wordWrap/>
                    <w:overflowPunct/>
                    <w:topLinePunct w:val="0"/>
                    <w:autoSpaceDE/>
                    <w:autoSpaceDN/>
                    <w:bidi w:val="0"/>
                    <w:snapToGrid/>
                    <w:spacing w:line="240" w:lineRule="auto"/>
                    <w:ind w:left="0" w:leftChars="0"/>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自新华供水厂接出的配水管道采用重力流形式，沿乡镇之间道路敷设</w:t>
                  </w:r>
                  <w:r>
                    <w:rPr>
                      <w:rFonts w:hint="eastAsia" w:ascii="Times New Roman" w:hAnsi="Times New Roman" w:cs="Times New Roman"/>
                      <w:color w:val="auto"/>
                      <w:sz w:val="21"/>
                      <w:szCs w:val="21"/>
                      <w:highlight w:val="none"/>
                      <w:lang w:val="en-US" w:eastAsia="zh-CN"/>
                    </w:rPr>
                    <w:t>。</w:t>
                  </w:r>
                </w:p>
              </w:tc>
              <w:tc>
                <w:tcPr>
                  <w:tcW w:w="625"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489" w:type="pct"/>
                  <w:gridSpan w:val="2"/>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中河取水泵房</w:t>
                  </w: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新建中河取水泵房位于新华场镇东北侧上游中河右岸，占地面积95.03m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，建筑面积105.68m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，取水水源为中河。</w:t>
                  </w:r>
                </w:p>
                <w:p>
                  <w:pPr>
                    <w:keepNext w:val="0"/>
                    <w:keepLines w:val="0"/>
                    <w:pageBreakBefore w:val="0"/>
                    <w:kinsoku/>
                    <w:wordWrap/>
                    <w:overflowPunct/>
                    <w:topLinePunct w:val="0"/>
                    <w:autoSpaceDE/>
                    <w:autoSpaceDN/>
                    <w:bidi w:val="0"/>
                    <w:snapToGrid/>
                    <w:spacing w:line="240" w:lineRule="auto"/>
                    <w:ind w:left="0" w:leftChars="0"/>
                    <w:jc w:val="left"/>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取水泵房为直吸式河床干式取水泵房，以百年一遇洪水淹没标高考虑，通过吸水管将原水吸入泵房中，水泵引水方式采用自灌式。泵房内径（净空）D=10.0m，泵房础体高度H=21.5m，设计平台上部为框架结构，框架高度H=5.2m，材料为钢筋混凝土，通风形式为自然进风机械排风。泵房按规模7000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/d设计，吸水管采用2根DN300管道伸出泵房至取水头部。取水泵房设计最枯水位为400.5m，结合周边现状道路交通，确定取水泵房平台标高419.5m。</w:t>
                  </w:r>
                </w:p>
              </w:tc>
              <w:tc>
                <w:tcPr>
                  <w:tcW w:w="625"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44"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供水厂</w:t>
                  </w:r>
                </w:p>
              </w:tc>
              <w:tc>
                <w:tcPr>
                  <w:tcW w:w="24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供水厂</w:t>
                  </w: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1座，占地面积5100m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，建设规模7000m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/d，主要构建筑物从东向西布设为综合楼、预沉池、一体化处理设施及清水池、辅助生产用房、泥水综合体</w:t>
                  </w:r>
                  <w:r>
                    <w:rPr>
                      <w:rFonts w:hint="eastAsia" w:ascii="Times New Roman" w:hAnsi="Times New Roman" w:cs="Times New Roman"/>
                      <w:color w:val="auto"/>
                      <w:sz w:val="21"/>
                      <w:szCs w:val="21"/>
                      <w:highlight w:val="none"/>
                      <w:lang w:val="en-US" w:eastAsia="zh-CN"/>
                    </w:rPr>
                    <w:t>。</w:t>
                  </w:r>
                </w:p>
              </w:tc>
              <w:tc>
                <w:tcPr>
                  <w:tcW w:w="625"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p>
              </w:tc>
              <w:tc>
                <w:tcPr>
                  <w:tcW w:w="623"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w:t>
                  </w:r>
                </w:p>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44"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24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净水处理区</w:t>
                  </w: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预沉池</w:t>
                  </w:r>
                  <w:r>
                    <w:rPr>
                      <w:rFonts w:hint="default" w:ascii="Times New Roman" w:hAnsi="Times New Roman" w:cs="Times New Roman"/>
                      <w:color w:val="auto"/>
                      <w:sz w:val="21"/>
                      <w:szCs w:val="21"/>
                      <w:highlight w:val="none"/>
                      <w:lang w:val="en-US" w:eastAsia="zh-CN"/>
                    </w:rPr>
                    <w:t>1座，尺寸12.4×4.0×6.75m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，分2格，自用水系数10%。预沉池斜管上升流速V=2.5mm/s，表面负荷q=8.9m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·h），停留时间T=28min，预沉池上部设3.3m遮阳棚；</w:t>
                  </w:r>
                </w:p>
                <w:p>
                  <w:pPr>
                    <w:keepNext w:val="0"/>
                    <w:keepLines w:val="0"/>
                    <w:pageBreakBefore w:val="0"/>
                    <w:kinsoku/>
                    <w:wordWrap/>
                    <w:overflowPunct/>
                    <w:topLinePunct w:val="0"/>
                    <w:autoSpaceDE/>
                    <w:autoSpaceDN/>
                    <w:bidi w:val="0"/>
                    <w:snapToGrid/>
                    <w:spacing w:line="240" w:lineRule="auto"/>
                    <w:ind w:left="0" w:leftChars="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一体化处理设施及清水池：一体化处理设施</w:t>
                  </w:r>
                  <w:r>
                    <w:rPr>
                      <w:rFonts w:hint="default" w:ascii="Times New Roman" w:hAnsi="Times New Roman" w:cs="Times New Roman"/>
                      <w:b w:val="0"/>
                      <w:bCs w:val="0"/>
                      <w:color w:val="auto"/>
                      <w:sz w:val="21"/>
                      <w:szCs w:val="21"/>
                      <w:highlight w:val="none"/>
                      <w:lang w:val="en-US" w:eastAsia="zh-CN"/>
                    </w:rPr>
                    <w:t>2套，设计处理能力为7000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b w:val="0"/>
                      <w:bCs w:val="0"/>
                      <w:color w:val="auto"/>
                      <w:sz w:val="21"/>
                      <w:szCs w:val="21"/>
                      <w:highlight w:val="none"/>
                      <w:lang w:val="en-US" w:eastAsia="zh-CN"/>
                    </w:rPr>
                    <w:t>/d（各3500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b w:val="0"/>
                      <w:bCs w:val="0"/>
                      <w:color w:val="auto"/>
                      <w:sz w:val="21"/>
                      <w:szCs w:val="21"/>
                      <w:highlight w:val="none"/>
                      <w:lang w:val="en-US" w:eastAsia="zh-CN"/>
                    </w:rPr>
                    <w:t>/d），采用絮凝沉淀+V型滤池工艺处理原水；</w:t>
                  </w:r>
                  <w:r>
                    <w:rPr>
                      <w:rFonts w:hint="default" w:ascii="Times New Roman" w:hAnsi="Times New Roman" w:cs="Times New Roman"/>
                      <w:b/>
                      <w:bCs/>
                      <w:color w:val="auto"/>
                      <w:sz w:val="21"/>
                      <w:szCs w:val="21"/>
                      <w:highlight w:val="none"/>
                      <w:lang w:val="en-US" w:eastAsia="zh-CN"/>
                    </w:rPr>
                    <w:t>清水池1座</w:t>
                  </w:r>
                  <w:r>
                    <w:rPr>
                      <w:rFonts w:hint="default" w:ascii="Times New Roman" w:hAnsi="Times New Roman" w:cs="Times New Roman"/>
                      <w:color w:val="auto"/>
                      <w:sz w:val="21"/>
                      <w:szCs w:val="21"/>
                      <w:highlight w:val="none"/>
                      <w:lang w:val="en-US" w:eastAsia="zh-CN"/>
                    </w:rPr>
                    <w:t>，尺寸22.0×18.6×4.3m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，分2格，单座清水池有效容积为1200m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，接触时间30min，上部设7.2m遮阳棚；</w:t>
                  </w:r>
                </w:p>
                <w:p>
                  <w:pPr>
                    <w:keepNext w:val="0"/>
                    <w:keepLines w:val="0"/>
                    <w:pageBreakBefore w:val="0"/>
                    <w:kinsoku/>
                    <w:wordWrap/>
                    <w:overflowPunct/>
                    <w:topLinePunct w:val="0"/>
                    <w:autoSpaceDE/>
                    <w:autoSpaceDN/>
                    <w:bidi w:val="0"/>
                    <w:snapToGrid/>
                    <w:spacing w:line="240" w:lineRule="auto"/>
                    <w:ind w:left="0" w:leftChars="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泥水综合体：</w:t>
                  </w:r>
                  <w:r>
                    <w:rPr>
                      <w:rFonts w:hint="default" w:ascii="Times New Roman" w:hAnsi="Times New Roman" w:cs="Times New Roman"/>
                      <w:color w:val="auto"/>
                      <w:sz w:val="21"/>
                      <w:szCs w:val="21"/>
                      <w:highlight w:val="none"/>
                      <w:lang w:val="en-US" w:eastAsia="zh-CN"/>
                    </w:rPr>
                    <w:t>1座，尺寸12.6×10.3×11.5m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，分3格，内设泥水混合池、浓缩池、泥渣泵房、贮泥池、脱水间及回收泵井、泥棚；泥水混合池分为2格，有效容积224m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，收集预沉池排泥水、一体化设备排泥水和滤池反冲洗废水等，提升至浓缩池；浓缩池设置2座，设计表面负荷q=0.47m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·h），设计最大污泥固体负荷：1.4g/m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·h；贮泥池设置1座，有效容积10m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，基本满足一天污泥停留；脱水间安装2台离心脱水机（互为备用），脱水机进泥含水率97%，设计出泥含水率≤80%；</w:t>
                  </w:r>
                </w:p>
                <w:p>
                  <w:pPr>
                    <w:keepNext w:val="0"/>
                    <w:keepLines w:val="0"/>
                    <w:pageBreakBefore w:val="0"/>
                    <w:kinsoku/>
                    <w:wordWrap/>
                    <w:overflowPunct/>
                    <w:topLinePunct w:val="0"/>
                    <w:autoSpaceDE/>
                    <w:autoSpaceDN/>
                    <w:bidi w:val="0"/>
                    <w:snapToGrid/>
                    <w:spacing w:line="240" w:lineRule="auto"/>
                    <w:ind w:left="0" w:leftChars="0"/>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辅助生产用房：</w:t>
                  </w:r>
                  <w:r>
                    <w:rPr>
                      <w:rFonts w:hint="default" w:ascii="Times New Roman" w:hAnsi="Times New Roman" w:cs="Times New Roman"/>
                      <w:color w:val="auto"/>
                      <w:sz w:val="21"/>
                      <w:szCs w:val="21"/>
                      <w:highlight w:val="none"/>
                      <w:lang w:val="en-US" w:eastAsia="zh-CN"/>
                    </w:rPr>
                    <w:t>1座，尺寸32.7×6.9×5.1m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，内设配电间、PAC投加间、PAM投加间、反冲洗泵房、加氯间、原料储备间。</w:t>
                  </w:r>
                </w:p>
              </w:tc>
              <w:tc>
                <w:tcPr>
                  <w:tcW w:w="625"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p>
              </w:tc>
              <w:tc>
                <w:tcPr>
                  <w:tcW w:w="623"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44"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45"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加药工程</w:t>
                  </w: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jc w:val="left"/>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PAC投加间</w:t>
                  </w:r>
                  <w:r>
                    <w:rPr>
                      <w:rFonts w:hint="default" w:ascii="Times New Roman" w:hAnsi="Times New Roman" w:cs="Times New Roman"/>
                      <w:color w:val="auto"/>
                      <w:kern w:val="2"/>
                      <w:sz w:val="21"/>
                      <w:szCs w:val="21"/>
                      <w:highlight w:val="none"/>
                      <w:lang w:val="en-US" w:eastAsia="zh-CN" w:bidi="ar-SA"/>
                    </w:rPr>
                    <w:t>位于辅助生产用房内，建筑面积约18.72</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，内设</w:t>
                  </w:r>
                  <w:r>
                    <w:rPr>
                      <w:rFonts w:hint="default" w:ascii="Times New Roman" w:hAnsi="Times New Roman" w:cs="Times New Roman"/>
                      <w:b w:val="0"/>
                      <w:bCs w:val="0"/>
                      <w:color w:val="auto"/>
                      <w:kern w:val="2"/>
                      <w:sz w:val="21"/>
                      <w:szCs w:val="21"/>
                      <w:highlight w:val="none"/>
                      <w:lang w:val="en-US" w:eastAsia="zh-CN" w:bidi="ar-SA"/>
                    </w:rPr>
                    <w:t>一体化PAC投加装置1套，PAC堆放区约2.6m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b w:val="0"/>
                      <w:bCs w:val="0"/>
                      <w:color w:val="auto"/>
                      <w:kern w:val="2"/>
                      <w:sz w:val="21"/>
                      <w:szCs w:val="21"/>
                      <w:highlight w:val="none"/>
                      <w:lang w:val="en-US" w:eastAsia="zh-CN" w:bidi="ar-SA"/>
                    </w:rPr>
                    <w:t>；</w:t>
                  </w:r>
                </w:p>
              </w:tc>
              <w:tc>
                <w:tcPr>
                  <w:tcW w:w="625"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44" w:type="pct"/>
                  <w:vMerge w:val="continue"/>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45" w:type="pct"/>
                  <w:vMerge w:val="continue"/>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jc w:val="left"/>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PAM投加间</w:t>
                  </w:r>
                  <w:r>
                    <w:rPr>
                      <w:rFonts w:hint="default" w:ascii="Times New Roman" w:hAnsi="Times New Roman" w:cs="Times New Roman"/>
                      <w:color w:val="auto"/>
                      <w:kern w:val="2"/>
                      <w:sz w:val="21"/>
                      <w:szCs w:val="21"/>
                      <w:highlight w:val="none"/>
                      <w:lang w:val="en-US" w:eastAsia="zh-CN" w:bidi="ar-SA"/>
                    </w:rPr>
                    <w:t>位于辅助生产用房内，建筑面积约18.72</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，内设</w:t>
                  </w:r>
                  <w:r>
                    <w:rPr>
                      <w:rFonts w:hint="default" w:ascii="Times New Roman" w:hAnsi="Times New Roman" w:cs="Times New Roman"/>
                      <w:b w:val="0"/>
                      <w:bCs w:val="0"/>
                      <w:color w:val="auto"/>
                      <w:kern w:val="2"/>
                      <w:sz w:val="21"/>
                      <w:szCs w:val="21"/>
                      <w:highlight w:val="none"/>
                      <w:lang w:val="en-US" w:eastAsia="zh-CN" w:bidi="ar-SA"/>
                    </w:rPr>
                    <w:t>一体化PA</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b w:val="0"/>
                      <w:bCs w:val="0"/>
                      <w:color w:val="auto"/>
                      <w:kern w:val="2"/>
                      <w:sz w:val="21"/>
                      <w:szCs w:val="21"/>
                      <w:highlight w:val="none"/>
                      <w:lang w:val="en-US" w:eastAsia="zh-CN" w:bidi="ar-SA"/>
                    </w:rPr>
                    <w:t>投加装置1套，PA</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b w:val="0"/>
                      <w:bCs w:val="0"/>
                      <w:color w:val="auto"/>
                      <w:kern w:val="2"/>
                      <w:sz w:val="21"/>
                      <w:szCs w:val="21"/>
                      <w:highlight w:val="none"/>
                      <w:lang w:val="en-US" w:eastAsia="zh-CN" w:bidi="ar-SA"/>
                    </w:rPr>
                    <w:t>堆放区约1.95m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b w:val="0"/>
                      <w:bCs w:val="0"/>
                      <w:color w:val="auto"/>
                      <w:kern w:val="2"/>
                      <w:sz w:val="21"/>
                      <w:szCs w:val="21"/>
                      <w:highlight w:val="none"/>
                      <w:lang w:val="en-US" w:eastAsia="zh-CN" w:bidi="ar-SA"/>
                    </w:rPr>
                    <w:t>；</w:t>
                  </w:r>
                </w:p>
              </w:tc>
              <w:tc>
                <w:tcPr>
                  <w:tcW w:w="625"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44"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245"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jc w:val="left"/>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加氯间位于辅助生产用房内，建筑面积约18.72</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，内设2套</w:t>
                  </w:r>
                  <w:r>
                    <w:rPr>
                      <w:rFonts w:hint="default" w:ascii="Times New Roman" w:hAnsi="Times New Roman" w:cs="Times New Roman"/>
                      <w:b w:val="0"/>
                      <w:bCs w:val="0"/>
                      <w:color w:val="auto"/>
                      <w:kern w:val="2"/>
                      <w:sz w:val="21"/>
                      <w:szCs w:val="21"/>
                      <w:highlight w:val="none"/>
                      <w:lang w:val="en-US" w:eastAsia="zh-CN" w:bidi="ar-SA"/>
                    </w:rPr>
                    <w:t>高纯一体式二氧化氯发生器（1用1备）、二氧化氯泄漏检测仪、报警设施以及喷淋设施等。</w:t>
                  </w:r>
                </w:p>
              </w:tc>
              <w:tc>
                <w:tcPr>
                  <w:tcW w:w="625"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44"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245"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jc w:val="left"/>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原料储备间</w:t>
                  </w:r>
                  <w:r>
                    <w:rPr>
                      <w:rFonts w:hint="default" w:ascii="Times New Roman" w:hAnsi="Times New Roman" w:cs="Times New Roman"/>
                      <w:color w:val="auto"/>
                      <w:kern w:val="2"/>
                      <w:sz w:val="21"/>
                      <w:szCs w:val="21"/>
                      <w:highlight w:val="none"/>
                      <w:lang w:val="en-US" w:eastAsia="zh-CN" w:bidi="ar-SA"/>
                    </w:rPr>
                    <w:t>位于辅助生产用房内，建筑面积约18.72</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，内设</w:t>
                  </w:r>
                  <w:r>
                    <w:rPr>
                      <w:rFonts w:hint="default" w:ascii="Times New Roman" w:hAnsi="Times New Roman" w:eastAsia="宋体" w:cs="Times New Roman"/>
                      <w:b w:val="0"/>
                      <w:bCs w:val="0"/>
                      <w:color w:val="auto"/>
                      <w:sz w:val="21"/>
                      <w:szCs w:val="21"/>
                      <w:highlight w:val="none"/>
                      <w:lang w:val="en-US" w:eastAsia="zh-CN"/>
                    </w:rPr>
                    <w:t>复合硫酸氢钠储罐5</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，复合</w:t>
                  </w:r>
                  <w:r>
                    <w:rPr>
                      <w:rFonts w:hint="default" w:ascii="Times New Roman" w:hAnsi="Times New Roman" w:cs="Times New Roman"/>
                      <w:b w:val="0"/>
                      <w:bCs w:val="0"/>
                      <w:color w:val="auto"/>
                      <w:sz w:val="21"/>
                      <w:szCs w:val="21"/>
                      <w:highlight w:val="none"/>
                      <w:lang w:val="en-US" w:eastAsia="zh-CN"/>
                    </w:rPr>
                    <w:t>氯</w:t>
                  </w:r>
                  <w:r>
                    <w:rPr>
                      <w:rFonts w:hint="default" w:ascii="Times New Roman" w:hAnsi="Times New Roman" w:eastAsia="宋体" w:cs="Times New Roman"/>
                      <w:b w:val="0"/>
                      <w:bCs w:val="0"/>
                      <w:color w:val="auto"/>
                      <w:sz w:val="21"/>
                      <w:szCs w:val="21"/>
                      <w:highlight w:val="none"/>
                      <w:lang w:val="en-US" w:eastAsia="zh-CN"/>
                    </w:rPr>
                    <w:t>酸钠储罐3.5</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625"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44"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24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排泥工程</w:t>
                  </w: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项目在</w:t>
                  </w:r>
                  <w:r>
                    <w:rPr>
                      <w:rFonts w:hint="default" w:ascii="Times New Roman" w:hAnsi="Times New Roman" w:cs="Times New Roman"/>
                      <w:color w:val="auto"/>
                      <w:sz w:val="21"/>
                      <w:szCs w:val="21"/>
                      <w:highlight w:val="none"/>
                      <w:lang w:val="en-US" w:eastAsia="zh-CN"/>
                    </w:rPr>
                    <w:t>厂区西侧</w:t>
                  </w:r>
                  <w:r>
                    <w:rPr>
                      <w:rFonts w:hint="default" w:ascii="Times New Roman" w:hAnsi="Times New Roman" w:cs="Times New Roman"/>
                      <w:color w:val="auto"/>
                      <w:kern w:val="2"/>
                      <w:sz w:val="21"/>
                      <w:szCs w:val="21"/>
                      <w:highlight w:val="none"/>
                      <w:lang w:val="en-US" w:eastAsia="zh-CN" w:bidi="ar-SA"/>
                    </w:rPr>
                    <w:t>设置</w:t>
                  </w:r>
                  <w:r>
                    <w:rPr>
                      <w:rFonts w:hint="default" w:ascii="Times New Roman" w:hAnsi="Times New Roman" w:cs="Times New Roman" w:eastAsiaTheme="minorEastAsia"/>
                      <w:color w:val="auto"/>
                      <w:kern w:val="2"/>
                      <w:sz w:val="21"/>
                      <w:szCs w:val="21"/>
                      <w:highlight w:val="none"/>
                      <w:lang w:val="en-US" w:eastAsia="zh-CN" w:bidi="ar-SA"/>
                    </w:rPr>
                    <w:t>泥水综合体</w:t>
                  </w:r>
                  <w:r>
                    <w:rPr>
                      <w:rFonts w:hint="default" w:ascii="Times New Roman" w:hAnsi="Times New Roman" w:cs="Times New Roman"/>
                      <w:color w:val="auto"/>
                      <w:kern w:val="2"/>
                      <w:sz w:val="21"/>
                      <w:szCs w:val="21"/>
                      <w:highlight w:val="none"/>
                      <w:lang w:val="en-US" w:eastAsia="zh-CN" w:bidi="ar-SA"/>
                    </w:rPr>
                    <w:t>1座处理净水工程泥水，</w:t>
                  </w:r>
                  <w:r>
                    <w:rPr>
                      <w:rFonts w:hint="default" w:ascii="Times New Roman" w:hAnsi="Times New Roman" w:cs="Times New Roman" w:eastAsiaTheme="minorEastAsia"/>
                      <w:color w:val="auto"/>
                      <w:kern w:val="2"/>
                      <w:sz w:val="21"/>
                      <w:szCs w:val="21"/>
                      <w:highlight w:val="none"/>
                      <w:lang w:val="en-US" w:eastAsia="zh-CN" w:bidi="ar-SA"/>
                    </w:rPr>
                    <w:t>泥水综合体</w:t>
                  </w:r>
                  <w:r>
                    <w:rPr>
                      <w:rFonts w:hint="default" w:ascii="Times New Roman" w:hAnsi="Times New Roman" w:cs="Times New Roman"/>
                      <w:color w:val="auto"/>
                      <w:sz w:val="21"/>
                      <w:szCs w:val="21"/>
                      <w:highlight w:val="none"/>
                      <w:lang w:val="en-US" w:eastAsia="zh-CN"/>
                    </w:rPr>
                    <w:t>内设泥水混合池、浓缩池、泥渣泵房、贮泥池、脱水间及回收泵井、泥棚，泥水混合池主要收集预沉池排泥水、一体化设备排泥水和滤池反冲洗废水等，经泵提升至浓缩池，经浓缩池浓缩后进入贮泥池，贮泥池排泥水脱水后泥饼暂存于泥棚，</w:t>
                  </w:r>
                  <w:r>
                    <w:rPr>
                      <w:rFonts w:hint="default" w:ascii="Times New Roman" w:hAnsi="Times New Roman" w:cs="Times New Roman"/>
                      <w:color w:val="auto"/>
                      <w:sz w:val="21"/>
                      <w:szCs w:val="21"/>
                      <w:highlight w:val="none"/>
                      <w:lang w:eastAsia="zh-CN"/>
                    </w:rPr>
                    <w:t>定期运往</w:t>
                  </w:r>
                  <w:r>
                    <w:rPr>
                      <w:rFonts w:hint="default" w:ascii="Times New Roman" w:hAnsi="Times New Roman" w:cs="Times New Roman"/>
                      <w:color w:val="auto"/>
                      <w:sz w:val="21"/>
                      <w:szCs w:val="21"/>
                      <w:highlight w:val="none"/>
                      <w:lang w:val="en-US" w:eastAsia="zh-CN"/>
                    </w:rPr>
                    <w:t>宣汉县</w:t>
                  </w:r>
                  <w:r>
                    <w:rPr>
                      <w:rFonts w:hint="default" w:ascii="Times New Roman" w:hAnsi="Times New Roman" w:cs="Times New Roman"/>
                      <w:color w:val="auto"/>
                      <w:sz w:val="21"/>
                      <w:szCs w:val="21"/>
                      <w:highlight w:val="none"/>
                      <w:lang w:eastAsia="zh-CN"/>
                    </w:rPr>
                    <w:t>生活垃圾填埋场处理</w:t>
                  </w:r>
                  <w:r>
                    <w:rPr>
                      <w:rFonts w:hint="default" w:ascii="Times New Roman" w:hAnsi="Times New Roman" w:cs="Times New Roman"/>
                      <w:color w:val="auto"/>
                      <w:sz w:val="21"/>
                      <w:szCs w:val="21"/>
                      <w:highlight w:val="none"/>
                      <w:lang w:val="en-US" w:eastAsia="zh-CN"/>
                    </w:rPr>
                    <w:t>。</w:t>
                  </w:r>
                </w:p>
              </w:tc>
              <w:tc>
                <w:tcPr>
                  <w:tcW w:w="625"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w:t>
                  </w:r>
                </w:p>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泥饼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辅助工程</w:t>
                  </w:r>
                </w:p>
              </w:tc>
              <w:tc>
                <w:tcPr>
                  <w:tcW w:w="489" w:type="pct"/>
                  <w:gridSpan w:val="2"/>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综合楼</w:t>
                  </w: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1座，建筑面积571.26m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，3层框架结构，1F设置化验室、厨房、餐厅、卫生间，2F设置办公室、中控室、卫生间，3F设置办公室、会议室、卫生间。</w:t>
                  </w:r>
                </w:p>
              </w:tc>
              <w:tc>
                <w:tcPr>
                  <w:tcW w:w="625"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p>
              </w:tc>
              <w:tc>
                <w:tcPr>
                  <w:tcW w:w="623"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生活污水生活垃圾食堂油烟餐厨垃圾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489" w:type="pct"/>
                  <w:gridSpan w:val="2"/>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化验室</w:t>
                  </w: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位于综合楼1F，化验室主要检测pH、嗅和味、肉眼可见物、浑浊度、余氯等指标，</w:t>
                  </w:r>
                  <w:r>
                    <w:rPr>
                      <w:rFonts w:hint="default" w:ascii="Times New Roman" w:hAnsi="Times New Roman" w:cs="Times New Roman"/>
                      <w:color w:val="auto"/>
                      <w:sz w:val="21"/>
                      <w:szCs w:val="21"/>
                      <w:highlight w:val="none"/>
                    </w:rPr>
                    <w:t>其中嗅和味、肉眼可见物通过人的感官检验，浑浊度采用散射光法，pH和余氯采用便携式pH计和便携式余氯检测仪检测</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项目</w:t>
                  </w:r>
                  <w:r>
                    <w:rPr>
                      <w:rFonts w:hint="default" w:ascii="Times New Roman" w:hAnsi="Times New Roman" w:cs="Times New Roman"/>
                      <w:color w:val="auto"/>
                      <w:kern w:val="2"/>
                      <w:sz w:val="21"/>
                      <w:szCs w:val="21"/>
                      <w:highlight w:val="none"/>
                      <w:lang w:val="en-US" w:eastAsia="zh-CN" w:bidi="ar-SA"/>
                    </w:rPr>
                    <w:t>不涉及其他化学试剂</w:t>
                  </w:r>
                  <w:r>
                    <w:rPr>
                      <w:rFonts w:hint="default" w:ascii="Times New Roman" w:hAnsi="Times New Roman" w:cs="Times New Roman"/>
                      <w:color w:val="auto"/>
                      <w:sz w:val="21"/>
                      <w:szCs w:val="21"/>
                      <w:highlight w:val="none"/>
                    </w:rPr>
                    <w:t>。</w:t>
                  </w:r>
                </w:p>
              </w:tc>
              <w:tc>
                <w:tcPr>
                  <w:tcW w:w="625"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p>
              </w:tc>
              <w:tc>
                <w:tcPr>
                  <w:tcW w:w="623"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489" w:type="pct"/>
                  <w:gridSpan w:val="2"/>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反冲洗泵房</w:t>
                  </w: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项目在厂区南侧设置反冲洗泵房1间，位于辅助生产用房内，建筑面积约18.72</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kern w:val="2"/>
                      <w:sz w:val="21"/>
                      <w:szCs w:val="21"/>
                      <w:highlight w:val="none"/>
                      <w:lang w:val="en-US" w:eastAsia="zh-CN" w:bidi="ar-SA"/>
                    </w:rPr>
                    <w:t>内设三叶罗茨风机2台（1用1备）、反冲洗水泵3台（2用1备）。</w:t>
                  </w:r>
                </w:p>
              </w:tc>
              <w:tc>
                <w:tcPr>
                  <w:tcW w:w="625"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临时工程</w:t>
                  </w:r>
                </w:p>
              </w:tc>
              <w:tc>
                <w:tcPr>
                  <w:tcW w:w="489" w:type="pct"/>
                  <w:gridSpan w:val="2"/>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施工便道</w:t>
                  </w: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因新建水厂周边无现状道路，因此设置施工便道0.486km，采用单车道，路基宽度4.5m，车行道宽3.5m，路肩宽0.5m。</w:t>
                  </w:r>
                </w:p>
              </w:tc>
              <w:tc>
                <w:tcPr>
                  <w:tcW w:w="625"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穿越工程</w:t>
                  </w:r>
                </w:p>
              </w:tc>
              <w:tc>
                <w:tcPr>
                  <w:tcW w:w="3363" w:type="pct"/>
                  <w:gridSpan w:val="3"/>
                  <w:vAlign w:val="center"/>
                </w:tcPr>
                <w:p>
                  <w:pPr>
                    <w:keepNext w:val="0"/>
                    <w:keepLines w:val="0"/>
                    <w:pageBreakBefore w:val="0"/>
                    <w:kinsoku/>
                    <w:wordWrap/>
                    <w:overflowPunct/>
                    <w:topLinePunct w:val="0"/>
                    <w:autoSpaceDE/>
                    <w:autoSpaceDN/>
                    <w:bidi w:val="0"/>
                    <w:snapToGrid/>
                    <w:spacing w:line="240" w:lineRule="auto"/>
                    <w:ind w:left="0" w:leftChars="0"/>
                    <w:jc w:val="both"/>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项目共穿越河段9次，其中穿越中河4次，泥溪沟3次，楠竹溪1次，双河口1次，项目穿越河道时会对水质造成影响，施工期间应合理选择施工时间，在枯水期进行，尽量减少开挖范围，减少对水底底泥的搅动。</w:t>
                  </w:r>
                </w:p>
              </w:tc>
              <w:tc>
                <w:tcPr>
                  <w:tcW w:w="625"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公用工程</w:t>
                  </w:r>
                </w:p>
              </w:tc>
              <w:tc>
                <w:tcPr>
                  <w:tcW w:w="489" w:type="pct"/>
                  <w:gridSpan w:val="2"/>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供电</w:t>
                  </w: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乡镇</w:t>
                  </w:r>
                  <w:r>
                    <w:rPr>
                      <w:rFonts w:hint="default" w:ascii="Times New Roman" w:hAnsi="Times New Roman" w:eastAsia="宋体" w:cs="Times New Roman"/>
                      <w:color w:val="auto"/>
                      <w:sz w:val="21"/>
                      <w:szCs w:val="21"/>
                      <w:highlight w:val="none"/>
                    </w:rPr>
                    <w:t>供电管网供给</w:t>
                  </w:r>
                  <w:r>
                    <w:rPr>
                      <w:rFonts w:hint="default" w:ascii="Times New Roman" w:hAnsi="Times New Roman" w:eastAsia="宋体" w:cs="Times New Roman"/>
                      <w:color w:val="auto"/>
                      <w:sz w:val="21"/>
                      <w:szCs w:val="21"/>
                      <w:highlight w:val="none"/>
                      <w:lang w:eastAsia="zh-CN"/>
                    </w:rPr>
                    <w:t>。</w:t>
                  </w:r>
                </w:p>
              </w:tc>
              <w:tc>
                <w:tcPr>
                  <w:tcW w:w="62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489" w:type="pct"/>
                  <w:gridSpan w:val="2"/>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供水</w:t>
                  </w: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原水来源</w:t>
                  </w:r>
                  <w:r>
                    <w:rPr>
                      <w:rFonts w:hint="default" w:ascii="Times New Roman" w:hAnsi="Times New Roman" w:cs="Times New Roman"/>
                      <w:color w:val="auto"/>
                      <w:sz w:val="21"/>
                      <w:szCs w:val="21"/>
                      <w:highlight w:val="none"/>
                      <w:lang w:val="en-US" w:eastAsia="zh-CN"/>
                    </w:rPr>
                    <w:t>中</w:t>
                  </w:r>
                  <w:r>
                    <w:rPr>
                      <w:rFonts w:hint="default" w:ascii="Times New Roman" w:hAnsi="Times New Roman" w:eastAsia="宋体" w:cs="Times New Roman"/>
                      <w:color w:val="auto"/>
                      <w:sz w:val="21"/>
                      <w:szCs w:val="21"/>
                      <w:highlight w:val="none"/>
                      <w:lang w:val="en-US" w:eastAsia="zh-CN"/>
                    </w:rPr>
                    <w:t>河，厂区办公用水来自厂区供水系统。</w:t>
                  </w:r>
                </w:p>
              </w:tc>
              <w:tc>
                <w:tcPr>
                  <w:tcW w:w="62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489" w:type="pct"/>
                  <w:gridSpan w:val="2"/>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供气</w:t>
                  </w: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厨房供气来源于市政燃气管道。</w:t>
                  </w:r>
                </w:p>
              </w:tc>
              <w:tc>
                <w:tcPr>
                  <w:tcW w:w="62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489" w:type="pct"/>
                  <w:gridSpan w:val="2"/>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排水</w:t>
                  </w: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雨污分流，雨水经厂区雨水管网收集后外排厂外河流；生活污水（食堂废水经隔油池处理）经化粪池处理后用于农肥，不外排；生产废水经排泥工程处理后回用于净水工程，不外排，因此</w:t>
                  </w:r>
                  <w:r>
                    <w:rPr>
                      <w:rFonts w:hint="default" w:ascii="Times New Roman" w:hAnsi="Times New Roman" w:cs="Times New Roman"/>
                      <w:color w:val="auto"/>
                      <w:sz w:val="21"/>
                      <w:szCs w:val="21"/>
                      <w:highlight w:val="none"/>
                      <w:lang w:val="en-US" w:eastAsia="zh-CN"/>
                    </w:rPr>
                    <w:t>项目无外排废水。</w:t>
                  </w:r>
                </w:p>
              </w:tc>
              <w:tc>
                <w:tcPr>
                  <w:tcW w:w="62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环保工程</w:t>
                  </w:r>
                </w:p>
              </w:tc>
              <w:tc>
                <w:tcPr>
                  <w:tcW w:w="489" w:type="pct"/>
                  <w:gridSpan w:val="2"/>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废气</w:t>
                  </w: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食堂油烟：项目食堂油烟经油烟净化器处理后通过排气管楼顶排放。</w:t>
                  </w:r>
                </w:p>
              </w:tc>
              <w:tc>
                <w:tcPr>
                  <w:tcW w:w="62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废油</w:t>
                  </w:r>
                </w:p>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489" w:type="pct"/>
                  <w:gridSpan w:val="2"/>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w:t>
                  </w: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生活污水（食堂废水经隔油池处理）经化粪池处理后用于农肥，不外排。</w:t>
                  </w:r>
                </w:p>
              </w:tc>
              <w:tc>
                <w:tcPr>
                  <w:tcW w:w="62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489" w:type="pct"/>
                  <w:gridSpan w:val="2"/>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874" w:type="pct"/>
                  <w:vAlign w:val="center"/>
                </w:tcPr>
                <w:p>
                  <w:pPr>
                    <w:keepNext w:val="0"/>
                    <w:keepLines w:val="0"/>
                    <w:pageBreakBefore w:val="0"/>
                    <w:kinsoku/>
                    <w:wordWrap/>
                    <w:overflowPunct/>
                    <w:topLinePunct w:val="0"/>
                    <w:autoSpaceDE/>
                    <w:autoSpaceDN/>
                    <w:bidi w:val="0"/>
                    <w:snapToGrid/>
                    <w:spacing w:line="240" w:lineRule="auto"/>
                    <w:ind w:left="0" w:leftChars="0"/>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项目在</w:t>
                  </w:r>
                  <w:r>
                    <w:rPr>
                      <w:rFonts w:hint="default" w:ascii="Times New Roman" w:hAnsi="Times New Roman" w:cs="Times New Roman"/>
                      <w:color w:val="auto"/>
                      <w:sz w:val="21"/>
                      <w:szCs w:val="21"/>
                      <w:highlight w:val="none"/>
                      <w:lang w:val="en-US" w:eastAsia="zh-CN"/>
                    </w:rPr>
                    <w:t>厂区西侧</w:t>
                  </w:r>
                  <w:r>
                    <w:rPr>
                      <w:rFonts w:hint="default" w:ascii="Times New Roman" w:hAnsi="Times New Roman" w:cs="Times New Roman"/>
                      <w:color w:val="auto"/>
                      <w:kern w:val="2"/>
                      <w:sz w:val="21"/>
                      <w:szCs w:val="21"/>
                      <w:highlight w:val="none"/>
                      <w:lang w:val="en-US" w:eastAsia="zh-CN" w:bidi="ar-SA"/>
                    </w:rPr>
                    <w:t>设置</w:t>
                  </w:r>
                  <w:r>
                    <w:rPr>
                      <w:rFonts w:hint="default" w:ascii="Times New Roman" w:hAnsi="Times New Roman" w:cs="Times New Roman" w:eastAsiaTheme="minorEastAsia"/>
                      <w:color w:val="auto"/>
                      <w:kern w:val="2"/>
                      <w:sz w:val="21"/>
                      <w:szCs w:val="21"/>
                      <w:highlight w:val="none"/>
                      <w:lang w:val="en-US" w:eastAsia="zh-CN" w:bidi="ar-SA"/>
                    </w:rPr>
                    <w:t>泥水综合体</w:t>
                  </w:r>
                  <w:r>
                    <w:rPr>
                      <w:rFonts w:hint="default" w:ascii="Times New Roman" w:hAnsi="Times New Roman" w:cs="Times New Roman"/>
                      <w:color w:val="auto"/>
                      <w:kern w:val="2"/>
                      <w:sz w:val="21"/>
                      <w:szCs w:val="21"/>
                      <w:highlight w:val="none"/>
                      <w:lang w:val="en-US" w:eastAsia="zh-CN" w:bidi="ar-SA"/>
                    </w:rPr>
                    <w:t>1座处理生产过程中产生的生产废水。项目排泥水和反冲洗废水经泥水混合池收集后，经泵提升至浓缩池进行浓缩，其上清液回用至预沉池，底部泥水进入脱水间脱水，其脱水滤液回到泥水混合池，生产废水循环使用，不外排。</w:t>
                  </w:r>
                </w:p>
              </w:tc>
              <w:tc>
                <w:tcPr>
                  <w:tcW w:w="62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泥饼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489" w:type="pct"/>
                  <w:gridSpan w:val="2"/>
                  <w:vAlign w:val="center"/>
                </w:tcPr>
                <w:p>
                  <w:pPr>
                    <w:keepNext w:val="0"/>
                    <w:keepLines w:val="0"/>
                    <w:pageBreakBefore w:val="0"/>
                    <w:tabs>
                      <w:tab w:val="left" w:pos="993"/>
                      <w:tab w:val="left" w:pos="1134"/>
                    </w:tabs>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固废</w:t>
                  </w:r>
                </w:p>
              </w:tc>
              <w:tc>
                <w:tcPr>
                  <w:tcW w:w="2874" w:type="pct"/>
                  <w:vAlign w:val="center"/>
                </w:tcPr>
                <w:p>
                  <w:pPr>
                    <w:keepNext w:val="0"/>
                    <w:keepLines w:val="0"/>
                    <w:pageBreakBefore w:val="0"/>
                    <w:tabs>
                      <w:tab w:val="left" w:pos="993"/>
                      <w:tab w:val="left" w:pos="1134"/>
                    </w:tabs>
                    <w:kinsoku/>
                    <w:wordWrap/>
                    <w:overflowPunct/>
                    <w:topLinePunct w:val="0"/>
                    <w:autoSpaceDE/>
                    <w:autoSpaceDN/>
                    <w:bidi w:val="0"/>
                    <w:snapToGrid/>
                    <w:spacing w:line="240" w:lineRule="auto"/>
                    <w:ind w:left="0" w:left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一般固废：</w:t>
                  </w:r>
                  <w:r>
                    <w:rPr>
                      <w:rFonts w:hint="default" w:ascii="Times New Roman" w:hAnsi="Times New Roman" w:cs="Times New Roman"/>
                      <w:color w:val="auto"/>
                      <w:sz w:val="21"/>
                      <w:szCs w:val="21"/>
                      <w:highlight w:val="none"/>
                    </w:rPr>
                    <w:t>生活垃圾经袋装收集后定期交由环卫部门统一清运</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餐厨垃圾委托有合法手续的餐厨垃圾处置单位进行处置；栅渣及沉砂、</w:t>
                  </w:r>
                  <w:r>
                    <w:rPr>
                      <w:rFonts w:hint="default" w:ascii="Times New Roman" w:hAnsi="Times New Roman" w:cs="Times New Roman"/>
                      <w:color w:val="auto"/>
                      <w:sz w:val="21"/>
                      <w:szCs w:val="21"/>
                      <w:highlight w:val="none"/>
                    </w:rPr>
                    <w:t>污泥</w:t>
                  </w:r>
                  <w:r>
                    <w:rPr>
                      <w:rFonts w:hint="default" w:ascii="Times New Roman" w:hAnsi="Times New Roman" w:cs="Times New Roman"/>
                      <w:color w:val="auto"/>
                      <w:sz w:val="21"/>
                      <w:szCs w:val="21"/>
                      <w:highlight w:val="none"/>
                      <w:lang w:val="en-US" w:eastAsia="zh-CN"/>
                    </w:rPr>
                    <w:t>定期运往宣汉县生活垃圾填埋场处理；</w:t>
                  </w:r>
                  <w:r>
                    <w:rPr>
                      <w:rFonts w:hint="default" w:ascii="Times New Roman" w:hAnsi="Times New Roman" w:cs="Times New Roman"/>
                      <w:color w:val="auto"/>
                      <w:sz w:val="21"/>
                      <w:szCs w:val="21"/>
                      <w:highlight w:val="none"/>
                    </w:rPr>
                    <w:t>V型滤池废填料</w:t>
                  </w:r>
                  <w:r>
                    <w:rPr>
                      <w:rFonts w:hint="default" w:ascii="Times New Roman" w:hAnsi="Times New Roman" w:cs="Times New Roman"/>
                      <w:color w:val="auto"/>
                      <w:sz w:val="21"/>
                      <w:szCs w:val="21"/>
                      <w:highlight w:val="none"/>
                      <w:lang w:eastAsia="zh-CN"/>
                    </w:rPr>
                    <w:t>交由厂商回收处理；</w:t>
                  </w:r>
                  <w:r>
                    <w:rPr>
                      <w:rFonts w:hint="default" w:ascii="Times New Roman" w:hAnsi="Times New Roman" w:cs="Times New Roman"/>
                      <w:color w:val="auto"/>
                      <w:sz w:val="21"/>
                      <w:szCs w:val="21"/>
                      <w:highlight w:val="none"/>
                    </w:rPr>
                    <w:t>废包装材料</w:t>
                  </w:r>
                  <w:r>
                    <w:rPr>
                      <w:rFonts w:hint="default" w:ascii="Times New Roman" w:hAnsi="Times New Roman" w:cs="Times New Roman"/>
                      <w:color w:val="auto"/>
                      <w:sz w:val="21"/>
                      <w:szCs w:val="21"/>
                      <w:highlight w:val="none"/>
                      <w:lang w:eastAsia="zh-CN"/>
                    </w:rPr>
                    <w:t>定期交由废品收购站回收。</w:t>
                  </w:r>
                  <w:r>
                    <w:rPr>
                      <w:rFonts w:hint="default" w:ascii="Times New Roman" w:hAnsi="Times New Roman" w:cs="Times New Roman"/>
                      <w:b/>
                      <w:bCs/>
                      <w:color w:val="auto"/>
                      <w:sz w:val="21"/>
                      <w:szCs w:val="21"/>
                      <w:highlight w:val="none"/>
                      <w:lang w:val="en-US" w:eastAsia="zh-CN"/>
                    </w:rPr>
                    <w:t>项目无危险废物产生。</w:t>
                  </w:r>
                </w:p>
              </w:tc>
              <w:tc>
                <w:tcPr>
                  <w:tcW w:w="62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489" w:type="pct"/>
                  <w:gridSpan w:val="2"/>
                  <w:vAlign w:val="center"/>
                </w:tcPr>
                <w:p>
                  <w:pPr>
                    <w:keepNext w:val="0"/>
                    <w:keepLines w:val="0"/>
                    <w:pageBreakBefore w:val="0"/>
                    <w:tabs>
                      <w:tab w:val="left" w:pos="993"/>
                      <w:tab w:val="left" w:pos="1134"/>
                    </w:tabs>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噪声</w:t>
                  </w:r>
                </w:p>
              </w:tc>
              <w:tc>
                <w:tcPr>
                  <w:tcW w:w="2874" w:type="pct"/>
                  <w:vAlign w:val="center"/>
                </w:tcPr>
                <w:p>
                  <w:pPr>
                    <w:keepNext w:val="0"/>
                    <w:keepLines w:val="0"/>
                    <w:pageBreakBefore w:val="0"/>
                    <w:tabs>
                      <w:tab w:val="left" w:pos="993"/>
                      <w:tab w:val="left" w:pos="1134"/>
                    </w:tabs>
                    <w:kinsoku/>
                    <w:wordWrap/>
                    <w:overflowPunct/>
                    <w:topLinePunct w:val="0"/>
                    <w:autoSpaceDE/>
                    <w:autoSpaceDN/>
                    <w:bidi w:val="0"/>
                    <w:snapToGrid/>
                    <w:spacing w:line="240" w:lineRule="auto"/>
                    <w:ind w:left="0" w:leftChars="0"/>
                    <w:jc w:val="left"/>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sz w:val="21"/>
                      <w:szCs w:val="21"/>
                      <w:highlight w:val="none"/>
                    </w:rPr>
                    <w:t>选用低噪声设备；各类污水泵采用潜水泵，噪声源位于液面以下；高噪声设备置于单独的房间内，安装设备减震器</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消音器</w:t>
                  </w:r>
                  <w:r>
                    <w:rPr>
                      <w:rFonts w:hint="default" w:ascii="Times New Roman" w:hAnsi="Times New Roman" w:cs="Times New Roman"/>
                      <w:color w:val="auto"/>
                      <w:sz w:val="21"/>
                      <w:szCs w:val="21"/>
                      <w:highlight w:val="none"/>
                    </w:rPr>
                    <w:t>加强管理，通过隔声和距离衰减使噪声达标</w:t>
                  </w:r>
                  <w:r>
                    <w:rPr>
                      <w:rFonts w:hint="default" w:ascii="Times New Roman" w:hAnsi="Times New Roman" w:cs="Times New Roman"/>
                      <w:color w:val="auto"/>
                      <w:sz w:val="21"/>
                      <w:szCs w:val="21"/>
                      <w:highlight w:val="none"/>
                      <w:lang w:eastAsia="zh-CN"/>
                    </w:rPr>
                    <w:t>。</w:t>
                  </w:r>
                </w:p>
              </w:tc>
              <w:tc>
                <w:tcPr>
                  <w:tcW w:w="62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p>
              </w:tc>
              <w:tc>
                <w:tcPr>
                  <w:tcW w:w="623"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489" w:type="pct"/>
                  <w:gridSpan w:val="2"/>
                  <w:vMerge w:val="restart"/>
                  <w:vAlign w:val="center"/>
                </w:tcPr>
                <w:p>
                  <w:pPr>
                    <w:keepNext w:val="0"/>
                    <w:keepLines w:val="0"/>
                    <w:pageBreakBefore w:val="0"/>
                    <w:tabs>
                      <w:tab w:val="left" w:pos="993"/>
                      <w:tab w:val="left" w:pos="1134"/>
                    </w:tabs>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地下水防渗</w:t>
                  </w:r>
                </w:p>
              </w:tc>
              <w:tc>
                <w:tcPr>
                  <w:tcW w:w="2874" w:type="pct"/>
                  <w:vAlign w:val="center"/>
                </w:tcPr>
                <w:p>
                  <w:pPr>
                    <w:keepNext w:val="0"/>
                    <w:keepLines w:val="0"/>
                    <w:pageBreakBefore w:val="0"/>
                    <w:tabs>
                      <w:tab w:val="left" w:pos="993"/>
                      <w:tab w:val="left" w:pos="1134"/>
                    </w:tabs>
                    <w:kinsoku/>
                    <w:wordWrap/>
                    <w:overflowPunct/>
                    <w:topLinePunct w:val="0"/>
                    <w:autoSpaceDE/>
                    <w:autoSpaceDN/>
                    <w:bidi w:val="0"/>
                    <w:snapToGrid/>
                    <w:spacing w:line="240" w:lineRule="auto"/>
                    <w:ind w:left="0" w:leftChars="0"/>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重点防渗区：加氯间、原料储备间</w:t>
                  </w:r>
                  <w:r>
                    <w:rPr>
                      <w:rFonts w:hint="default" w:ascii="Times New Roman" w:hAnsi="Times New Roman" w:eastAsia="宋体" w:cs="Times New Roman"/>
                      <w:color w:val="auto"/>
                      <w:kern w:val="2"/>
                      <w:sz w:val="21"/>
                      <w:szCs w:val="21"/>
                      <w:highlight w:val="none"/>
                    </w:rPr>
                    <w:t>采用</w:t>
                  </w:r>
                  <w:r>
                    <w:rPr>
                      <w:rFonts w:hint="default" w:ascii="Times New Roman" w:hAnsi="Times New Roman" w:cs="Times New Roman"/>
                      <w:color w:val="auto"/>
                      <w:sz w:val="21"/>
                      <w:szCs w:val="21"/>
                      <w:highlight w:val="none"/>
                    </w:rPr>
                    <w:t>防渗混凝土+2mm厚HDPE防渗层进行防渗、防腐处理</w:t>
                  </w:r>
                  <w:r>
                    <w:rPr>
                      <w:rFonts w:hint="default" w:ascii="Times New Roman" w:hAnsi="Times New Roman" w:cs="Times New Roman"/>
                      <w:color w:val="auto"/>
                      <w:sz w:val="21"/>
                      <w:szCs w:val="21"/>
                      <w:highlight w:val="none"/>
                      <w:lang w:eastAsia="zh-CN"/>
                    </w:rPr>
                    <w:t>。</w:t>
                  </w:r>
                </w:p>
              </w:tc>
              <w:tc>
                <w:tcPr>
                  <w:tcW w:w="62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p>
              </w:tc>
              <w:tc>
                <w:tcPr>
                  <w:tcW w:w="623"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489" w:type="pct"/>
                  <w:gridSpan w:val="2"/>
                  <w:vMerge w:val="continue"/>
                  <w:vAlign w:val="center"/>
                </w:tcPr>
                <w:p>
                  <w:pPr>
                    <w:keepNext w:val="0"/>
                    <w:keepLines w:val="0"/>
                    <w:pageBreakBefore w:val="0"/>
                    <w:tabs>
                      <w:tab w:val="left" w:pos="993"/>
                      <w:tab w:val="left" w:pos="1134"/>
                    </w:tabs>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p>
              </w:tc>
              <w:tc>
                <w:tcPr>
                  <w:tcW w:w="2874" w:type="pct"/>
                  <w:vAlign w:val="center"/>
                </w:tcPr>
                <w:p>
                  <w:pPr>
                    <w:keepNext w:val="0"/>
                    <w:keepLines w:val="0"/>
                    <w:pageBreakBefore w:val="0"/>
                    <w:tabs>
                      <w:tab w:val="left" w:pos="993"/>
                      <w:tab w:val="left" w:pos="1134"/>
                    </w:tabs>
                    <w:kinsoku/>
                    <w:wordWrap/>
                    <w:overflowPunct/>
                    <w:topLinePunct w:val="0"/>
                    <w:autoSpaceDE/>
                    <w:autoSpaceDN/>
                    <w:bidi w:val="0"/>
                    <w:snapToGrid/>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一般防渗区：预沉池、清水池、泥水混合池、浓缩池、泥渣泵房、贮泥池、脱水间及回收泵井、泥棚、PAC投加间、PAM投加间、反冲洗泵房、</w:t>
                  </w:r>
                  <w:r>
                    <w:rPr>
                      <w:rFonts w:hint="default" w:ascii="Times New Roman" w:hAnsi="Times New Roman" w:cs="Times New Roman"/>
                      <w:color w:val="auto"/>
                      <w:sz w:val="21"/>
                      <w:szCs w:val="21"/>
                      <w:highlight w:val="none"/>
                    </w:rPr>
                    <w:t>化粪池</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隔油池</w:t>
                  </w:r>
                  <w:r>
                    <w:rPr>
                      <w:rFonts w:hint="default" w:ascii="Times New Roman" w:hAnsi="Times New Roman" w:eastAsia="宋体" w:cs="Times New Roman"/>
                      <w:color w:val="auto"/>
                      <w:sz w:val="21"/>
                      <w:szCs w:val="21"/>
                      <w:highlight w:val="none"/>
                      <w:lang w:val="en-US" w:eastAsia="zh-CN" w:bidi="ar"/>
                    </w:rPr>
                    <w:t>等采用25cmC30防渗混凝土防渗。</w:t>
                  </w:r>
                </w:p>
              </w:tc>
              <w:tc>
                <w:tcPr>
                  <w:tcW w:w="62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p>
              </w:tc>
              <w:tc>
                <w:tcPr>
                  <w:tcW w:w="623"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8"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489" w:type="pct"/>
                  <w:gridSpan w:val="2"/>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874" w:type="pct"/>
                  <w:vAlign w:val="center"/>
                </w:tcPr>
                <w:p>
                  <w:pPr>
                    <w:keepNext w:val="0"/>
                    <w:keepLines w:val="0"/>
                    <w:pageBreakBefore w:val="0"/>
                    <w:tabs>
                      <w:tab w:val="left" w:pos="993"/>
                      <w:tab w:val="left" w:pos="1134"/>
                    </w:tabs>
                    <w:kinsoku/>
                    <w:wordWrap/>
                    <w:overflowPunct/>
                    <w:topLinePunct w:val="0"/>
                    <w:autoSpaceDE/>
                    <w:autoSpaceDN/>
                    <w:bidi w:val="0"/>
                    <w:snapToGrid/>
                    <w:spacing w:line="240" w:lineRule="auto"/>
                    <w:ind w:left="0"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简单防渗区：</w:t>
                  </w:r>
                  <w:r>
                    <w:rPr>
                      <w:rFonts w:hint="default" w:ascii="Times New Roman" w:hAnsi="Times New Roman" w:cs="Times New Roman"/>
                      <w:color w:val="auto"/>
                      <w:sz w:val="21"/>
                      <w:szCs w:val="21"/>
                      <w:highlight w:val="none"/>
                      <w:lang w:eastAsia="zh-CN"/>
                    </w:rPr>
                    <w:t>综合楼、厂区道路、除重点及一般防渗区以外的区域</w:t>
                  </w:r>
                  <w:r>
                    <w:rPr>
                      <w:rFonts w:hint="default" w:ascii="Times New Roman" w:hAnsi="Times New Roman" w:eastAsia="宋体" w:cs="Times New Roman"/>
                      <w:color w:val="auto"/>
                      <w:sz w:val="21"/>
                      <w:szCs w:val="21"/>
                      <w:highlight w:val="none"/>
                    </w:rPr>
                    <w:t>采用</w:t>
                  </w:r>
                  <w:r>
                    <w:rPr>
                      <w:rFonts w:hint="default" w:ascii="Times New Roman" w:hAnsi="Times New Roman" w:cs="Times New Roman"/>
                      <w:color w:val="auto"/>
                      <w:sz w:val="21"/>
                      <w:szCs w:val="21"/>
                      <w:highlight w:val="none"/>
                      <w:lang w:val="en-US" w:eastAsia="zh-CN"/>
                    </w:rPr>
                    <w:t>混凝土</w:t>
                  </w:r>
                  <w:r>
                    <w:rPr>
                      <w:rFonts w:hint="default" w:ascii="Times New Roman" w:hAnsi="Times New Roman" w:eastAsia="宋体" w:cs="Times New Roman"/>
                      <w:color w:val="auto"/>
                      <w:sz w:val="21"/>
                      <w:szCs w:val="21"/>
                      <w:highlight w:val="none"/>
                      <w:lang w:val="en-US" w:eastAsia="zh-CN"/>
                    </w:rPr>
                    <w:t>硬化。</w:t>
                  </w:r>
                </w:p>
              </w:tc>
              <w:tc>
                <w:tcPr>
                  <w:tcW w:w="62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p>
              </w:tc>
              <w:tc>
                <w:tcPr>
                  <w:tcW w:w="623"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rPr>
                  </w:pPr>
                </w:p>
              </w:tc>
            </w:tr>
          </w:tbl>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4、项目主要工程量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项目供水厂主要工程量及材料见下表。</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szCs w:val="21"/>
                <w:highlight w:val="none"/>
                <w:lang w:val="en-US" w:eastAsia="zh-CN"/>
              </w:rPr>
              <w:t>2</w:t>
            </w:r>
            <w:r>
              <w:rPr>
                <w:rFonts w:hint="default" w:ascii="Times New Roman" w:hAnsi="Times New Roman" w:eastAsia="黑体" w:cs="Times New Roman"/>
                <w:color w:val="auto"/>
                <w:szCs w:val="21"/>
                <w:highlight w:val="none"/>
              </w:rPr>
              <w:t>-</w:t>
            </w:r>
            <w:r>
              <w:rPr>
                <w:rFonts w:hint="eastAsia" w:ascii="Times New Roman" w:hAnsi="Times New Roman" w:eastAsia="黑体" w:cs="Times New Roman"/>
                <w:color w:val="auto"/>
                <w:szCs w:val="21"/>
                <w:highlight w:val="none"/>
                <w:lang w:val="en-US" w:eastAsia="zh-CN"/>
              </w:rPr>
              <w:t xml:space="preserve">3 </w:t>
            </w:r>
            <w:r>
              <w:rPr>
                <w:rFonts w:hint="default" w:ascii="Times New Roman" w:hAnsi="Times New Roman" w:eastAsia="黑体" w:cs="Times New Roman"/>
                <w:color w:val="auto"/>
                <w:szCs w:val="21"/>
                <w:highlight w:val="none"/>
                <w:lang w:val="en-US" w:eastAsia="zh-CN"/>
              </w:rPr>
              <w:t>项目供水厂主要构（建）筑物一览表</w:t>
            </w:r>
          </w:p>
          <w:tbl>
            <w:tblPr>
              <w:tblStyle w:val="1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696"/>
              <w:gridCol w:w="1868"/>
              <w:gridCol w:w="1191"/>
              <w:gridCol w:w="733"/>
              <w:gridCol w:w="732"/>
              <w:gridCol w:w="1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5" w:type="dxa"/>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序号</w:t>
                  </w:r>
                </w:p>
              </w:tc>
              <w:tc>
                <w:tcPr>
                  <w:tcW w:w="167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名称</w:t>
                  </w:r>
                </w:p>
              </w:tc>
              <w:tc>
                <w:tcPr>
                  <w:tcW w:w="184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尺寸</w:t>
                  </w:r>
                </w:p>
              </w:tc>
              <w:tc>
                <w:tcPr>
                  <w:tcW w:w="1177"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结构形式</w:t>
                  </w:r>
                </w:p>
              </w:tc>
              <w:tc>
                <w:tcPr>
                  <w:tcW w:w="724"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单位</w:t>
                  </w:r>
                </w:p>
              </w:tc>
              <w:tc>
                <w:tcPr>
                  <w:tcW w:w="723"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数量</w:t>
                  </w:r>
                </w:p>
              </w:tc>
              <w:tc>
                <w:tcPr>
                  <w:tcW w:w="1799"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5" w:type="dxa"/>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67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预沉池</w:t>
                  </w:r>
                </w:p>
              </w:tc>
              <w:tc>
                <w:tcPr>
                  <w:tcW w:w="184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12.4×4.0×6.75m</w:t>
                  </w:r>
                  <w:r>
                    <w:rPr>
                      <w:rFonts w:hint="default" w:ascii="Times New Roman" w:hAnsi="Times New Roman" w:cs="Times New Roman"/>
                      <w:color w:val="auto"/>
                      <w:sz w:val="21"/>
                      <w:szCs w:val="21"/>
                      <w:highlight w:val="none"/>
                      <w:vertAlign w:val="superscript"/>
                      <w:lang w:val="en-US" w:eastAsia="zh-CN"/>
                    </w:rPr>
                    <w:t>3</w:t>
                  </w:r>
                </w:p>
              </w:tc>
              <w:tc>
                <w:tcPr>
                  <w:tcW w:w="1177"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钢筋砼</w:t>
                  </w:r>
                </w:p>
              </w:tc>
              <w:tc>
                <w:tcPr>
                  <w:tcW w:w="724"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color w:val="auto"/>
                      <w:sz w:val="21"/>
                      <w:szCs w:val="21"/>
                      <w:highlight w:val="none"/>
                      <w:lang w:val="en-US" w:eastAsia="zh-CN"/>
                    </w:rPr>
                    <w:t>座</w:t>
                  </w:r>
                </w:p>
              </w:tc>
              <w:tc>
                <w:tcPr>
                  <w:tcW w:w="723"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799"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color w:val="auto"/>
                      <w:sz w:val="21"/>
                      <w:szCs w:val="21"/>
                      <w:highlight w:val="none"/>
                      <w:lang w:val="en-US" w:eastAsia="zh-CN"/>
                    </w:rPr>
                    <w:t>分2格，上部设3.3m遮阳棚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5" w:type="dxa"/>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67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一体化处理设施及清水池</w:t>
                  </w:r>
                </w:p>
              </w:tc>
              <w:tc>
                <w:tcPr>
                  <w:tcW w:w="184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22.0×18.6×4.3m</w:t>
                  </w:r>
                  <w:r>
                    <w:rPr>
                      <w:rFonts w:hint="default" w:ascii="Times New Roman" w:hAnsi="Times New Roman" w:cs="Times New Roman"/>
                      <w:color w:val="auto"/>
                      <w:sz w:val="21"/>
                      <w:szCs w:val="21"/>
                      <w:highlight w:val="none"/>
                      <w:vertAlign w:val="superscript"/>
                      <w:lang w:val="en-US" w:eastAsia="zh-CN"/>
                    </w:rPr>
                    <w:t>3</w:t>
                  </w:r>
                </w:p>
              </w:tc>
              <w:tc>
                <w:tcPr>
                  <w:tcW w:w="1177"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钢筋砼</w:t>
                  </w:r>
                </w:p>
              </w:tc>
              <w:tc>
                <w:tcPr>
                  <w:tcW w:w="724"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color w:val="auto"/>
                      <w:sz w:val="21"/>
                      <w:szCs w:val="21"/>
                      <w:highlight w:val="none"/>
                      <w:lang w:val="en-US" w:eastAsia="zh-CN"/>
                    </w:rPr>
                    <w:t>座</w:t>
                  </w:r>
                </w:p>
              </w:tc>
              <w:tc>
                <w:tcPr>
                  <w:tcW w:w="723"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799"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color w:val="auto"/>
                      <w:sz w:val="21"/>
                      <w:szCs w:val="21"/>
                      <w:highlight w:val="none"/>
                      <w:lang w:val="en-US" w:eastAsia="zh-CN"/>
                    </w:rPr>
                    <w:t>分2格，上部设7.2m遮阳棚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5" w:type="dxa"/>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167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泥水综合体</w:t>
                  </w:r>
                </w:p>
              </w:tc>
              <w:tc>
                <w:tcPr>
                  <w:tcW w:w="184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12.6×10.3×11.5m</w:t>
                  </w:r>
                  <w:r>
                    <w:rPr>
                      <w:rFonts w:hint="default" w:ascii="Times New Roman" w:hAnsi="Times New Roman" w:cs="Times New Roman"/>
                      <w:color w:val="auto"/>
                      <w:sz w:val="21"/>
                      <w:szCs w:val="21"/>
                      <w:highlight w:val="none"/>
                      <w:vertAlign w:val="superscript"/>
                      <w:lang w:val="en-US" w:eastAsia="zh-CN"/>
                    </w:rPr>
                    <w:t>3</w:t>
                  </w:r>
                </w:p>
              </w:tc>
              <w:tc>
                <w:tcPr>
                  <w:tcW w:w="1177"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钢筋砼</w:t>
                  </w:r>
                </w:p>
              </w:tc>
              <w:tc>
                <w:tcPr>
                  <w:tcW w:w="724"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color w:val="auto"/>
                      <w:sz w:val="21"/>
                      <w:szCs w:val="21"/>
                      <w:highlight w:val="none"/>
                      <w:lang w:val="en-US" w:eastAsia="zh-CN"/>
                    </w:rPr>
                    <w:t>座</w:t>
                  </w:r>
                </w:p>
              </w:tc>
              <w:tc>
                <w:tcPr>
                  <w:tcW w:w="723"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799"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color w:val="auto"/>
                      <w:sz w:val="21"/>
                      <w:szCs w:val="21"/>
                      <w:highlight w:val="none"/>
                      <w:lang w:val="en-US" w:eastAsia="zh-CN"/>
                    </w:rPr>
                    <w:t>分3格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5" w:type="dxa"/>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167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辅助生产用房</w:t>
                  </w:r>
                </w:p>
              </w:tc>
              <w:tc>
                <w:tcPr>
                  <w:tcW w:w="184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32.7×6.9×5.1m</w:t>
                  </w:r>
                  <w:r>
                    <w:rPr>
                      <w:rFonts w:hint="default" w:ascii="Times New Roman" w:hAnsi="Times New Roman" w:cs="Times New Roman"/>
                      <w:color w:val="auto"/>
                      <w:sz w:val="21"/>
                      <w:szCs w:val="21"/>
                      <w:highlight w:val="none"/>
                      <w:vertAlign w:val="superscript"/>
                      <w:lang w:val="en-US" w:eastAsia="zh-CN"/>
                    </w:rPr>
                    <w:t>3</w:t>
                  </w:r>
                </w:p>
              </w:tc>
              <w:tc>
                <w:tcPr>
                  <w:tcW w:w="1177"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钢筋砼</w:t>
                  </w:r>
                </w:p>
              </w:tc>
              <w:tc>
                <w:tcPr>
                  <w:tcW w:w="724"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color w:val="auto"/>
                      <w:sz w:val="21"/>
                      <w:szCs w:val="21"/>
                      <w:highlight w:val="none"/>
                      <w:lang w:val="en-US" w:eastAsia="zh-CN"/>
                    </w:rPr>
                    <w:t>座</w:t>
                  </w:r>
                </w:p>
              </w:tc>
              <w:tc>
                <w:tcPr>
                  <w:tcW w:w="723"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799"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5" w:type="dxa"/>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167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综合楼</w:t>
                  </w:r>
                </w:p>
              </w:tc>
              <w:tc>
                <w:tcPr>
                  <w:tcW w:w="184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571.26m</w:t>
                  </w:r>
                  <w:r>
                    <w:rPr>
                      <w:rFonts w:hint="default" w:ascii="Times New Roman" w:hAnsi="Times New Roman" w:cs="Times New Roman"/>
                      <w:color w:val="auto"/>
                      <w:sz w:val="21"/>
                      <w:szCs w:val="21"/>
                      <w:highlight w:val="none"/>
                      <w:vertAlign w:val="superscript"/>
                      <w:lang w:val="en-US" w:eastAsia="zh-CN"/>
                    </w:rPr>
                    <w:t>2</w:t>
                  </w:r>
                </w:p>
              </w:tc>
              <w:tc>
                <w:tcPr>
                  <w:tcW w:w="1177"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框架</w:t>
                  </w:r>
                </w:p>
              </w:tc>
              <w:tc>
                <w:tcPr>
                  <w:tcW w:w="724"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座</w:t>
                  </w:r>
                </w:p>
              </w:tc>
              <w:tc>
                <w:tcPr>
                  <w:tcW w:w="723"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p>
              </w:tc>
              <w:tc>
                <w:tcPr>
                  <w:tcW w:w="1799"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color w:val="auto"/>
                      <w:sz w:val="21"/>
                      <w:szCs w:val="21"/>
                      <w:highlight w:val="none"/>
                      <w:lang w:val="en-US" w:eastAsia="zh-CN"/>
                    </w:rPr>
                    <w:t>3层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5" w:type="dxa"/>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167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电动大门</w:t>
                  </w:r>
                </w:p>
              </w:tc>
              <w:tc>
                <w:tcPr>
                  <w:tcW w:w="184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6m</w:t>
                  </w:r>
                </w:p>
              </w:tc>
              <w:tc>
                <w:tcPr>
                  <w:tcW w:w="1177"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724"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座</w:t>
                  </w:r>
                </w:p>
              </w:tc>
              <w:tc>
                <w:tcPr>
                  <w:tcW w:w="723"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p>
              </w:tc>
              <w:tc>
                <w:tcPr>
                  <w:tcW w:w="1799"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项目取水泵房主要工程量及材料见下表</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szCs w:val="21"/>
                <w:highlight w:val="none"/>
                <w:lang w:val="en-US" w:eastAsia="zh-CN"/>
              </w:rPr>
              <w:t>2</w:t>
            </w:r>
            <w:r>
              <w:rPr>
                <w:rFonts w:hint="default" w:ascii="Times New Roman" w:hAnsi="Times New Roman" w:eastAsia="黑体" w:cs="Times New Roman"/>
                <w:color w:val="auto"/>
                <w:szCs w:val="21"/>
                <w:highlight w:val="none"/>
              </w:rPr>
              <w:t>-</w:t>
            </w:r>
            <w:r>
              <w:rPr>
                <w:rFonts w:hint="eastAsia" w:ascii="Times New Roman" w:hAnsi="Times New Roman" w:eastAsia="黑体" w:cs="Times New Roman"/>
                <w:color w:val="auto"/>
                <w:szCs w:val="21"/>
                <w:highlight w:val="none"/>
                <w:lang w:val="en-US" w:eastAsia="zh-CN"/>
              </w:rPr>
              <w:t xml:space="preserve">4 </w:t>
            </w:r>
            <w:r>
              <w:rPr>
                <w:rFonts w:hint="default" w:ascii="Times New Roman" w:hAnsi="Times New Roman" w:eastAsia="黑体" w:cs="Times New Roman"/>
                <w:color w:val="auto"/>
                <w:szCs w:val="21"/>
                <w:highlight w:val="none"/>
                <w:lang w:val="en-US" w:eastAsia="zh-CN"/>
              </w:rPr>
              <w:t>项目取水泵房工程量表</w:t>
            </w:r>
          </w:p>
          <w:tbl>
            <w:tblPr>
              <w:tblStyle w:val="1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2227"/>
              <w:gridCol w:w="1722"/>
              <w:gridCol w:w="2054"/>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770" w:type="dxa"/>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序号</w:t>
                  </w:r>
                </w:p>
              </w:tc>
              <w:tc>
                <w:tcPr>
                  <w:tcW w:w="2203"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名称</w:t>
                  </w:r>
                </w:p>
              </w:tc>
              <w:tc>
                <w:tcPr>
                  <w:tcW w:w="1704"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技术参数</w:t>
                  </w:r>
                </w:p>
              </w:tc>
              <w:tc>
                <w:tcPr>
                  <w:tcW w:w="2032"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单位</w:t>
                  </w:r>
                </w:p>
              </w:tc>
              <w:tc>
                <w:tcPr>
                  <w:tcW w:w="1899"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0" w:type="dxa"/>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1</w:t>
                  </w:r>
                </w:p>
              </w:tc>
              <w:tc>
                <w:tcPr>
                  <w:tcW w:w="2203"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泵房建筑面积</w:t>
                  </w:r>
                </w:p>
              </w:tc>
              <w:tc>
                <w:tcPr>
                  <w:tcW w:w="1704"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95.03</w:t>
                  </w:r>
                </w:p>
              </w:tc>
              <w:tc>
                <w:tcPr>
                  <w:tcW w:w="2032"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平方米</w:t>
                  </w:r>
                </w:p>
              </w:tc>
              <w:tc>
                <w:tcPr>
                  <w:tcW w:w="1899"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2</w:t>
                  </w:r>
                </w:p>
              </w:tc>
              <w:tc>
                <w:tcPr>
                  <w:tcW w:w="2203"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泵房占地面积</w:t>
                  </w:r>
                </w:p>
              </w:tc>
              <w:tc>
                <w:tcPr>
                  <w:tcW w:w="1704"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105.68</w:t>
                  </w:r>
                </w:p>
              </w:tc>
              <w:tc>
                <w:tcPr>
                  <w:tcW w:w="2032"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平方米</w:t>
                  </w:r>
                </w:p>
              </w:tc>
              <w:tc>
                <w:tcPr>
                  <w:tcW w:w="1899"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dxa"/>
                  <w:vAlign w:val="top"/>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3</w:t>
                  </w:r>
                </w:p>
              </w:tc>
              <w:tc>
                <w:tcPr>
                  <w:tcW w:w="2203" w:type="dxa"/>
                  <w:vAlign w:val="top"/>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箱变占地面积</w:t>
                  </w:r>
                </w:p>
              </w:tc>
              <w:tc>
                <w:tcPr>
                  <w:tcW w:w="1704"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30.00</w:t>
                  </w:r>
                </w:p>
              </w:tc>
              <w:tc>
                <w:tcPr>
                  <w:tcW w:w="2032"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平方米</w:t>
                  </w:r>
                </w:p>
              </w:tc>
              <w:tc>
                <w:tcPr>
                  <w:tcW w:w="1899"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dxa"/>
                  <w:vAlign w:val="top"/>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4</w:t>
                  </w:r>
                </w:p>
              </w:tc>
              <w:tc>
                <w:tcPr>
                  <w:tcW w:w="2203" w:type="dxa"/>
                  <w:vAlign w:val="top"/>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连接道路面积</w:t>
                  </w:r>
                </w:p>
              </w:tc>
              <w:tc>
                <w:tcPr>
                  <w:tcW w:w="1704"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100.00</w:t>
                  </w:r>
                </w:p>
              </w:tc>
              <w:tc>
                <w:tcPr>
                  <w:tcW w:w="2032"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平方米</w:t>
                  </w:r>
                </w:p>
              </w:tc>
              <w:tc>
                <w:tcPr>
                  <w:tcW w:w="1899"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3" w:type="dxa"/>
                  <w:vAlign w:val="top"/>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6</w:t>
                  </w:r>
                </w:p>
              </w:tc>
              <w:tc>
                <w:tcPr>
                  <w:tcW w:w="2203" w:type="dxa"/>
                  <w:vAlign w:val="top"/>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引桥</w:t>
                  </w:r>
                </w:p>
              </w:tc>
              <w:tc>
                <w:tcPr>
                  <w:tcW w:w="1704"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20</w:t>
                  </w:r>
                </w:p>
              </w:tc>
              <w:tc>
                <w:tcPr>
                  <w:tcW w:w="2032"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米</w:t>
                  </w:r>
                </w:p>
              </w:tc>
              <w:tc>
                <w:tcPr>
                  <w:tcW w:w="1899"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钢筋砼框架</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项目供水管道主要工程量及材料见下表。</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szCs w:val="21"/>
                <w:highlight w:val="none"/>
                <w:lang w:val="en-US" w:eastAsia="zh-CN"/>
              </w:rPr>
              <w:t>2</w:t>
            </w:r>
            <w:r>
              <w:rPr>
                <w:rFonts w:hint="default" w:ascii="Times New Roman" w:hAnsi="Times New Roman" w:eastAsia="黑体" w:cs="Times New Roman"/>
                <w:color w:val="auto"/>
                <w:szCs w:val="21"/>
                <w:highlight w:val="none"/>
              </w:rPr>
              <w:t>-</w:t>
            </w:r>
            <w:r>
              <w:rPr>
                <w:rFonts w:hint="eastAsia" w:ascii="Times New Roman" w:hAnsi="Times New Roman" w:eastAsia="黑体" w:cs="Times New Roman"/>
                <w:color w:val="auto"/>
                <w:szCs w:val="21"/>
                <w:highlight w:val="none"/>
                <w:lang w:val="en-US" w:eastAsia="zh-CN"/>
              </w:rPr>
              <w:t xml:space="preserve">5 </w:t>
            </w:r>
            <w:r>
              <w:rPr>
                <w:rFonts w:hint="default" w:ascii="Times New Roman" w:hAnsi="Times New Roman" w:eastAsia="黑体" w:cs="Times New Roman"/>
                <w:color w:val="auto"/>
                <w:szCs w:val="21"/>
                <w:highlight w:val="none"/>
                <w:lang w:val="en-US" w:eastAsia="zh-CN"/>
              </w:rPr>
              <w:t>项目供水管道主要工程量一览表</w:t>
            </w:r>
          </w:p>
          <w:tbl>
            <w:tblPr>
              <w:tblStyle w:val="1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2384"/>
              <w:gridCol w:w="2001"/>
              <w:gridCol w:w="1625"/>
              <w:gridCol w:w="749"/>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10" w:type="dxa"/>
                  <w:gridSpan w:val="2"/>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名称</w:t>
                  </w:r>
                </w:p>
              </w:tc>
              <w:tc>
                <w:tcPr>
                  <w:tcW w:w="2001"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规格</w:t>
                  </w:r>
                </w:p>
              </w:tc>
              <w:tc>
                <w:tcPr>
                  <w:tcW w:w="162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材质</w:t>
                  </w:r>
                </w:p>
              </w:tc>
              <w:tc>
                <w:tcPr>
                  <w:tcW w:w="749"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单位</w:t>
                  </w:r>
                </w:p>
              </w:tc>
              <w:tc>
                <w:tcPr>
                  <w:tcW w:w="1028"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6" w:type="dxa"/>
                  <w:vMerge w:val="restart"/>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原水输水管道</w:t>
                  </w:r>
                </w:p>
              </w:tc>
              <w:tc>
                <w:tcPr>
                  <w:tcW w:w="2384" w:type="dxa"/>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中河→供水厂</w:t>
                  </w:r>
                </w:p>
              </w:tc>
              <w:tc>
                <w:tcPr>
                  <w:tcW w:w="2001"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DN350</w:t>
                  </w:r>
                </w:p>
              </w:tc>
              <w:tc>
                <w:tcPr>
                  <w:tcW w:w="162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钢管</w:t>
                  </w:r>
                </w:p>
              </w:tc>
              <w:tc>
                <w:tcPr>
                  <w:tcW w:w="749"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m</w:t>
                  </w:r>
                </w:p>
              </w:tc>
              <w:tc>
                <w:tcPr>
                  <w:tcW w:w="1028"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1935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6" w:type="dxa"/>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6010" w:type="dxa"/>
                  <w:gridSpan w:val="3"/>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合计</w:t>
                  </w:r>
                </w:p>
              </w:tc>
              <w:tc>
                <w:tcPr>
                  <w:tcW w:w="749"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m</w:t>
                  </w:r>
                </w:p>
              </w:tc>
              <w:tc>
                <w:tcPr>
                  <w:tcW w:w="1028"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1935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6" w:type="dxa"/>
                  <w:vMerge w:val="restart"/>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乡镇配水管道</w:t>
                  </w:r>
                </w:p>
              </w:tc>
              <w:tc>
                <w:tcPr>
                  <w:tcW w:w="2384" w:type="dxa"/>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给水管</w:t>
                  </w:r>
                </w:p>
              </w:tc>
              <w:tc>
                <w:tcPr>
                  <w:tcW w:w="2001"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DN450</w:t>
                  </w:r>
                  <w:r>
                    <w:rPr>
                      <w:rFonts w:hint="default" w:ascii="Times New Roman" w:hAnsi="Times New Roman" w:cs="Times New Roman"/>
                      <w:color w:val="auto"/>
                      <w:kern w:val="2"/>
                      <w:sz w:val="21"/>
                      <w:szCs w:val="21"/>
                      <w:highlight w:val="none"/>
                      <w:lang w:val="en-US" w:eastAsia="zh-CN" w:bidi="ar-SA"/>
                    </w:rPr>
                    <w:t>，</w:t>
                  </w:r>
                  <w:r>
                    <w:rPr>
                      <w:rFonts w:hint="default" w:ascii="Times New Roman" w:hAnsi="Times New Roman" w:cs="Times New Roman"/>
                      <w:color w:val="auto"/>
                      <w:sz w:val="21"/>
                      <w:szCs w:val="21"/>
                      <w:highlight w:val="none"/>
                      <w:lang w:val="en-US" w:eastAsia="zh-CN"/>
                    </w:rPr>
                    <w:t>PN1.6MPa</w:t>
                  </w:r>
                </w:p>
              </w:tc>
              <w:tc>
                <w:tcPr>
                  <w:tcW w:w="162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球墨铸铁</w:t>
                  </w:r>
                </w:p>
              </w:tc>
              <w:tc>
                <w:tcPr>
                  <w:tcW w:w="749"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m</w:t>
                  </w:r>
                </w:p>
              </w:tc>
              <w:tc>
                <w:tcPr>
                  <w:tcW w:w="1028"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6" w:type="dxa"/>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384" w:type="dxa"/>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给水管</w:t>
                  </w:r>
                </w:p>
              </w:tc>
              <w:tc>
                <w:tcPr>
                  <w:tcW w:w="2001"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DN400</w:t>
                  </w:r>
                  <w:r>
                    <w:rPr>
                      <w:rFonts w:hint="default" w:ascii="Times New Roman" w:hAnsi="Times New Roman" w:cs="Times New Roman"/>
                      <w:color w:val="auto"/>
                      <w:kern w:val="2"/>
                      <w:sz w:val="21"/>
                      <w:szCs w:val="21"/>
                      <w:highlight w:val="none"/>
                      <w:lang w:val="en-US" w:eastAsia="zh-CN" w:bidi="ar-SA"/>
                    </w:rPr>
                    <w:t>，</w:t>
                  </w:r>
                  <w:r>
                    <w:rPr>
                      <w:rFonts w:hint="default" w:ascii="Times New Roman" w:hAnsi="Times New Roman" w:cs="Times New Roman"/>
                      <w:color w:val="auto"/>
                      <w:sz w:val="21"/>
                      <w:szCs w:val="21"/>
                      <w:highlight w:val="none"/>
                      <w:lang w:val="en-US" w:eastAsia="zh-CN"/>
                    </w:rPr>
                    <w:t>PN1.6MPa</w:t>
                  </w:r>
                </w:p>
              </w:tc>
              <w:tc>
                <w:tcPr>
                  <w:tcW w:w="162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球墨铸铁</w:t>
                  </w:r>
                </w:p>
              </w:tc>
              <w:tc>
                <w:tcPr>
                  <w:tcW w:w="749"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m</w:t>
                  </w:r>
                </w:p>
              </w:tc>
              <w:tc>
                <w:tcPr>
                  <w:tcW w:w="1028"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6" w:type="dxa"/>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384" w:type="dxa"/>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给水管</w:t>
                  </w:r>
                </w:p>
              </w:tc>
              <w:tc>
                <w:tcPr>
                  <w:tcW w:w="2001"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DN350</w:t>
                  </w:r>
                  <w:r>
                    <w:rPr>
                      <w:rFonts w:hint="default" w:ascii="Times New Roman" w:hAnsi="Times New Roman" w:cs="Times New Roman"/>
                      <w:color w:val="auto"/>
                      <w:kern w:val="2"/>
                      <w:sz w:val="21"/>
                      <w:szCs w:val="21"/>
                      <w:highlight w:val="none"/>
                      <w:lang w:val="en-US" w:eastAsia="zh-CN" w:bidi="ar-SA"/>
                    </w:rPr>
                    <w:t>，</w:t>
                  </w:r>
                  <w:r>
                    <w:rPr>
                      <w:rFonts w:hint="default" w:ascii="Times New Roman" w:hAnsi="Times New Roman" w:cs="Times New Roman"/>
                      <w:color w:val="auto"/>
                      <w:sz w:val="21"/>
                      <w:szCs w:val="21"/>
                      <w:highlight w:val="none"/>
                      <w:lang w:val="en-US" w:eastAsia="zh-CN"/>
                    </w:rPr>
                    <w:t>PN1.6MPa</w:t>
                  </w:r>
                </w:p>
              </w:tc>
              <w:tc>
                <w:tcPr>
                  <w:tcW w:w="162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球墨铸铁</w:t>
                  </w:r>
                </w:p>
              </w:tc>
              <w:tc>
                <w:tcPr>
                  <w:tcW w:w="749"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m</w:t>
                  </w:r>
                </w:p>
              </w:tc>
              <w:tc>
                <w:tcPr>
                  <w:tcW w:w="1028"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6" w:type="dxa"/>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384" w:type="dxa"/>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给水管</w:t>
                  </w:r>
                </w:p>
              </w:tc>
              <w:tc>
                <w:tcPr>
                  <w:tcW w:w="2001"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DN300</w:t>
                  </w:r>
                  <w:r>
                    <w:rPr>
                      <w:rFonts w:hint="default" w:ascii="Times New Roman" w:hAnsi="Times New Roman" w:cs="Times New Roman"/>
                      <w:color w:val="auto"/>
                      <w:kern w:val="2"/>
                      <w:sz w:val="21"/>
                      <w:szCs w:val="21"/>
                      <w:highlight w:val="none"/>
                      <w:lang w:val="en-US" w:eastAsia="zh-CN" w:bidi="ar-SA"/>
                    </w:rPr>
                    <w:t>，</w:t>
                  </w:r>
                  <w:r>
                    <w:rPr>
                      <w:rFonts w:hint="default" w:ascii="Times New Roman" w:hAnsi="Times New Roman" w:cs="Times New Roman"/>
                      <w:color w:val="auto"/>
                      <w:sz w:val="21"/>
                      <w:szCs w:val="21"/>
                      <w:highlight w:val="none"/>
                      <w:lang w:val="en-US" w:eastAsia="zh-CN"/>
                    </w:rPr>
                    <w:t>PN1.6MPa</w:t>
                  </w:r>
                </w:p>
              </w:tc>
              <w:tc>
                <w:tcPr>
                  <w:tcW w:w="162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聚乙烯复合管</w:t>
                  </w:r>
                </w:p>
              </w:tc>
              <w:tc>
                <w:tcPr>
                  <w:tcW w:w="749"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m</w:t>
                  </w:r>
                </w:p>
              </w:tc>
              <w:tc>
                <w:tcPr>
                  <w:tcW w:w="1028"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7128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6" w:type="dxa"/>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384" w:type="dxa"/>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给水管</w:t>
                  </w:r>
                </w:p>
              </w:tc>
              <w:tc>
                <w:tcPr>
                  <w:tcW w:w="2001"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DN200</w:t>
                  </w:r>
                  <w:r>
                    <w:rPr>
                      <w:rFonts w:hint="default" w:ascii="Times New Roman" w:hAnsi="Times New Roman" w:cs="Times New Roman"/>
                      <w:color w:val="auto"/>
                      <w:kern w:val="2"/>
                      <w:sz w:val="21"/>
                      <w:szCs w:val="21"/>
                      <w:highlight w:val="none"/>
                      <w:lang w:val="en-US" w:eastAsia="zh-CN" w:bidi="ar-SA"/>
                    </w:rPr>
                    <w:t>，</w:t>
                  </w:r>
                  <w:r>
                    <w:rPr>
                      <w:rFonts w:hint="default" w:ascii="Times New Roman" w:hAnsi="Times New Roman" w:cs="Times New Roman"/>
                      <w:color w:val="auto"/>
                      <w:sz w:val="21"/>
                      <w:szCs w:val="21"/>
                      <w:highlight w:val="none"/>
                      <w:lang w:val="en-US" w:eastAsia="zh-CN"/>
                    </w:rPr>
                    <w:t>PN1.6MPa</w:t>
                  </w:r>
                </w:p>
              </w:tc>
              <w:tc>
                <w:tcPr>
                  <w:tcW w:w="162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聚乙烯复合管</w:t>
                  </w:r>
                </w:p>
              </w:tc>
              <w:tc>
                <w:tcPr>
                  <w:tcW w:w="749"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m</w:t>
                  </w:r>
                </w:p>
              </w:tc>
              <w:tc>
                <w:tcPr>
                  <w:tcW w:w="1028"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5518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6" w:type="dxa"/>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384" w:type="dxa"/>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给水管</w:t>
                  </w:r>
                </w:p>
              </w:tc>
              <w:tc>
                <w:tcPr>
                  <w:tcW w:w="2001"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DN200</w:t>
                  </w:r>
                  <w:r>
                    <w:rPr>
                      <w:rFonts w:hint="default" w:ascii="Times New Roman" w:hAnsi="Times New Roman" w:cs="Times New Roman"/>
                      <w:color w:val="auto"/>
                      <w:kern w:val="2"/>
                      <w:sz w:val="21"/>
                      <w:szCs w:val="21"/>
                      <w:highlight w:val="none"/>
                      <w:lang w:val="en-US" w:eastAsia="zh-CN" w:bidi="ar-SA"/>
                    </w:rPr>
                    <w:t>，</w:t>
                  </w:r>
                  <w:r>
                    <w:rPr>
                      <w:rFonts w:hint="default" w:ascii="Times New Roman" w:hAnsi="Times New Roman" w:cs="Times New Roman"/>
                      <w:color w:val="auto"/>
                      <w:sz w:val="21"/>
                      <w:szCs w:val="21"/>
                      <w:highlight w:val="none"/>
                      <w:lang w:val="en-US" w:eastAsia="zh-CN"/>
                    </w:rPr>
                    <w:t>PN1.0MPa</w:t>
                  </w:r>
                </w:p>
              </w:tc>
              <w:tc>
                <w:tcPr>
                  <w:tcW w:w="162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聚乙烯复合管</w:t>
                  </w:r>
                </w:p>
              </w:tc>
              <w:tc>
                <w:tcPr>
                  <w:tcW w:w="749"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m</w:t>
                  </w:r>
                </w:p>
              </w:tc>
              <w:tc>
                <w:tcPr>
                  <w:tcW w:w="1028"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5518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6" w:type="dxa"/>
                  <w:vMerge w:val="continue"/>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384"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给水管</w:t>
                  </w:r>
                </w:p>
              </w:tc>
              <w:tc>
                <w:tcPr>
                  <w:tcW w:w="2001"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DN150</w:t>
                  </w:r>
                  <w:r>
                    <w:rPr>
                      <w:rFonts w:hint="default" w:ascii="Times New Roman" w:hAnsi="Times New Roman" w:cs="Times New Roman"/>
                      <w:color w:val="auto"/>
                      <w:kern w:val="2"/>
                      <w:sz w:val="21"/>
                      <w:szCs w:val="21"/>
                      <w:highlight w:val="none"/>
                      <w:lang w:val="en-US" w:eastAsia="zh-CN" w:bidi="ar-SA"/>
                    </w:rPr>
                    <w:t>，</w:t>
                  </w:r>
                  <w:r>
                    <w:rPr>
                      <w:rFonts w:hint="default" w:ascii="Times New Roman" w:hAnsi="Times New Roman" w:cs="Times New Roman"/>
                      <w:color w:val="auto"/>
                      <w:sz w:val="21"/>
                      <w:szCs w:val="21"/>
                      <w:highlight w:val="none"/>
                      <w:lang w:val="en-US" w:eastAsia="zh-CN"/>
                    </w:rPr>
                    <w:t>PN1.0MPa</w:t>
                  </w:r>
                </w:p>
              </w:tc>
              <w:tc>
                <w:tcPr>
                  <w:tcW w:w="1625"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聚乙烯复合管</w:t>
                  </w:r>
                </w:p>
              </w:tc>
              <w:tc>
                <w:tcPr>
                  <w:tcW w:w="749"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m</w:t>
                  </w:r>
                </w:p>
              </w:tc>
              <w:tc>
                <w:tcPr>
                  <w:tcW w:w="1028"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5371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6" w:type="dxa"/>
                  <w:vMerge w:val="continue"/>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384"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给水管</w:t>
                  </w:r>
                </w:p>
              </w:tc>
              <w:tc>
                <w:tcPr>
                  <w:tcW w:w="2001"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DN150</w:t>
                  </w:r>
                  <w:r>
                    <w:rPr>
                      <w:rFonts w:hint="default" w:ascii="Times New Roman" w:hAnsi="Times New Roman" w:cs="Times New Roman"/>
                      <w:color w:val="auto"/>
                      <w:kern w:val="2"/>
                      <w:sz w:val="21"/>
                      <w:szCs w:val="21"/>
                      <w:highlight w:val="none"/>
                      <w:lang w:val="en-US" w:eastAsia="zh-CN" w:bidi="ar-SA"/>
                    </w:rPr>
                    <w:t>，</w:t>
                  </w:r>
                  <w:r>
                    <w:rPr>
                      <w:rFonts w:hint="default" w:ascii="Times New Roman" w:hAnsi="Times New Roman" w:cs="Times New Roman"/>
                      <w:color w:val="auto"/>
                      <w:sz w:val="21"/>
                      <w:szCs w:val="21"/>
                      <w:highlight w:val="none"/>
                      <w:lang w:val="en-US" w:eastAsia="zh-CN"/>
                    </w:rPr>
                    <w:t>PN1.6MPa</w:t>
                  </w:r>
                </w:p>
              </w:tc>
              <w:tc>
                <w:tcPr>
                  <w:tcW w:w="1625"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聚乙烯复合管</w:t>
                  </w:r>
                </w:p>
              </w:tc>
              <w:tc>
                <w:tcPr>
                  <w:tcW w:w="749"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m</w:t>
                  </w:r>
                </w:p>
              </w:tc>
              <w:tc>
                <w:tcPr>
                  <w:tcW w:w="1028" w:type="dxa"/>
                  <w:vAlign w:val="top"/>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6714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6" w:type="dxa"/>
                  <w:vMerge w:val="continue"/>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384"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给水管</w:t>
                  </w:r>
                </w:p>
              </w:tc>
              <w:tc>
                <w:tcPr>
                  <w:tcW w:w="2001"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DN100</w:t>
                  </w:r>
                  <w:r>
                    <w:rPr>
                      <w:rFonts w:hint="default" w:ascii="Times New Roman" w:hAnsi="Times New Roman" w:cs="Times New Roman"/>
                      <w:color w:val="auto"/>
                      <w:kern w:val="2"/>
                      <w:sz w:val="21"/>
                      <w:szCs w:val="21"/>
                      <w:highlight w:val="none"/>
                      <w:lang w:val="en-US" w:eastAsia="zh-CN" w:bidi="ar-SA"/>
                    </w:rPr>
                    <w:t>，</w:t>
                  </w:r>
                  <w:r>
                    <w:rPr>
                      <w:rFonts w:hint="default" w:ascii="Times New Roman" w:hAnsi="Times New Roman" w:cs="Times New Roman"/>
                      <w:color w:val="auto"/>
                      <w:sz w:val="21"/>
                      <w:szCs w:val="21"/>
                      <w:highlight w:val="none"/>
                      <w:lang w:val="en-US" w:eastAsia="zh-CN"/>
                    </w:rPr>
                    <w:t>PN1.0MPa</w:t>
                  </w:r>
                </w:p>
              </w:tc>
              <w:tc>
                <w:tcPr>
                  <w:tcW w:w="1625"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聚乙烯复合管</w:t>
                  </w:r>
                </w:p>
              </w:tc>
              <w:tc>
                <w:tcPr>
                  <w:tcW w:w="749"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m</w:t>
                  </w:r>
                </w:p>
              </w:tc>
              <w:tc>
                <w:tcPr>
                  <w:tcW w:w="1028" w:type="dxa"/>
                  <w:vAlign w:val="top"/>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28974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6" w:type="dxa"/>
                  <w:vMerge w:val="continue"/>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2384"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给水管</w:t>
                  </w:r>
                </w:p>
              </w:tc>
              <w:tc>
                <w:tcPr>
                  <w:tcW w:w="2001"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DN100</w:t>
                  </w:r>
                  <w:r>
                    <w:rPr>
                      <w:rFonts w:hint="default" w:ascii="Times New Roman" w:hAnsi="Times New Roman" w:cs="Times New Roman"/>
                      <w:color w:val="auto"/>
                      <w:kern w:val="2"/>
                      <w:sz w:val="21"/>
                      <w:szCs w:val="21"/>
                      <w:highlight w:val="none"/>
                      <w:lang w:val="en-US" w:eastAsia="zh-CN" w:bidi="ar-SA"/>
                    </w:rPr>
                    <w:t>，</w:t>
                  </w:r>
                  <w:r>
                    <w:rPr>
                      <w:rFonts w:hint="default" w:ascii="Times New Roman" w:hAnsi="Times New Roman" w:cs="Times New Roman"/>
                      <w:color w:val="auto"/>
                      <w:sz w:val="21"/>
                      <w:szCs w:val="21"/>
                      <w:highlight w:val="none"/>
                      <w:lang w:val="en-US" w:eastAsia="zh-CN"/>
                    </w:rPr>
                    <w:t>PN1.6MPa</w:t>
                  </w:r>
                </w:p>
              </w:tc>
              <w:tc>
                <w:tcPr>
                  <w:tcW w:w="1625"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聚乙烯复合管</w:t>
                  </w:r>
                </w:p>
              </w:tc>
              <w:tc>
                <w:tcPr>
                  <w:tcW w:w="749"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m</w:t>
                  </w:r>
                </w:p>
              </w:tc>
              <w:tc>
                <w:tcPr>
                  <w:tcW w:w="1028" w:type="dxa"/>
                  <w:vAlign w:val="top"/>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31043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6" w:type="dxa"/>
                  <w:vMerge w:val="continue"/>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6010" w:type="dxa"/>
                  <w:gridSpan w:val="3"/>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合计</w:t>
                  </w:r>
                </w:p>
              </w:tc>
              <w:tc>
                <w:tcPr>
                  <w:tcW w:w="749"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p>
              </w:tc>
              <w:tc>
                <w:tcPr>
                  <w:tcW w:w="1028"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94148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10" w:type="dxa"/>
                  <w:gridSpan w:val="2"/>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阀门井</w:t>
                  </w:r>
                </w:p>
              </w:tc>
              <w:tc>
                <w:tcPr>
                  <w:tcW w:w="2001"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φ1800</w:t>
                  </w:r>
                </w:p>
              </w:tc>
              <w:tc>
                <w:tcPr>
                  <w:tcW w:w="1625"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砖砌</w:t>
                  </w:r>
                </w:p>
              </w:tc>
              <w:tc>
                <w:tcPr>
                  <w:tcW w:w="749"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座</w:t>
                  </w:r>
                </w:p>
              </w:tc>
              <w:tc>
                <w:tcPr>
                  <w:tcW w:w="1028"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10" w:type="dxa"/>
                  <w:gridSpan w:val="2"/>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阀门井</w:t>
                  </w:r>
                </w:p>
              </w:tc>
              <w:tc>
                <w:tcPr>
                  <w:tcW w:w="2001"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φ1400</w:t>
                  </w:r>
                </w:p>
              </w:tc>
              <w:tc>
                <w:tcPr>
                  <w:tcW w:w="1625"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砖砌</w:t>
                  </w:r>
                </w:p>
              </w:tc>
              <w:tc>
                <w:tcPr>
                  <w:tcW w:w="749"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座</w:t>
                  </w:r>
                </w:p>
              </w:tc>
              <w:tc>
                <w:tcPr>
                  <w:tcW w:w="1028"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10" w:type="dxa"/>
                  <w:gridSpan w:val="2"/>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阀门井</w:t>
                  </w:r>
                </w:p>
              </w:tc>
              <w:tc>
                <w:tcPr>
                  <w:tcW w:w="2001"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φ1200</w:t>
                  </w:r>
                </w:p>
              </w:tc>
              <w:tc>
                <w:tcPr>
                  <w:tcW w:w="1625"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砖砌</w:t>
                  </w:r>
                </w:p>
              </w:tc>
              <w:tc>
                <w:tcPr>
                  <w:tcW w:w="749"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座</w:t>
                  </w:r>
                </w:p>
              </w:tc>
              <w:tc>
                <w:tcPr>
                  <w:tcW w:w="1028"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10" w:type="dxa"/>
                  <w:gridSpan w:val="2"/>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排气阀井</w:t>
                  </w:r>
                </w:p>
              </w:tc>
              <w:tc>
                <w:tcPr>
                  <w:tcW w:w="2001"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φ1200</w:t>
                  </w:r>
                </w:p>
              </w:tc>
              <w:tc>
                <w:tcPr>
                  <w:tcW w:w="1625"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砖砌</w:t>
                  </w:r>
                </w:p>
              </w:tc>
              <w:tc>
                <w:tcPr>
                  <w:tcW w:w="749"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座</w:t>
                  </w:r>
                </w:p>
              </w:tc>
              <w:tc>
                <w:tcPr>
                  <w:tcW w:w="1028"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10" w:type="dxa"/>
                  <w:gridSpan w:val="2"/>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排泥阀井</w:t>
                  </w:r>
                </w:p>
              </w:tc>
              <w:tc>
                <w:tcPr>
                  <w:tcW w:w="2001"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φ1200</w:t>
                  </w:r>
                </w:p>
              </w:tc>
              <w:tc>
                <w:tcPr>
                  <w:tcW w:w="1625"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砖砌</w:t>
                  </w:r>
                </w:p>
              </w:tc>
              <w:tc>
                <w:tcPr>
                  <w:tcW w:w="749"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座</w:t>
                  </w:r>
                </w:p>
              </w:tc>
              <w:tc>
                <w:tcPr>
                  <w:tcW w:w="1028"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10" w:type="dxa"/>
                  <w:gridSpan w:val="2"/>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排泥湿井</w:t>
                  </w:r>
                </w:p>
              </w:tc>
              <w:tc>
                <w:tcPr>
                  <w:tcW w:w="2001" w:type="dxa"/>
                  <w:vAlign w:val="top"/>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φ</w:t>
                  </w:r>
                  <w:r>
                    <w:rPr>
                      <w:rFonts w:hint="default" w:ascii="Times New Roman" w:hAnsi="Times New Roman" w:cs="Times New Roman"/>
                      <w:color w:val="auto"/>
                      <w:kern w:val="2"/>
                      <w:sz w:val="21"/>
                      <w:szCs w:val="21"/>
                      <w:highlight w:val="none"/>
                      <w:lang w:val="en-US" w:eastAsia="zh-CN" w:bidi="ar-SA"/>
                    </w:rPr>
                    <w:t>800</w:t>
                  </w:r>
                </w:p>
              </w:tc>
              <w:tc>
                <w:tcPr>
                  <w:tcW w:w="1625"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砖砌</w:t>
                  </w:r>
                </w:p>
              </w:tc>
              <w:tc>
                <w:tcPr>
                  <w:tcW w:w="749"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座</w:t>
                  </w:r>
                </w:p>
              </w:tc>
              <w:tc>
                <w:tcPr>
                  <w:tcW w:w="1028"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10" w:type="dxa"/>
                  <w:gridSpan w:val="2"/>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流量计</w:t>
                  </w:r>
                </w:p>
              </w:tc>
              <w:tc>
                <w:tcPr>
                  <w:tcW w:w="2001" w:type="dxa"/>
                  <w:vAlign w:val="top"/>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DN100，PN1.6M</w:t>
                  </w:r>
                  <w:r>
                    <w:rPr>
                      <w:rFonts w:hint="default" w:ascii="Times New Roman" w:hAnsi="Times New Roman" w:cs="Times New Roman"/>
                      <w:color w:val="auto"/>
                      <w:sz w:val="21"/>
                      <w:szCs w:val="21"/>
                      <w:highlight w:val="none"/>
                      <w:lang w:val="en-US" w:eastAsia="zh-CN"/>
                    </w:rPr>
                    <w:t>Pa</w:t>
                  </w:r>
                </w:p>
              </w:tc>
              <w:tc>
                <w:tcPr>
                  <w:tcW w:w="1625"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p>
              </w:tc>
              <w:tc>
                <w:tcPr>
                  <w:tcW w:w="749"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座</w:t>
                  </w:r>
                </w:p>
              </w:tc>
              <w:tc>
                <w:tcPr>
                  <w:tcW w:w="1028"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10" w:type="dxa"/>
                  <w:gridSpan w:val="2"/>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压力表</w:t>
                  </w:r>
                </w:p>
              </w:tc>
              <w:tc>
                <w:tcPr>
                  <w:tcW w:w="2001" w:type="dxa"/>
                  <w:vAlign w:val="top"/>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0~2M</w:t>
                  </w:r>
                  <w:r>
                    <w:rPr>
                      <w:rFonts w:hint="default" w:ascii="Times New Roman" w:hAnsi="Times New Roman" w:cs="Times New Roman"/>
                      <w:color w:val="auto"/>
                      <w:sz w:val="21"/>
                      <w:szCs w:val="21"/>
                      <w:highlight w:val="none"/>
                      <w:lang w:val="en-US" w:eastAsia="zh-CN"/>
                    </w:rPr>
                    <w:t>Pa</w:t>
                  </w:r>
                </w:p>
              </w:tc>
              <w:tc>
                <w:tcPr>
                  <w:tcW w:w="1625"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p>
              </w:tc>
              <w:tc>
                <w:tcPr>
                  <w:tcW w:w="749"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座</w:t>
                  </w:r>
                </w:p>
              </w:tc>
              <w:tc>
                <w:tcPr>
                  <w:tcW w:w="1028"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10" w:type="dxa"/>
                  <w:gridSpan w:val="2"/>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流量计井</w:t>
                  </w:r>
                </w:p>
              </w:tc>
              <w:tc>
                <w:tcPr>
                  <w:tcW w:w="2001" w:type="dxa"/>
                  <w:vAlign w:val="top"/>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φ1200</w:t>
                  </w:r>
                </w:p>
              </w:tc>
              <w:tc>
                <w:tcPr>
                  <w:tcW w:w="1625"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砖砌</w:t>
                  </w:r>
                </w:p>
              </w:tc>
              <w:tc>
                <w:tcPr>
                  <w:tcW w:w="749"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座</w:t>
                  </w:r>
                </w:p>
              </w:tc>
              <w:tc>
                <w:tcPr>
                  <w:tcW w:w="1028" w:type="dxa"/>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15</w:t>
                  </w:r>
                </w:p>
              </w:tc>
            </w:tr>
          </w:tbl>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5、项目主要设备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项目供水厂主要设备见下表。</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szCs w:val="21"/>
                <w:highlight w:val="none"/>
                <w:lang w:val="en-US" w:eastAsia="zh-CN"/>
              </w:rPr>
              <w:t>2</w:t>
            </w:r>
            <w:r>
              <w:rPr>
                <w:rFonts w:hint="eastAsia" w:ascii="Times New Roman" w:hAnsi="Times New Roman" w:eastAsia="黑体" w:cs="Times New Roman"/>
                <w:color w:val="auto"/>
                <w:szCs w:val="21"/>
                <w:highlight w:val="none"/>
                <w:lang w:val="en-US" w:eastAsia="zh-CN"/>
              </w:rPr>
              <w:t xml:space="preserve">-6 </w:t>
            </w:r>
            <w:r>
              <w:rPr>
                <w:rFonts w:hint="default" w:ascii="Times New Roman" w:hAnsi="Times New Roman" w:eastAsia="黑体" w:cs="Times New Roman"/>
                <w:color w:val="auto"/>
                <w:szCs w:val="21"/>
                <w:highlight w:val="none"/>
                <w:lang w:val="en-US" w:eastAsia="zh-CN"/>
              </w:rPr>
              <w:t>项目供水厂主要设备一览表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579"/>
              <w:gridCol w:w="2811"/>
              <w:gridCol w:w="825"/>
              <w:gridCol w:w="469"/>
              <w:gridCol w:w="431"/>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02" w:type="pct"/>
                  <w:gridSpan w:val="2"/>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名称</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规格及性能</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材质</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单位</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数量</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restart"/>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预沉池</w:t>
                  </w: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协管</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L=1.0m</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b w:val="0"/>
                      <w:bCs w:val="0"/>
                      <w:color w:val="auto"/>
                      <w:sz w:val="21"/>
                      <w:szCs w:val="21"/>
                      <w:highlight w:val="none"/>
                      <w:lang w:val="en-US" w:eastAsia="zh-CN"/>
                    </w:rPr>
                    <w:t>φ=35mm，α=60°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PP</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36</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食品卫生级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蝶阀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DN300PN=1.0MPa</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铸钢</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进出水管用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蝶阀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DN200PN=1.0MPa</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铸钢</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液动角式隔膜排泥阀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DN200PN=1.0MPa</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铸钢</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配套相应的二位五通电磁阀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双法兰限位伸缩接头</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DN300PN=1.0MPa</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橡胶</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进出水管用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冲洗水栓</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DN65</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配25m长冲洗水带一条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蝶阀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DN65PN=1.0MPa</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铸钢</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二位五通电磁阀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G024直动式，</w:t>
                  </w:r>
                  <w:r>
                    <w:rPr>
                      <w:rFonts w:hint="default" w:ascii="Times New Roman" w:hAnsi="Times New Roman" w:cs="Times New Roman"/>
                      <w:b w:val="0"/>
                      <w:bCs w:val="0"/>
                      <w:color w:val="auto"/>
                      <w:sz w:val="21"/>
                      <w:szCs w:val="21"/>
                      <w:highlight w:val="none"/>
                      <w:lang w:val="en-US" w:eastAsia="zh-CN"/>
                    </w:rPr>
                    <w:t>PN=0-1.0MPa，工作电压24VDC</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铸钢</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排泥管排泥阀控制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集水槽</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L</w:t>
                  </w:r>
                  <w:r>
                    <w:rPr>
                      <w:rFonts w:hint="default" w:ascii="Times New Roman" w:hAnsi="Times New Roman" w:cs="Times New Roman" w:eastAsiaTheme="minorEastAsia"/>
                      <w:b w:val="0"/>
                      <w:bCs w:val="0"/>
                      <w:color w:val="auto"/>
                      <w:kern w:val="2"/>
                      <w:sz w:val="21"/>
                      <w:szCs w:val="21"/>
                      <w:highlight w:val="none"/>
                      <w:lang w:val="en-US" w:eastAsia="zh-CN" w:bidi="ar-SA"/>
                    </w:rPr>
                    <w:t>=3.0m</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B=0.35m</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H=0.38m</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厚</w:t>
                  </w:r>
                  <w:r>
                    <w:rPr>
                      <w:rFonts w:hint="default" w:ascii="Times New Roman" w:hAnsi="Times New Roman" w:cs="Times New Roman"/>
                      <w:b w:val="0"/>
                      <w:bCs w:val="0"/>
                      <w:color w:val="auto"/>
                      <w:kern w:val="2"/>
                      <w:sz w:val="21"/>
                      <w:szCs w:val="21"/>
                      <w:highlight w:val="none"/>
                      <w:lang w:val="en-US" w:eastAsia="zh-CN" w:bidi="ar-SA"/>
                    </w:rPr>
                    <w:t>δ</w:t>
                  </w:r>
                  <w:r>
                    <w:rPr>
                      <w:rFonts w:hint="default" w:ascii="Times New Roman" w:hAnsi="Times New Roman" w:cs="Times New Roman" w:eastAsiaTheme="minorEastAsia"/>
                      <w:b w:val="0"/>
                      <w:bCs w:val="0"/>
                      <w:color w:val="auto"/>
                      <w:kern w:val="2"/>
                      <w:sz w:val="21"/>
                      <w:szCs w:val="21"/>
                      <w:highlight w:val="none"/>
                      <w:lang w:val="en-US" w:eastAsia="zh-CN" w:bidi="ar-SA"/>
                    </w:rPr>
                    <w:t>=4mm</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304不锈钢</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根</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8</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手动球阀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DN25PN=1.0MPa</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ABS</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电磁阀检修阀门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一体化设备及配套</w:t>
                  </w: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一体化设备</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Q=3500m</w:t>
                  </w:r>
                  <w:r>
                    <w:rPr>
                      <w:rFonts w:hint="default" w:ascii="Times New Roman" w:hAnsi="Times New Roman" w:cs="Times New Roman"/>
                      <w:b w:val="0"/>
                      <w:bCs w:val="0"/>
                      <w:color w:val="auto"/>
                      <w:kern w:val="2"/>
                      <w:sz w:val="21"/>
                      <w:szCs w:val="21"/>
                      <w:highlight w:val="none"/>
                      <w:vertAlign w:val="superscript"/>
                      <w:lang w:val="en-US" w:eastAsia="zh-CN" w:bidi="ar-SA"/>
                    </w:rPr>
                    <w:t>3</w:t>
                  </w:r>
                  <w:r>
                    <w:rPr>
                      <w:rFonts w:hint="default" w:ascii="Times New Roman" w:hAnsi="Times New Roman" w:cs="Times New Roman"/>
                      <w:b w:val="0"/>
                      <w:bCs w:val="0"/>
                      <w:color w:val="auto"/>
                      <w:kern w:val="2"/>
                      <w:sz w:val="21"/>
                      <w:szCs w:val="21"/>
                      <w:highlight w:val="none"/>
                      <w:lang w:val="en-US" w:eastAsia="zh-CN" w:bidi="ar-SA"/>
                    </w:rPr>
                    <w:t>/d；B</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b w:val="0"/>
                      <w:bCs w:val="0"/>
                      <w:color w:val="auto"/>
                      <w:kern w:val="2"/>
                      <w:sz w:val="21"/>
                      <w:szCs w:val="21"/>
                      <w:highlight w:val="none"/>
                      <w:lang w:val="en-US" w:eastAsia="zh-CN" w:bidi="ar-SA"/>
                    </w:rPr>
                    <w:t>L</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b w:val="0"/>
                      <w:bCs w:val="0"/>
                      <w:color w:val="auto"/>
                      <w:kern w:val="2"/>
                      <w:sz w:val="21"/>
                      <w:szCs w:val="21"/>
                      <w:highlight w:val="none"/>
                      <w:lang w:val="en-US" w:eastAsia="zh-CN" w:bidi="ar-SA"/>
                    </w:rPr>
                    <w:t>H=13.5</w:t>
                  </w:r>
                  <w:r>
                    <w:rPr>
                      <w:rFonts w:hint="default" w:ascii="Times New Roman" w:hAnsi="Times New Roman" w:cs="Times New Roman"/>
                      <w:color w:val="auto"/>
                      <w:sz w:val="21"/>
                      <w:szCs w:val="21"/>
                      <w:highlight w:val="none"/>
                      <w:lang w:val="en-US" w:eastAsia="zh-CN"/>
                    </w:rPr>
                    <w:t>×6×4</w:t>
                  </w:r>
                  <w:r>
                    <w:rPr>
                      <w:rFonts w:hint="default" w:ascii="Times New Roman" w:hAnsi="Times New Roman" w:cs="Times New Roman"/>
                      <w:b w:val="0"/>
                      <w:bCs w:val="0"/>
                      <w:color w:val="auto"/>
                      <w:kern w:val="2"/>
                      <w:sz w:val="21"/>
                      <w:szCs w:val="21"/>
                      <w:highlight w:val="none"/>
                      <w:lang w:val="en-US" w:eastAsia="zh-CN" w:bidi="ar-SA"/>
                    </w:rPr>
                    <w:t>m</w:t>
                  </w:r>
                  <w:r>
                    <w:rPr>
                      <w:rFonts w:hint="default" w:ascii="Times New Roman" w:hAnsi="Times New Roman" w:cs="Times New Roman"/>
                      <w:b w:val="0"/>
                      <w:bCs w:val="0"/>
                      <w:color w:val="auto"/>
                      <w:kern w:val="2"/>
                      <w:sz w:val="21"/>
                      <w:szCs w:val="21"/>
                      <w:highlight w:val="none"/>
                      <w:vertAlign w:val="superscript"/>
                      <w:lang w:val="en-US" w:eastAsia="zh-CN" w:bidi="ar-SA"/>
                    </w:rPr>
                    <w:t>3</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SUS304</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台</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涡旋流反应+横向分流式斜板沉淀+V型滤池工艺，含扶梯走道板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电动格栅机</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B=750mm，0.75</w:t>
                  </w:r>
                  <w:r>
                    <w:rPr>
                      <w:rFonts w:hint="default" w:ascii="Times New Roman" w:hAnsi="Times New Roman" w:cs="Times New Roman" w:eastAsiaTheme="minorEastAsia"/>
                      <w:b w:val="0"/>
                      <w:bCs w:val="0"/>
                      <w:color w:val="auto"/>
                      <w:kern w:val="2"/>
                      <w:sz w:val="21"/>
                      <w:szCs w:val="21"/>
                      <w:highlight w:val="none"/>
                      <w:lang w:val="en-US" w:eastAsia="zh-CN" w:bidi="ar-SA"/>
                    </w:rPr>
                    <w:t>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台</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设置于进水配水井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蜗轮传动法兰式蝶阀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D341X-10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DN300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进水阀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电动伸缩蝶阀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SD941X-10.DN300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进水阀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电动伸缩蝶阀（可调）</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SD941X-10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可调</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DN200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出水阀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电动伸缩蝶阀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SD941X-10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DN200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水冲阀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电动伸缩阀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SD941X-10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DN125</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气冲阀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电动对夹式阀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D971X-10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DN300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反冲排水阀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常开电磁阀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DN50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螺纹连接</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不锈钢</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滤池排气阀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水力快开排泥阀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JM644X-10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DN150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排泥阀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水力快开排泥阀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JM644X-10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DN200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排泥阀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软密封阀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Z45X-10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DN150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排泥检修阀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软密封闸阀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Z45X-10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DN200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排泥检修阀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蜗轮传动对夹式蝶阀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D371X-10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DN100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滤池放空阀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蜗轮传动对夹式蝶阀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D371X-10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DN125</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斜板气冲洗阀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超声波液位计</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一</w:t>
                  </w:r>
                  <w:r>
                    <w:rPr>
                      <w:rFonts w:hint="default" w:ascii="Times New Roman" w:hAnsi="Times New Roman" w:cs="Times New Roman" w:eastAsiaTheme="minorEastAsia"/>
                      <w:b w:val="0"/>
                      <w:bCs w:val="0"/>
                      <w:color w:val="auto"/>
                      <w:kern w:val="2"/>
                      <w:sz w:val="21"/>
                      <w:szCs w:val="21"/>
                      <w:highlight w:val="none"/>
                      <w:lang w:val="en-US" w:eastAsia="zh-CN" w:bidi="ar-SA"/>
                    </w:rPr>
                    <w:t>体式</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0-5m</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成品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台</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管件及管材</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由设备厂家配套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清水池</w:t>
                  </w: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手动双法兰蝶阀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DN400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PN=1.0MP</w:t>
                  </w:r>
                  <w:r>
                    <w:rPr>
                      <w:rFonts w:hint="default" w:ascii="Times New Roman" w:hAnsi="Times New Roman" w:cs="Times New Roman"/>
                      <w:b w:val="0"/>
                      <w:bCs w:val="0"/>
                      <w:color w:val="auto"/>
                      <w:kern w:val="2"/>
                      <w:sz w:val="21"/>
                      <w:szCs w:val="21"/>
                      <w:highlight w:val="none"/>
                      <w:lang w:val="en-US" w:eastAsia="zh-CN" w:bidi="ar-SA"/>
                    </w:rPr>
                    <w:t>a</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球墨铸铁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用于清水池出水管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手动双法兰蝶阀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w:t>
                  </w:r>
                  <w:r>
                    <w:rPr>
                      <w:rFonts w:hint="default" w:ascii="Times New Roman" w:hAnsi="Times New Roman" w:cs="Times New Roman"/>
                      <w:b w:val="0"/>
                      <w:bCs w:val="0"/>
                      <w:color w:val="auto"/>
                      <w:kern w:val="2"/>
                      <w:sz w:val="21"/>
                      <w:szCs w:val="21"/>
                      <w:highlight w:val="none"/>
                      <w:lang w:val="en-US" w:eastAsia="zh-CN" w:bidi="ar-SA"/>
                    </w:rPr>
                    <w:t>350，</w:t>
                  </w:r>
                  <w:r>
                    <w:rPr>
                      <w:rFonts w:hint="default" w:ascii="Times New Roman" w:hAnsi="Times New Roman" w:cs="Times New Roman" w:eastAsiaTheme="minorEastAsia"/>
                      <w:b w:val="0"/>
                      <w:bCs w:val="0"/>
                      <w:color w:val="auto"/>
                      <w:kern w:val="2"/>
                      <w:sz w:val="21"/>
                      <w:szCs w:val="21"/>
                      <w:highlight w:val="none"/>
                      <w:lang w:val="en-US" w:eastAsia="zh-CN" w:bidi="ar-SA"/>
                    </w:rPr>
                    <w:t>PN=1.0MP</w:t>
                  </w:r>
                  <w:r>
                    <w:rPr>
                      <w:rFonts w:hint="default" w:ascii="Times New Roman" w:hAnsi="Times New Roman" w:cs="Times New Roman"/>
                      <w:b w:val="0"/>
                      <w:bCs w:val="0"/>
                      <w:color w:val="auto"/>
                      <w:kern w:val="2"/>
                      <w:sz w:val="21"/>
                      <w:szCs w:val="21"/>
                      <w:highlight w:val="none"/>
                      <w:lang w:val="en-US" w:eastAsia="zh-CN" w:bidi="ar-SA"/>
                    </w:rPr>
                    <w:t>a</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球墨铸铁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用于清水池出水管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手动软密封闸阀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w:t>
                  </w:r>
                  <w:r>
                    <w:rPr>
                      <w:rFonts w:hint="default" w:ascii="Times New Roman" w:hAnsi="Times New Roman" w:cs="Times New Roman"/>
                      <w:b w:val="0"/>
                      <w:bCs w:val="0"/>
                      <w:color w:val="auto"/>
                      <w:kern w:val="2"/>
                      <w:sz w:val="21"/>
                      <w:szCs w:val="21"/>
                      <w:highlight w:val="none"/>
                      <w:lang w:val="en-US" w:eastAsia="zh-CN" w:bidi="ar-SA"/>
                    </w:rPr>
                    <w:t>2</w:t>
                  </w:r>
                  <w:r>
                    <w:rPr>
                      <w:rFonts w:hint="default" w:ascii="Times New Roman" w:hAnsi="Times New Roman" w:cs="Times New Roman" w:eastAsiaTheme="minorEastAsia"/>
                      <w:b w:val="0"/>
                      <w:bCs w:val="0"/>
                      <w:color w:val="auto"/>
                      <w:kern w:val="2"/>
                      <w:sz w:val="21"/>
                      <w:szCs w:val="21"/>
                      <w:highlight w:val="none"/>
                      <w:lang w:val="en-US" w:eastAsia="zh-CN" w:bidi="ar-SA"/>
                    </w:rPr>
                    <w:t>00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PN=1.0MP</w:t>
                  </w:r>
                  <w:r>
                    <w:rPr>
                      <w:rFonts w:hint="default" w:ascii="Times New Roman" w:hAnsi="Times New Roman" w:cs="Times New Roman"/>
                      <w:b w:val="0"/>
                      <w:bCs w:val="0"/>
                      <w:color w:val="auto"/>
                      <w:kern w:val="2"/>
                      <w:sz w:val="21"/>
                      <w:szCs w:val="21"/>
                      <w:highlight w:val="none"/>
                      <w:lang w:val="en-US" w:eastAsia="zh-CN" w:bidi="ar-SA"/>
                    </w:rPr>
                    <w:t>a</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球墨铸铁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用于清水池出水管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双法兰限位伸缩接头</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DN400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PN=1.0MP</w:t>
                  </w:r>
                  <w:r>
                    <w:rPr>
                      <w:rFonts w:hint="default" w:ascii="Times New Roman" w:hAnsi="Times New Roman" w:cs="Times New Roman"/>
                      <w:b w:val="0"/>
                      <w:bCs w:val="0"/>
                      <w:color w:val="auto"/>
                      <w:kern w:val="2"/>
                      <w:sz w:val="21"/>
                      <w:szCs w:val="21"/>
                      <w:highlight w:val="none"/>
                      <w:lang w:val="en-US" w:eastAsia="zh-CN" w:bidi="ar-SA"/>
                    </w:rPr>
                    <w:t>a</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Q235B</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用于清水池出水管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双法兰限位伸缩接头</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DN350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PN=1.0MPa</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Q235B</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用于清水池出水管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双法兰限位伸缩接头</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DN200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PN=1.0MPa</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Q235B</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用于清水池出水管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罩型通气管</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DN200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H=1900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Q235B</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罩型通气管</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DN200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H=1400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Q235B</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移动式潜污泵</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Q=15m</w:t>
                  </w:r>
                  <w:r>
                    <w:rPr>
                      <w:rFonts w:hint="default" w:ascii="Times New Roman" w:hAnsi="Times New Roman" w:cs="Times New Roman"/>
                      <w:b w:val="0"/>
                      <w:bCs w:val="0"/>
                      <w:color w:val="auto"/>
                      <w:kern w:val="2"/>
                      <w:sz w:val="21"/>
                      <w:szCs w:val="21"/>
                      <w:highlight w:val="none"/>
                      <w:vertAlign w:val="superscript"/>
                      <w:lang w:val="en-US" w:eastAsia="zh-CN" w:bidi="ar-SA"/>
                    </w:rPr>
                    <w:t>3</w:t>
                  </w:r>
                  <w:r>
                    <w:rPr>
                      <w:rFonts w:hint="default" w:ascii="Times New Roman" w:hAnsi="Times New Roman" w:cs="Times New Roman" w:eastAsiaTheme="minorEastAsia"/>
                      <w:b w:val="0"/>
                      <w:bCs w:val="0"/>
                      <w:color w:val="auto"/>
                      <w:kern w:val="2"/>
                      <w:sz w:val="21"/>
                      <w:szCs w:val="21"/>
                      <w:highlight w:val="none"/>
                      <w:lang w:val="en-US" w:eastAsia="zh-CN" w:bidi="ar-SA"/>
                    </w:rPr>
                    <w:t>/h</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H=10m</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1.0kW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置于库房冷备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泥水混合池</w:t>
                  </w: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潜水泵</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Q=10m</w:t>
                  </w:r>
                  <w:r>
                    <w:rPr>
                      <w:rFonts w:hint="default" w:ascii="Times New Roman" w:hAnsi="Times New Roman" w:cs="Times New Roman"/>
                      <w:b w:val="0"/>
                      <w:bCs w:val="0"/>
                      <w:color w:val="auto"/>
                      <w:kern w:val="2"/>
                      <w:sz w:val="21"/>
                      <w:szCs w:val="21"/>
                      <w:highlight w:val="none"/>
                      <w:vertAlign w:val="superscript"/>
                      <w:lang w:val="en-US" w:eastAsia="zh-CN" w:bidi="ar-SA"/>
                    </w:rPr>
                    <w:t>3</w:t>
                  </w:r>
                  <w:r>
                    <w:rPr>
                      <w:rFonts w:hint="default" w:ascii="Times New Roman" w:hAnsi="Times New Roman" w:cs="Times New Roman" w:eastAsiaTheme="minorEastAsia"/>
                      <w:b w:val="0"/>
                      <w:bCs w:val="0"/>
                      <w:color w:val="auto"/>
                      <w:kern w:val="2"/>
                      <w:sz w:val="21"/>
                      <w:szCs w:val="21"/>
                      <w:highlight w:val="none"/>
                      <w:lang w:val="en-US" w:eastAsia="zh-CN" w:bidi="ar-SA"/>
                    </w:rPr>
                    <w:t>/h</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H=10m</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0.75kW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潜水搅拌器</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P=3.0kW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铸铁镶铜方闸门</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400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400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He=1.9/2.3m上开附壁式安装</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正向受力</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配套手电一体启闭机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铸铁镶铜圆闸门</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φ</w:t>
                  </w:r>
                  <w:r>
                    <w:rPr>
                      <w:rFonts w:hint="default" w:ascii="Times New Roman" w:hAnsi="Times New Roman" w:cs="Times New Roman" w:eastAsiaTheme="minorEastAsia"/>
                      <w:b w:val="0"/>
                      <w:bCs w:val="0"/>
                      <w:color w:val="auto"/>
                      <w:kern w:val="2"/>
                      <w:sz w:val="21"/>
                      <w:szCs w:val="21"/>
                      <w:highlight w:val="none"/>
                      <w:lang w:val="en-US" w:eastAsia="zh-CN" w:bidi="ar-SA"/>
                    </w:rPr>
                    <w:t>300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H</w:t>
                  </w:r>
                  <w:r>
                    <w:rPr>
                      <w:rFonts w:hint="default" w:ascii="Times New Roman" w:hAnsi="Times New Roman" w:cs="Times New Roman"/>
                      <w:b w:val="0"/>
                      <w:bCs w:val="0"/>
                      <w:color w:val="auto"/>
                      <w:kern w:val="2"/>
                      <w:sz w:val="21"/>
                      <w:szCs w:val="21"/>
                      <w:highlight w:val="none"/>
                      <w:vertAlign w:val="subscript"/>
                      <w:lang w:val="en-US" w:eastAsia="zh-CN" w:bidi="ar-SA"/>
                    </w:rPr>
                    <w:t>中心</w:t>
                  </w:r>
                  <w:r>
                    <w:rPr>
                      <w:rFonts w:hint="default" w:ascii="Times New Roman" w:hAnsi="Times New Roman" w:cs="Times New Roman" w:eastAsiaTheme="minorEastAsia"/>
                      <w:b w:val="0"/>
                      <w:bCs w:val="0"/>
                      <w:color w:val="auto"/>
                      <w:kern w:val="2"/>
                      <w:sz w:val="21"/>
                      <w:szCs w:val="21"/>
                      <w:highlight w:val="none"/>
                      <w:lang w:val="en-US" w:eastAsia="zh-CN" w:bidi="ar-SA"/>
                    </w:rPr>
                    <w:t>=2.55m上开附壁式安装</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正向受力</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配套手电一体启闭机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超声波液位计</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0-5m</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浓缩池</w:t>
                  </w: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中心传动浓缩机</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φ</w:t>
                  </w:r>
                  <w:r>
                    <w:rPr>
                      <w:rFonts w:hint="default" w:ascii="Times New Roman" w:hAnsi="Times New Roman" w:cs="Times New Roman" w:eastAsiaTheme="minorEastAsia"/>
                      <w:b w:val="0"/>
                      <w:bCs w:val="0"/>
                      <w:color w:val="auto"/>
                      <w:kern w:val="2"/>
                      <w:sz w:val="21"/>
                      <w:szCs w:val="21"/>
                      <w:highlight w:val="none"/>
                      <w:lang w:val="en-US" w:eastAsia="zh-CN" w:bidi="ar-SA"/>
                    </w:rPr>
                    <w:t>=4mV=0.85m/minP=0.37kW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潜</w:t>
                  </w:r>
                  <w:r>
                    <w:rPr>
                      <w:rFonts w:hint="default" w:ascii="Times New Roman" w:hAnsi="Times New Roman" w:cs="Times New Roman"/>
                      <w:b w:val="0"/>
                      <w:bCs w:val="0"/>
                      <w:color w:val="auto"/>
                      <w:kern w:val="2"/>
                      <w:sz w:val="21"/>
                      <w:szCs w:val="21"/>
                      <w:highlight w:val="none"/>
                      <w:lang w:val="en-US" w:eastAsia="zh-CN" w:bidi="ar-SA"/>
                    </w:rPr>
                    <w:t>水</w:t>
                  </w:r>
                  <w:r>
                    <w:rPr>
                      <w:rFonts w:hint="default" w:ascii="Times New Roman" w:hAnsi="Times New Roman" w:cs="Times New Roman" w:eastAsiaTheme="minorEastAsia"/>
                      <w:b w:val="0"/>
                      <w:bCs w:val="0"/>
                      <w:color w:val="auto"/>
                      <w:kern w:val="2"/>
                      <w:sz w:val="21"/>
                      <w:szCs w:val="21"/>
                      <w:highlight w:val="none"/>
                      <w:lang w:val="en-US" w:eastAsia="zh-CN" w:bidi="ar-SA"/>
                    </w:rPr>
                    <w:t>泵</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Q=10m</w:t>
                  </w:r>
                  <w:r>
                    <w:rPr>
                      <w:rFonts w:hint="default" w:ascii="Times New Roman" w:hAnsi="Times New Roman" w:cs="Times New Roman"/>
                      <w:b w:val="0"/>
                      <w:bCs w:val="0"/>
                      <w:color w:val="auto"/>
                      <w:kern w:val="2"/>
                      <w:sz w:val="21"/>
                      <w:szCs w:val="21"/>
                      <w:highlight w:val="none"/>
                      <w:vertAlign w:val="superscript"/>
                      <w:lang w:val="en-US" w:eastAsia="zh-CN" w:bidi="ar-SA"/>
                    </w:rPr>
                    <w:t>3</w:t>
                  </w:r>
                  <w:r>
                    <w:rPr>
                      <w:rFonts w:hint="default" w:ascii="Times New Roman" w:hAnsi="Times New Roman" w:cs="Times New Roman" w:eastAsiaTheme="minorEastAsia"/>
                      <w:b w:val="0"/>
                      <w:bCs w:val="0"/>
                      <w:color w:val="auto"/>
                      <w:kern w:val="2"/>
                      <w:sz w:val="21"/>
                      <w:szCs w:val="21"/>
                      <w:highlight w:val="none"/>
                      <w:lang w:val="en-US" w:eastAsia="zh-CN" w:bidi="ar-SA"/>
                    </w:rPr>
                    <w:t>/h</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H=10m</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0.75k</w:t>
                  </w:r>
                  <w:r>
                    <w:rPr>
                      <w:rFonts w:hint="default" w:ascii="Times New Roman" w:hAnsi="Times New Roman" w:cs="Times New Roman"/>
                      <w:b w:val="0"/>
                      <w:bCs w:val="0"/>
                      <w:color w:val="auto"/>
                      <w:kern w:val="2"/>
                      <w:sz w:val="21"/>
                      <w:szCs w:val="21"/>
                      <w:highlight w:val="none"/>
                      <w:lang w:val="en-US" w:eastAsia="zh-CN" w:bidi="ar-SA"/>
                    </w:rPr>
                    <w:t>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超声液位计</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0-5m</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脱水间</w:t>
                  </w: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污泥进料凸轮泵</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Q=3-5m</w:t>
                  </w:r>
                  <w:r>
                    <w:rPr>
                      <w:rFonts w:hint="default" w:ascii="Times New Roman" w:hAnsi="Times New Roman" w:cs="Times New Roman"/>
                      <w:b w:val="0"/>
                      <w:bCs w:val="0"/>
                      <w:color w:val="auto"/>
                      <w:kern w:val="2"/>
                      <w:sz w:val="21"/>
                      <w:szCs w:val="21"/>
                      <w:highlight w:val="none"/>
                      <w:vertAlign w:val="superscript"/>
                      <w:lang w:val="en-US" w:eastAsia="zh-CN" w:bidi="ar-SA"/>
                    </w:rPr>
                    <w:t>3</w:t>
                  </w:r>
                  <w:r>
                    <w:rPr>
                      <w:rFonts w:hint="default" w:ascii="Times New Roman" w:hAnsi="Times New Roman" w:cs="Times New Roman" w:eastAsiaTheme="minorEastAsia"/>
                      <w:b w:val="0"/>
                      <w:bCs w:val="0"/>
                      <w:color w:val="auto"/>
                      <w:kern w:val="2"/>
                      <w:sz w:val="21"/>
                      <w:szCs w:val="21"/>
                      <w:highlight w:val="none"/>
                      <w:lang w:val="en-US" w:eastAsia="zh-CN" w:bidi="ar-SA"/>
                    </w:rPr>
                    <w:t>/h</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H=3bar</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P=1.0kw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与离心脱水机配套（变频</w:t>
                  </w:r>
                  <w:r>
                    <w:rPr>
                      <w:rFonts w:hint="default" w:ascii="Times New Roman" w:hAnsi="Times New Roman" w:cs="Times New Roman"/>
                      <w:b w:val="0"/>
                      <w:bCs w:val="0"/>
                      <w:color w:val="auto"/>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离心脱水机</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湿污泥处理量Q=3-5m</w:t>
                  </w:r>
                  <w:r>
                    <w:rPr>
                      <w:rFonts w:hint="default" w:ascii="Times New Roman" w:hAnsi="Times New Roman" w:cs="Times New Roman"/>
                      <w:b w:val="0"/>
                      <w:bCs w:val="0"/>
                      <w:color w:val="auto"/>
                      <w:kern w:val="2"/>
                      <w:sz w:val="21"/>
                      <w:szCs w:val="21"/>
                      <w:highlight w:val="none"/>
                      <w:vertAlign w:val="superscript"/>
                      <w:lang w:val="en-US" w:eastAsia="zh-CN" w:bidi="ar-SA"/>
                    </w:rPr>
                    <w:t>3</w:t>
                  </w:r>
                  <w:r>
                    <w:rPr>
                      <w:rFonts w:hint="default" w:ascii="Times New Roman" w:hAnsi="Times New Roman" w:cs="Times New Roman" w:eastAsiaTheme="minorEastAsia"/>
                      <w:b w:val="0"/>
                      <w:bCs w:val="0"/>
                      <w:color w:val="auto"/>
                      <w:kern w:val="2"/>
                      <w:sz w:val="21"/>
                      <w:szCs w:val="21"/>
                      <w:highlight w:val="none"/>
                      <w:lang w:val="en-US" w:eastAsia="zh-CN" w:bidi="ar-SA"/>
                    </w:rPr>
                    <w:t>/h</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进泥</w:t>
                  </w:r>
                  <w:r>
                    <w:rPr>
                      <w:rFonts w:hint="default" w:ascii="Times New Roman" w:hAnsi="Times New Roman" w:cs="Times New Roman"/>
                      <w:b w:val="0"/>
                      <w:bCs w:val="0"/>
                      <w:color w:val="auto"/>
                      <w:kern w:val="2"/>
                      <w:sz w:val="21"/>
                      <w:szCs w:val="21"/>
                      <w:highlight w:val="none"/>
                      <w:lang w:val="en-US" w:eastAsia="zh-CN" w:bidi="ar-SA"/>
                    </w:rPr>
                    <w:t>含</w:t>
                  </w:r>
                  <w:r>
                    <w:rPr>
                      <w:rFonts w:hint="default" w:ascii="Times New Roman" w:hAnsi="Times New Roman" w:cs="Times New Roman" w:eastAsiaTheme="minorEastAsia"/>
                      <w:b w:val="0"/>
                      <w:bCs w:val="0"/>
                      <w:color w:val="auto"/>
                      <w:kern w:val="2"/>
                      <w:sz w:val="21"/>
                      <w:szCs w:val="21"/>
                      <w:highlight w:val="none"/>
                      <w:lang w:val="en-US" w:eastAsia="zh-CN" w:bidi="ar-SA"/>
                    </w:rPr>
                    <w:t>水率97%绝干污泥处理量Q</w:t>
                  </w:r>
                  <w:r>
                    <w:rPr>
                      <w:rFonts w:hint="default" w:ascii="Times New Roman" w:hAnsi="Times New Roman" w:cs="Times New Roman"/>
                      <w:b w:val="0"/>
                      <w:bCs w:val="0"/>
                      <w:color w:val="auto"/>
                      <w:kern w:val="2"/>
                      <w:sz w:val="21"/>
                      <w:szCs w:val="21"/>
                      <w:highlight w:val="none"/>
                      <w:vertAlign w:val="subscript"/>
                      <w:lang w:val="en-US" w:eastAsia="zh-CN" w:bidi="ar-SA"/>
                    </w:rPr>
                    <w:t>干</w:t>
                  </w:r>
                  <w:r>
                    <w:rPr>
                      <w:rFonts w:hint="default" w:ascii="Times New Roman" w:hAnsi="Times New Roman" w:cs="Times New Roman" w:eastAsiaTheme="minorEastAsia"/>
                      <w:b w:val="0"/>
                      <w:bCs w:val="0"/>
                      <w:color w:val="auto"/>
                      <w:kern w:val="2"/>
                      <w:sz w:val="21"/>
                      <w:szCs w:val="21"/>
                      <w:highlight w:val="none"/>
                      <w:lang w:val="en-US" w:eastAsia="zh-CN" w:bidi="ar-SA"/>
                    </w:rPr>
                    <w:t>=90-150kg-DS/hr</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出泥含水率80%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P=10kW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排泥口电动刀阀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P=0.37kW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与离心脱水机配套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PAM</w:t>
                  </w:r>
                  <w:r>
                    <w:rPr>
                      <w:rFonts w:hint="eastAsia" w:ascii="Times New Roman" w:hAnsi="Times New Roman" w:cs="Times New Roman"/>
                      <w:b w:val="0"/>
                      <w:bCs w:val="0"/>
                      <w:color w:val="auto"/>
                      <w:kern w:val="2"/>
                      <w:sz w:val="21"/>
                      <w:szCs w:val="21"/>
                      <w:highlight w:val="none"/>
                      <w:lang w:val="en-US" w:eastAsia="zh-CN" w:bidi="ar-SA"/>
                    </w:rPr>
                    <w:t>制备</w:t>
                  </w:r>
                  <w:r>
                    <w:rPr>
                      <w:rFonts w:hint="default" w:ascii="Times New Roman" w:hAnsi="Times New Roman" w:cs="Times New Roman" w:eastAsiaTheme="minorEastAsia"/>
                      <w:b w:val="0"/>
                      <w:bCs w:val="0"/>
                      <w:color w:val="auto"/>
                      <w:kern w:val="2"/>
                      <w:sz w:val="21"/>
                      <w:szCs w:val="21"/>
                      <w:highlight w:val="none"/>
                      <w:lang w:val="en-US" w:eastAsia="zh-CN" w:bidi="ar-SA"/>
                    </w:rPr>
                    <w:t>装置</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制备</w:t>
                  </w:r>
                  <w:r>
                    <w:rPr>
                      <w:rFonts w:hint="default" w:ascii="Times New Roman" w:hAnsi="Times New Roman" w:cs="Times New Roman" w:eastAsiaTheme="minorEastAsia"/>
                      <w:b w:val="0"/>
                      <w:bCs w:val="0"/>
                      <w:color w:val="auto"/>
                      <w:kern w:val="2"/>
                      <w:sz w:val="21"/>
                      <w:szCs w:val="21"/>
                      <w:highlight w:val="none"/>
                      <w:lang w:val="en-US" w:eastAsia="zh-CN" w:bidi="ar-SA"/>
                    </w:rPr>
                    <w:t>能力1kg/h</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N</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装机</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=0.75kW</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制液度0.1%~0.4%</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台</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PAM螺杆泵</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Q=100~500L/h</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P=3bar</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N=0.37kW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变频，1用1备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单向无轴</w:t>
                  </w:r>
                  <w:r>
                    <w:rPr>
                      <w:rFonts w:hint="default" w:ascii="Times New Roman" w:hAnsi="Times New Roman" w:cs="Times New Roman"/>
                      <w:b w:val="0"/>
                      <w:bCs w:val="0"/>
                      <w:color w:val="auto"/>
                      <w:kern w:val="2"/>
                      <w:sz w:val="21"/>
                      <w:szCs w:val="21"/>
                      <w:highlight w:val="none"/>
                      <w:lang w:val="en-US" w:eastAsia="zh-CN" w:bidi="ar-SA"/>
                    </w:rPr>
                    <w:t>螺旋</w:t>
                  </w:r>
                  <w:r>
                    <w:rPr>
                      <w:rFonts w:hint="default" w:ascii="Times New Roman" w:hAnsi="Times New Roman" w:cs="Times New Roman" w:eastAsiaTheme="minorEastAsia"/>
                      <w:b w:val="0"/>
                      <w:bCs w:val="0"/>
                      <w:color w:val="auto"/>
                      <w:kern w:val="2"/>
                      <w:sz w:val="21"/>
                      <w:szCs w:val="21"/>
                      <w:highlight w:val="none"/>
                      <w:lang w:val="en-US" w:eastAsia="zh-CN" w:bidi="ar-SA"/>
                    </w:rPr>
                    <w:t>输送机</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L=5.0m</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Q</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0.75m</w:t>
                  </w:r>
                  <w:r>
                    <w:rPr>
                      <w:rFonts w:hint="default" w:ascii="Times New Roman" w:hAnsi="Times New Roman" w:cs="Times New Roman"/>
                      <w:b w:val="0"/>
                      <w:bCs w:val="0"/>
                      <w:color w:val="auto"/>
                      <w:kern w:val="2"/>
                      <w:sz w:val="21"/>
                      <w:szCs w:val="21"/>
                      <w:highlight w:val="none"/>
                      <w:vertAlign w:val="superscript"/>
                      <w:lang w:val="en-US" w:eastAsia="zh-CN" w:bidi="ar-SA"/>
                    </w:rPr>
                    <w:t>3</w:t>
                  </w:r>
                  <w:r>
                    <w:rPr>
                      <w:rFonts w:hint="default" w:ascii="Times New Roman" w:hAnsi="Times New Roman" w:cs="Times New Roman" w:eastAsiaTheme="minorEastAsia"/>
                      <w:b w:val="0"/>
                      <w:bCs w:val="0"/>
                      <w:color w:val="auto"/>
                      <w:kern w:val="2"/>
                      <w:sz w:val="21"/>
                      <w:szCs w:val="21"/>
                      <w:highlight w:val="none"/>
                      <w:lang w:val="en-US" w:eastAsia="zh-CN" w:bidi="ar-SA"/>
                    </w:rPr>
                    <w:t>/h</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P=1.1kW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LX电动单梁悬挂吊车</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G=2T</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H=6.0m</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L=3.0mP=</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2x0.4+3+0.4</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轴流风机</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Q=2000m</w:t>
                  </w:r>
                  <w:r>
                    <w:rPr>
                      <w:rFonts w:hint="default" w:ascii="Times New Roman" w:hAnsi="Times New Roman" w:cs="Times New Roman"/>
                      <w:b w:val="0"/>
                      <w:bCs w:val="0"/>
                      <w:color w:val="auto"/>
                      <w:kern w:val="2"/>
                      <w:sz w:val="21"/>
                      <w:szCs w:val="21"/>
                      <w:highlight w:val="none"/>
                      <w:vertAlign w:val="superscript"/>
                      <w:lang w:val="en-US" w:eastAsia="zh-CN" w:bidi="ar-SA"/>
                    </w:rPr>
                    <w:t>3</w:t>
                  </w:r>
                  <w:r>
                    <w:rPr>
                      <w:rFonts w:hint="default" w:ascii="Times New Roman" w:hAnsi="Times New Roman" w:cs="Times New Roman" w:eastAsiaTheme="minorEastAsia"/>
                      <w:b w:val="0"/>
                      <w:bCs w:val="0"/>
                      <w:color w:val="auto"/>
                      <w:kern w:val="2"/>
                      <w:sz w:val="21"/>
                      <w:szCs w:val="21"/>
                      <w:highlight w:val="none"/>
                      <w:lang w:val="en-US" w:eastAsia="zh-CN" w:bidi="ar-SA"/>
                    </w:rPr>
                    <w:t>/h</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P=0.15kW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污泥</w:t>
                  </w:r>
                  <w:r>
                    <w:rPr>
                      <w:rFonts w:hint="default" w:ascii="Times New Roman" w:hAnsi="Times New Roman" w:cs="Times New Roman" w:eastAsiaTheme="minorEastAsia"/>
                      <w:b w:val="0"/>
                      <w:bCs w:val="0"/>
                      <w:color w:val="auto"/>
                      <w:kern w:val="2"/>
                      <w:sz w:val="21"/>
                      <w:szCs w:val="21"/>
                      <w:highlight w:val="none"/>
                      <w:lang w:val="en-US" w:eastAsia="zh-CN" w:bidi="ar-SA"/>
                    </w:rPr>
                    <w:t>电磁流量计</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DN80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量程0~5m</w:t>
                  </w:r>
                  <w:r>
                    <w:rPr>
                      <w:rFonts w:hint="default" w:ascii="Times New Roman" w:hAnsi="Times New Roman" w:cs="Times New Roman"/>
                      <w:b w:val="0"/>
                      <w:bCs w:val="0"/>
                      <w:color w:val="auto"/>
                      <w:kern w:val="2"/>
                      <w:sz w:val="21"/>
                      <w:szCs w:val="21"/>
                      <w:highlight w:val="none"/>
                      <w:vertAlign w:val="superscript"/>
                      <w:lang w:val="en-US" w:eastAsia="zh-CN" w:bidi="ar-SA"/>
                    </w:rPr>
                    <w:t>3</w:t>
                  </w:r>
                  <w:r>
                    <w:rPr>
                      <w:rFonts w:hint="default" w:ascii="Times New Roman" w:hAnsi="Times New Roman" w:cs="Times New Roman" w:eastAsiaTheme="minorEastAsia"/>
                      <w:b w:val="0"/>
                      <w:bCs w:val="0"/>
                      <w:color w:val="auto"/>
                      <w:kern w:val="2"/>
                      <w:sz w:val="21"/>
                      <w:szCs w:val="21"/>
                      <w:highlight w:val="none"/>
                      <w:lang w:val="en-US" w:eastAsia="zh-CN" w:bidi="ar-SA"/>
                    </w:rPr>
                    <w:t>/h</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加药电磁流量计</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DN25</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量程0~1m</w:t>
                  </w:r>
                  <w:r>
                    <w:rPr>
                      <w:rFonts w:hint="default" w:ascii="Times New Roman" w:hAnsi="Times New Roman" w:cs="Times New Roman"/>
                      <w:b w:val="0"/>
                      <w:bCs w:val="0"/>
                      <w:color w:val="auto"/>
                      <w:kern w:val="2"/>
                      <w:sz w:val="21"/>
                      <w:szCs w:val="21"/>
                      <w:highlight w:val="none"/>
                      <w:vertAlign w:val="superscript"/>
                      <w:lang w:val="en-US" w:eastAsia="zh-CN" w:bidi="ar-SA"/>
                    </w:rPr>
                    <w:t>3</w:t>
                  </w:r>
                  <w:r>
                    <w:rPr>
                      <w:rFonts w:hint="default" w:ascii="Times New Roman" w:hAnsi="Times New Roman" w:cs="Times New Roman" w:eastAsiaTheme="minorEastAsia"/>
                      <w:b w:val="0"/>
                      <w:bCs w:val="0"/>
                      <w:color w:val="auto"/>
                      <w:kern w:val="2"/>
                      <w:sz w:val="21"/>
                      <w:szCs w:val="21"/>
                      <w:highlight w:val="none"/>
                      <w:lang w:val="en-US" w:eastAsia="zh-CN" w:bidi="ar-SA"/>
                    </w:rPr>
                    <w:t>/h</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手提式干粉灭火器</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NF/ABC3</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成品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每套含2具灭火器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排泥泵房</w:t>
                  </w: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污泥切割机</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Q=1</w:t>
                  </w:r>
                  <w:r>
                    <w:rPr>
                      <w:rFonts w:hint="default" w:ascii="Times New Roman" w:hAnsi="Times New Roman" w:cs="Times New Roman" w:eastAsiaTheme="minorEastAsia"/>
                      <w:b w:val="0"/>
                      <w:bCs w:val="0"/>
                      <w:color w:val="auto"/>
                      <w:kern w:val="2"/>
                      <w:sz w:val="21"/>
                      <w:szCs w:val="21"/>
                      <w:highlight w:val="none"/>
                      <w:lang w:val="en-US" w:eastAsia="zh-CN" w:bidi="ar-SA"/>
                    </w:rPr>
                    <w:t>m</w:t>
                  </w:r>
                  <w:r>
                    <w:rPr>
                      <w:rFonts w:hint="default" w:ascii="Times New Roman" w:hAnsi="Times New Roman" w:cs="Times New Roman"/>
                      <w:b w:val="0"/>
                      <w:bCs w:val="0"/>
                      <w:color w:val="auto"/>
                      <w:kern w:val="2"/>
                      <w:sz w:val="21"/>
                      <w:szCs w:val="21"/>
                      <w:highlight w:val="none"/>
                      <w:vertAlign w:val="superscript"/>
                      <w:lang w:val="en-US" w:eastAsia="zh-CN" w:bidi="ar-SA"/>
                    </w:rPr>
                    <w:t>3</w:t>
                  </w:r>
                  <w:r>
                    <w:rPr>
                      <w:rFonts w:hint="default" w:ascii="Times New Roman" w:hAnsi="Times New Roman" w:cs="Times New Roman" w:eastAsiaTheme="minorEastAsia"/>
                      <w:b w:val="0"/>
                      <w:bCs w:val="0"/>
                      <w:color w:val="auto"/>
                      <w:kern w:val="2"/>
                      <w:sz w:val="21"/>
                      <w:szCs w:val="21"/>
                      <w:highlight w:val="none"/>
                      <w:lang w:val="en-US" w:eastAsia="zh-CN" w:bidi="ar-SA"/>
                    </w:rPr>
                    <w:t>/h</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kern w:val="2"/>
                      <w:sz w:val="21"/>
                      <w:szCs w:val="21"/>
                      <w:highlight w:val="none"/>
                      <w:lang w:val="en-US" w:eastAsia="zh-CN" w:bidi="ar-SA"/>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与</w:t>
                  </w:r>
                  <w:r>
                    <w:rPr>
                      <w:rFonts w:hint="eastAsia" w:ascii="Times New Roman" w:hAnsi="Times New Roman" w:cs="Times New Roman"/>
                      <w:b w:val="0"/>
                      <w:bCs w:val="0"/>
                      <w:color w:val="auto"/>
                      <w:kern w:val="2"/>
                      <w:sz w:val="21"/>
                      <w:szCs w:val="21"/>
                      <w:highlight w:val="none"/>
                      <w:lang w:val="en-US" w:eastAsia="zh-CN" w:bidi="ar-SA"/>
                    </w:rPr>
                    <w:t>螺杆泵配套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污泥螺杆泵</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Q=1</w:t>
                  </w:r>
                  <w:r>
                    <w:rPr>
                      <w:rFonts w:hint="default" w:ascii="Times New Roman" w:hAnsi="Times New Roman" w:cs="Times New Roman" w:eastAsiaTheme="minorEastAsia"/>
                      <w:b w:val="0"/>
                      <w:bCs w:val="0"/>
                      <w:color w:val="auto"/>
                      <w:kern w:val="2"/>
                      <w:sz w:val="21"/>
                      <w:szCs w:val="21"/>
                      <w:highlight w:val="none"/>
                      <w:lang w:val="en-US" w:eastAsia="zh-CN" w:bidi="ar-SA"/>
                    </w:rPr>
                    <w:t>m</w:t>
                  </w:r>
                  <w:r>
                    <w:rPr>
                      <w:rFonts w:hint="default" w:ascii="Times New Roman" w:hAnsi="Times New Roman" w:cs="Times New Roman"/>
                      <w:b w:val="0"/>
                      <w:bCs w:val="0"/>
                      <w:color w:val="auto"/>
                      <w:kern w:val="2"/>
                      <w:sz w:val="21"/>
                      <w:szCs w:val="21"/>
                      <w:highlight w:val="none"/>
                      <w:vertAlign w:val="superscript"/>
                      <w:lang w:val="en-US" w:eastAsia="zh-CN" w:bidi="ar-SA"/>
                    </w:rPr>
                    <w:t>3</w:t>
                  </w:r>
                  <w:r>
                    <w:rPr>
                      <w:rFonts w:hint="default" w:ascii="Times New Roman" w:hAnsi="Times New Roman" w:cs="Times New Roman" w:eastAsiaTheme="minorEastAsia"/>
                      <w:b w:val="0"/>
                      <w:bCs w:val="0"/>
                      <w:color w:val="auto"/>
                      <w:kern w:val="2"/>
                      <w:sz w:val="21"/>
                      <w:szCs w:val="21"/>
                      <w:highlight w:val="none"/>
                      <w:lang w:val="en-US" w:eastAsia="zh-CN" w:bidi="ar-SA"/>
                    </w:rPr>
                    <w:t>/h</w:t>
                  </w:r>
                  <w:r>
                    <w:rPr>
                      <w:rFonts w:hint="eastAsia" w:ascii="Times New Roman" w:hAnsi="Times New Roman" w:cs="Times New Roman"/>
                      <w:b w:val="0"/>
                      <w:bCs w:val="0"/>
                      <w:color w:val="auto"/>
                      <w:kern w:val="2"/>
                      <w:sz w:val="21"/>
                      <w:szCs w:val="21"/>
                      <w:highlight w:val="none"/>
                      <w:lang w:val="en-US" w:eastAsia="zh-CN" w:bidi="ar-SA"/>
                    </w:rPr>
                    <w:t>，H=8m，P=1.5kW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kern w:val="2"/>
                      <w:sz w:val="21"/>
                      <w:szCs w:val="21"/>
                      <w:highlight w:val="none"/>
                      <w:lang w:val="en-US" w:eastAsia="zh-CN" w:bidi="ar-SA"/>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贮泥池</w:t>
                  </w: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潜水搅拌器</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P=1.1kW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kern w:val="2"/>
                      <w:sz w:val="21"/>
                      <w:szCs w:val="21"/>
                      <w:highlight w:val="none"/>
                      <w:lang w:val="en-US" w:eastAsia="zh-CN" w:bidi="ar-SA"/>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超声波液位计</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0-5m</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kern w:val="2"/>
                      <w:sz w:val="21"/>
                      <w:szCs w:val="21"/>
                      <w:highlight w:val="none"/>
                      <w:lang w:val="en-US" w:eastAsia="zh-CN" w:bidi="ar-SA"/>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二氧化氯加药系统</w:t>
                  </w: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高纯一体式二氧化氯发生器</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QL-200N=1.5</w:t>
                  </w:r>
                  <w:r>
                    <w:rPr>
                      <w:rFonts w:hint="default" w:ascii="Times New Roman" w:hAnsi="Times New Roman" w:cs="Times New Roman" w:eastAsiaTheme="minorEastAsia"/>
                      <w:b w:val="0"/>
                      <w:bCs w:val="0"/>
                      <w:color w:val="auto"/>
                      <w:kern w:val="2"/>
                      <w:sz w:val="21"/>
                      <w:szCs w:val="21"/>
                      <w:highlight w:val="none"/>
                      <w:lang w:val="en-US" w:eastAsia="zh-CN" w:bidi="ar-SA"/>
                    </w:rPr>
                    <w:t>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成品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台</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1用1备，带二氧化氯自动吸收处理装置和原料流量、二氧化氯加量在线监控系统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二氧化氯监测报警仪</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成品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应急工具箱</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内含防毒面具。抢救设施和工具箱由</w:t>
                  </w:r>
                  <w:r>
                    <w:rPr>
                      <w:rFonts w:hint="default" w:ascii="Times New Roman" w:hAnsi="Times New Roman" w:cs="Times New Roman"/>
                      <w:b w:val="0"/>
                      <w:bCs w:val="0"/>
                      <w:color w:val="auto"/>
                      <w:kern w:val="2"/>
                      <w:sz w:val="21"/>
                      <w:szCs w:val="21"/>
                      <w:highlight w:val="none"/>
                      <w:lang w:val="en-US" w:eastAsia="zh-CN" w:bidi="ar-SA"/>
                    </w:rPr>
                    <w:t>二氧化氯厂家配套提供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电磁计量泵</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EHNB216L/h</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成品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台</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电磁计量泵</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EHNB112.28L/h</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成品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台</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背压阀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标配</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成品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台</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水射器</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Φ50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PVC</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电接点压力表</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YX-100，0-1.0MPa</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成品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Y型过滤器</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DN15</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成品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二氧化氯传感器</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SZ-283</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成品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储罐1</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5m</w:t>
                  </w:r>
                  <w:r>
                    <w:rPr>
                      <w:rFonts w:hint="default" w:ascii="Times New Roman" w:hAnsi="Times New Roman" w:cs="Times New Roman"/>
                      <w:b w:val="0"/>
                      <w:bCs w:val="0"/>
                      <w:color w:val="auto"/>
                      <w:kern w:val="2"/>
                      <w:sz w:val="21"/>
                      <w:szCs w:val="21"/>
                      <w:highlight w:val="none"/>
                      <w:vertAlign w:val="superscript"/>
                      <w:lang w:val="en-US" w:eastAsia="zh-CN" w:bidi="ar-SA"/>
                    </w:rPr>
                    <w:t>3</w:t>
                  </w:r>
                  <w:r>
                    <w:rPr>
                      <w:rFonts w:hint="default" w:ascii="Times New Roman" w:hAnsi="Times New Roman" w:cs="Times New Roman"/>
                      <w:b w:val="0"/>
                      <w:bCs w:val="0"/>
                      <w:color w:val="auto"/>
                      <w:kern w:val="2"/>
                      <w:sz w:val="21"/>
                      <w:szCs w:val="21"/>
                      <w:highlight w:val="none"/>
                      <w:lang w:val="en-US" w:eastAsia="zh-CN" w:bidi="ar-SA"/>
                    </w:rPr>
                    <w:t>，PE材质，含浮子液位计</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PE</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储罐2</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3.5m</w:t>
                  </w:r>
                  <w:r>
                    <w:rPr>
                      <w:rFonts w:hint="default" w:ascii="Times New Roman" w:hAnsi="Times New Roman" w:cs="Times New Roman"/>
                      <w:b w:val="0"/>
                      <w:bCs w:val="0"/>
                      <w:color w:val="auto"/>
                      <w:kern w:val="2"/>
                      <w:sz w:val="21"/>
                      <w:szCs w:val="21"/>
                      <w:highlight w:val="none"/>
                      <w:vertAlign w:val="superscript"/>
                      <w:lang w:val="en-US" w:eastAsia="zh-CN" w:bidi="ar-SA"/>
                    </w:rPr>
                    <w:t>3</w:t>
                  </w:r>
                  <w:r>
                    <w:rPr>
                      <w:rFonts w:hint="default" w:ascii="Times New Roman" w:hAnsi="Times New Roman" w:cs="Times New Roman"/>
                      <w:b w:val="0"/>
                      <w:bCs w:val="0"/>
                      <w:color w:val="auto"/>
                      <w:kern w:val="2"/>
                      <w:sz w:val="21"/>
                      <w:szCs w:val="21"/>
                      <w:highlight w:val="none"/>
                      <w:lang w:val="en-US" w:eastAsia="zh-CN" w:bidi="ar-SA"/>
                    </w:rPr>
                    <w:t>，PE材质，含浮子液位计</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PE</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卸料泵及控制箱</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32FPZ-11</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3.5m</w:t>
                  </w:r>
                  <w:r>
                    <w:rPr>
                      <w:rFonts w:hint="default" w:ascii="Times New Roman" w:hAnsi="Times New Roman" w:cs="Times New Roman" w:eastAsiaTheme="minorEastAsia"/>
                      <w:b w:val="0"/>
                      <w:bCs w:val="0"/>
                      <w:color w:val="auto"/>
                      <w:kern w:val="2"/>
                      <w:sz w:val="21"/>
                      <w:szCs w:val="21"/>
                      <w:highlight w:val="none"/>
                      <w:vertAlign w:val="superscript"/>
                      <w:lang w:val="en-US" w:eastAsia="zh-CN" w:bidi="ar-SA"/>
                    </w:rPr>
                    <w:t>3</w:t>
                  </w:r>
                  <w:r>
                    <w:rPr>
                      <w:rFonts w:hint="default" w:ascii="Times New Roman" w:hAnsi="Times New Roman" w:cs="Times New Roman" w:eastAsiaTheme="minorEastAsia"/>
                      <w:b w:val="0"/>
                      <w:bCs w:val="0"/>
                      <w:color w:val="auto"/>
                      <w:kern w:val="2"/>
                      <w:sz w:val="21"/>
                      <w:szCs w:val="21"/>
                      <w:highlight w:val="none"/>
                      <w:lang w:val="en-US" w:eastAsia="zh-CN" w:bidi="ar-SA"/>
                    </w:rPr>
                    <w:t>/h</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11米</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0.75KW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成品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台</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信号分配箱</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1分3</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成品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台</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轴流风机</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T35-11机号N02.8配套电机YSF-5014</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台</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Q=1086m</w:t>
                  </w:r>
                  <w:r>
                    <w:rPr>
                      <w:rFonts w:hint="eastAsia" w:ascii="Times New Roman" w:hAnsi="Times New Roman" w:cs="Times New Roman"/>
                      <w:b w:val="0"/>
                      <w:bCs w:val="0"/>
                      <w:color w:val="auto"/>
                      <w:sz w:val="21"/>
                      <w:szCs w:val="21"/>
                      <w:highlight w:val="none"/>
                      <w:vertAlign w:val="superscript"/>
                      <w:lang w:val="en-US" w:eastAsia="zh-CN"/>
                    </w:rPr>
                    <w:t>3</w:t>
                  </w:r>
                  <w:r>
                    <w:rPr>
                      <w:rFonts w:hint="default" w:ascii="Times New Roman" w:hAnsi="Times New Roman" w:cs="Times New Roman"/>
                      <w:b w:val="0"/>
                      <w:bCs w:val="0"/>
                      <w:color w:val="auto"/>
                      <w:sz w:val="21"/>
                      <w:szCs w:val="21"/>
                      <w:highlight w:val="none"/>
                      <w:lang w:val="en-US" w:eastAsia="zh-CN"/>
                    </w:rPr>
                    <w:t>/h</w:t>
                  </w:r>
                  <w:r>
                    <w:rPr>
                      <w:rFonts w:hint="eastAsia" w:ascii="Times New Roman" w:hAnsi="Times New Roman" w:cs="Times New Roman"/>
                      <w:b w:val="0"/>
                      <w:bCs w:val="0"/>
                      <w:color w:val="auto"/>
                      <w:sz w:val="21"/>
                      <w:szCs w:val="21"/>
                      <w:highlight w:val="none"/>
                      <w:lang w:val="en-US" w:eastAsia="zh-CN"/>
                    </w:rPr>
                    <w:t xml:space="preserve"> </w:t>
                  </w:r>
                  <w:r>
                    <w:rPr>
                      <w:rFonts w:hint="default" w:ascii="Times New Roman" w:hAnsi="Times New Roman" w:cs="Times New Roman"/>
                      <w:b w:val="0"/>
                      <w:bCs w:val="0"/>
                      <w:color w:val="auto"/>
                      <w:sz w:val="21"/>
                      <w:szCs w:val="21"/>
                      <w:highlight w:val="none"/>
                      <w:lang w:val="en-US" w:eastAsia="zh-CN"/>
                    </w:rPr>
                    <w:t>N=0.025kw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风管</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DN280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玻钢</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米</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15</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风管弯头</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DN280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玻钢</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快速水冲洗设施</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kern w:val="2"/>
                      <w:sz w:val="21"/>
                      <w:szCs w:val="21"/>
                      <w:highlight w:val="none"/>
                      <w:lang w:val="en-US" w:eastAsia="zh-CN" w:bidi="ar-SA"/>
                    </w:rPr>
                    <w:t>带洗眼器）</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w:t>
                  </w:r>
                  <w:r>
                    <w:rPr>
                      <w:rFonts w:hint="default" w:ascii="Times New Roman" w:hAnsi="Times New Roman" w:cs="Times New Roman"/>
                      <w:b w:val="0"/>
                      <w:bCs w:val="0"/>
                      <w:color w:val="auto"/>
                      <w:kern w:val="2"/>
                      <w:sz w:val="21"/>
                      <w:szCs w:val="21"/>
                      <w:highlight w:val="none"/>
                      <w:lang w:val="en-US" w:eastAsia="zh-CN" w:bidi="ar-SA"/>
                    </w:rPr>
                    <w:t>5</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成品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自动控制器</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Ⅲ</w:t>
                  </w:r>
                  <w:r>
                    <w:rPr>
                      <w:rFonts w:hint="default" w:ascii="Times New Roman" w:hAnsi="Times New Roman" w:cs="Times New Roman" w:eastAsiaTheme="minorEastAsia"/>
                      <w:b w:val="0"/>
                      <w:bCs w:val="0"/>
                      <w:color w:val="auto"/>
                      <w:kern w:val="2"/>
                      <w:sz w:val="21"/>
                      <w:szCs w:val="21"/>
                      <w:highlight w:val="none"/>
                      <w:lang w:val="en-US" w:eastAsia="zh-CN" w:bidi="ar-SA"/>
                    </w:rPr>
                    <w:t>型</w:t>
                  </w:r>
                  <w:r>
                    <w:rPr>
                      <w:rFonts w:hint="default" w:ascii="Times New Roman" w:hAnsi="Times New Roman" w:cs="Times New Roman"/>
                      <w:b w:val="0"/>
                      <w:bCs w:val="0"/>
                      <w:color w:val="auto"/>
                      <w:kern w:val="2"/>
                      <w:sz w:val="21"/>
                      <w:szCs w:val="21"/>
                      <w:highlight w:val="none"/>
                      <w:lang w:val="en-US" w:eastAsia="zh-CN" w:bidi="ar-SA"/>
                    </w:rPr>
                    <w:t>控制器</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cs="Times New Roman" w:eastAsiaTheme="minorEastAsia"/>
                      <w:b w:val="0"/>
                      <w:bCs w:val="0"/>
                      <w:color w:val="auto"/>
                      <w:kern w:val="2"/>
                      <w:sz w:val="21"/>
                      <w:szCs w:val="21"/>
                      <w:highlight w:val="none"/>
                      <w:lang w:val="en-US" w:eastAsia="zh-CN" w:bidi="ar-SA"/>
                    </w:rPr>
                    <w:t>集成</w:t>
                  </w:r>
                  <w:r>
                    <w:rPr>
                      <w:rFonts w:hint="default" w:ascii="Times New Roman" w:hAnsi="Times New Roman" w:cs="Times New Roman"/>
                      <w:b w:val="0"/>
                      <w:bCs w:val="0"/>
                      <w:color w:val="auto"/>
                      <w:kern w:val="2"/>
                      <w:sz w:val="21"/>
                      <w:szCs w:val="21"/>
                      <w:highlight w:val="none"/>
                      <w:lang w:val="en-US" w:eastAsia="zh-CN" w:bidi="ar-SA"/>
                    </w:rPr>
                    <w:t>智能型）</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与二氧化氯发生器配套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残液自动分离装置</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标配</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安全在线监测系统</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标配</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原料在线监测系统</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标配</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自动吸收系统</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标配</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管道阀门及附件</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进出设备管道、管件等</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单向阀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Φ50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PVC</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喷淋装置</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kern w:val="2"/>
                      <w:sz w:val="21"/>
                      <w:szCs w:val="21"/>
                      <w:highlight w:val="none"/>
                      <w:lang w:val="en-US" w:eastAsia="zh-CN" w:bidi="ar-SA"/>
                    </w:rPr>
                    <w:t>与漏氯检测系统联动）</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DN25</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成品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由</w:t>
                  </w:r>
                  <w:r>
                    <w:rPr>
                      <w:rFonts w:hint="default" w:ascii="Times New Roman" w:hAnsi="Times New Roman" w:cs="Times New Roman"/>
                      <w:b w:val="0"/>
                      <w:bCs w:val="0"/>
                      <w:color w:val="auto"/>
                      <w:sz w:val="21"/>
                      <w:szCs w:val="21"/>
                      <w:highlight w:val="none"/>
                      <w:lang w:val="en-US" w:eastAsia="zh-CN"/>
                    </w:rPr>
                    <w:t>二氧化氯厂家配套提供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单向阀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Φ50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PVC</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PAC/PAM加药系统</w:t>
                  </w: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一体化PAC投加装置</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L×B=3000×1500mmN=5.25</w:t>
                  </w:r>
                  <w:r>
                    <w:rPr>
                      <w:rFonts w:hint="default" w:ascii="Times New Roman" w:hAnsi="Times New Roman" w:cs="Times New Roman" w:eastAsiaTheme="minorEastAsia"/>
                      <w:b w:val="0"/>
                      <w:bCs w:val="0"/>
                      <w:color w:val="auto"/>
                      <w:kern w:val="2"/>
                      <w:sz w:val="21"/>
                      <w:szCs w:val="21"/>
                      <w:highlight w:val="none"/>
                      <w:lang w:val="en-US" w:eastAsia="zh-CN" w:bidi="ar-SA"/>
                    </w:rPr>
                    <w:t>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成品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一体化PAM投加装置</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L×B=2000×1000mmN=2.4</w:t>
                  </w:r>
                  <w:r>
                    <w:rPr>
                      <w:rFonts w:hint="default" w:ascii="Times New Roman" w:hAnsi="Times New Roman" w:cs="Times New Roman" w:eastAsiaTheme="minorEastAsia"/>
                      <w:b w:val="0"/>
                      <w:bCs w:val="0"/>
                      <w:color w:val="auto"/>
                      <w:kern w:val="2"/>
                      <w:sz w:val="21"/>
                      <w:szCs w:val="21"/>
                      <w:highlight w:val="none"/>
                      <w:lang w:val="en-US" w:eastAsia="zh-CN" w:bidi="ar-SA"/>
                    </w:rPr>
                    <w:t>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成品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反冲洗系统</w:t>
                  </w: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三叶罗茨风机</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Q=10.48m</w:t>
                  </w:r>
                  <w:r>
                    <w:rPr>
                      <w:rFonts w:hint="default" w:ascii="Times New Roman" w:hAnsi="Times New Roman" w:cs="Times New Roman" w:eastAsiaTheme="minorEastAsia"/>
                      <w:b w:val="0"/>
                      <w:bCs w:val="0"/>
                      <w:color w:val="auto"/>
                      <w:kern w:val="2"/>
                      <w:sz w:val="21"/>
                      <w:szCs w:val="21"/>
                      <w:highlight w:val="none"/>
                      <w:vertAlign w:val="superscript"/>
                      <w:lang w:val="en-US" w:eastAsia="zh-CN" w:bidi="ar-SA"/>
                    </w:rPr>
                    <w:t>3</w:t>
                  </w:r>
                  <w:r>
                    <w:rPr>
                      <w:rFonts w:hint="default" w:ascii="Times New Roman" w:hAnsi="Times New Roman" w:cs="Times New Roman" w:eastAsiaTheme="minorEastAsia"/>
                      <w:b w:val="0"/>
                      <w:bCs w:val="0"/>
                      <w:color w:val="auto"/>
                      <w:kern w:val="2"/>
                      <w:sz w:val="21"/>
                      <w:szCs w:val="21"/>
                      <w:highlight w:val="none"/>
                      <w:lang w:val="en-US" w:eastAsia="zh-CN" w:bidi="ar-SA"/>
                    </w:rPr>
                    <w:t>/min</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H=4000mmAgn=1100r/min</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P=11kW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成品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台</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1用1备</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含消音器安全阀、压力表组、逆止阀、防震接头</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IP55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蜗轮传动对夹式蝶</w:t>
                  </w:r>
                  <w:r>
                    <w:rPr>
                      <w:rFonts w:hint="default" w:ascii="Times New Roman" w:hAnsi="Times New Roman" w:cs="Times New Roman"/>
                      <w:b w:val="0"/>
                      <w:bCs w:val="0"/>
                      <w:color w:val="auto"/>
                      <w:kern w:val="2"/>
                      <w:sz w:val="21"/>
                      <w:szCs w:val="21"/>
                      <w:highlight w:val="none"/>
                      <w:lang w:val="en-US" w:eastAsia="zh-CN" w:bidi="ar-SA"/>
                    </w:rPr>
                    <w:t>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DN200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台</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风机出口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反冲洗水泵</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120m</w:t>
                  </w:r>
                  <w:r>
                    <w:rPr>
                      <w:rFonts w:hint="default" w:ascii="Times New Roman" w:hAnsi="Times New Roman" w:cs="Times New Roman"/>
                      <w:b w:val="0"/>
                      <w:bCs w:val="0"/>
                      <w:color w:val="auto"/>
                      <w:kern w:val="2"/>
                      <w:sz w:val="21"/>
                      <w:szCs w:val="21"/>
                      <w:highlight w:val="none"/>
                      <w:vertAlign w:val="superscript"/>
                      <w:lang w:val="en-US" w:eastAsia="zh-CN" w:bidi="ar-SA"/>
                    </w:rPr>
                    <w:t>3</w:t>
                  </w:r>
                  <w:r>
                    <w:rPr>
                      <w:rFonts w:hint="default" w:ascii="Times New Roman" w:hAnsi="Times New Roman" w:cs="Times New Roman" w:eastAsiaTheme="minorEastAsia"/>
                      <w:b w:val="0"/>
                      <w:bCs w:val="0"/>
                      <w:color w:val="auto"/>
                      <w:kern w:val="2"/>
                      <w:sz w:val="21"/>
                      <w:szCs w:val="21"/>
                      <w:highlight w:val="none"/>
                      <w:lang w:val="en-US" w:eastAsia="zh-CN" w:bidi="ar-SA"/>
                    </w:rPr>
                    <w:t>/h</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10m</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11kW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台</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蝶阀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DN250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安装在水泵进水口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蝶阀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w:t>
                  </w:r>
                  <w:r>
                    <w:rPr>
                      <w:rFonts w:hint="default" w:ascii="Times New Roman" w:hAnsi="Times New Roman" w:cs="Times New Roman"/>
                      <w:b w:val="0"/>
                      <w:bCs w:val="0"/>
                      <w:color w:val="auto"/>
                      <w:kern w:val="2"/>
                      <w:sz w:val="21"/>
                      <w:szCs w:val="21"/>
                      <w:highlight w:val="none"/>
                      <w:lang w:val="en-US" w:eastAsia="zh-CN" w:bidi="ar-SA"/>
                    </w:rPr>
                    <w:t>0</w:t>
                  </w:r>
                  <w:r>
                    <w:rPr>
                      <w:rFonts w:hint="default" w:ascii="Times New Roman" w:hAnsi="Times New Roman" w:cs="Times New Roman" w:eastAsiaTheme="minorEastAsia"/>
                      <w:b w:val="0"/>
                      <w:bCs w:val="0"/>
                      <w:color w:val="auto"/>
                      <w:kern w:val="2"/>
                      <w:sz w:val="21"/>
                      <w:szCs w:val="21"/>
                      <w:highlight w:val="none"/>
                      <w:lang w:val="en-US" w:eastAsia="zh-CN" w:bidi="ar-SA"/>
                    </w:rPr>
                    <w:t>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安装在水泵出水口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止回阀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w:t>
                  </w:r>
                  <w:r>
                    <w:rPr>
                      <w:rFonts w:hint="default" w:ascii="Times New Roman" w:hAnsi="Times New Roman" w:cs="Times New Roman"/>
                      <w:b w:val="0"/>
                      <w:bCs w:val="0"/>
                      <w:color w:val="auto"/>
                      <w:kern w:val="2"/>
                      <w:sz w:val="21"/>
                      <w:szCs w:val="21"/>
                      <w:highlight w:val="none"/>
                      <w:lang w:val="en-US" w:eastAsia="zh-CN" w:bidi="ar-SA"/>
                    </w:rPr>
                    <w:t>0</w:t>
                  </w:r>
                  <w:r>
                    <w:rPr>
                      <w:rFonts w:hint="default" w:ascii="Times New Roman" w:hAnsi="Times New Roman" w:cs="Times New Roman" w:eastAsiaTheme="minorEastAsia"/>
                      <w:b w:val="0"/>
                      <w:bCs w:val="0"/>
                      <w:color w:val="auto"/>
                      <w:kern w:val="2"/>
                      <w:sz w:val="21"/>
                      <w:szCs w:val="21"/>
                      <w:highlight w:val="none"/>
                      <w:lang w:val="en-US" w:eastAsia="zh-CN" w:bidi="ar-SA"/>
                    </w:rPr>
                    <w:t>0</w:t>
                  </w:r>
                  <w:r>
                    <w:rPr>
                      <w:rFonts w:hint="default" w:ascii="Times New Roman" w:hAnsi="Times New Roman" w:cs="Times New Roman"/>
                      <w:b w:val="0"/>
                      <w:bCs w:val="0"/>
                      <w:color w:val="auto"/>
                      <w:kern w:val="2"/>
                      <w:sz w:val="21"/>
                      <w:szCs w:val="21"/>
                      <w:highlight w:val="none"/>
                      <w:lang w:val="en-US" w:eastAsia="zh-CN" w:bidi="ar-SA"/>
                    </w:rPr>
                    <w:t>，PN10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安装在水泵出水口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电动蝶阀</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w:t>
                  </w:r>
                  <w:r>
                    <w:rPr>
                      <w:rFonts w:hint="default" w:ascii="Times New Roman" w:hAnsi="Times New Roman" w:cs="Times New Roman"/>
                      <w:b w:val="0"/>
                      <w:bCs w:val="0"/>
                      <w:color w:val="auto"/>
                      <w:kern w:val="2"/>
                      <w:sz w:val="21"/>
                      <w:szCs w:val="21"/>
                      <w:highlight w:val="none"/>
                      <w:lang w:val="en-US" w:eastAsia="zh-CN" w:bidi="ar-SA"/>
                    </w:rPr>
                    <w:t>0</w:t>
                  </w:r>
                  <w:r>
                    <w:rPr>
                      <w:rFonts w:hint="default" w:ascii="Times New Roman" w:hAnsi="Times New Roman" w:cs="Times New Roman" w:eastAsiaTheme="minorEastAsia"/>
                      <w:b w:val="0"/>
                      <w:bCs w:val="0"/>
                      <w:color w:val="auto"/>
                      <w:kern w:val="2"/>
                      <w:sz w:val="21"/>
                      <w:szCs w:val="21"/>
                      <w:highlight w:val="none"/>
                      <w:lang w:val="en-US" w:eastAsia="zh-CN" w:bidi="ar-SA"/>
                    </w:rPr>
                    <w:t>0</w:t>
                  </w:r>
                  <w:r>
                    <w:rPr>
                      <w:rFonts w:hint="default" w:ascii="Times New Roman" w:hAnsi="Times New Roman" w:cs="Times New Roman"/>
                      <w:b w:val="0"/>
                      <w:bCs w:val="0"/>
                      <w:color w:val="auto"/>
                      <w:kern w:val="2"/>
                      <w:sz w:val="21"/>
                      <w:szCs w:val="21"/>
                      <w:highlight w:val="none"/>
                      <w:lang w:val="en-US" w:eastAsia="zh-CN" w:bidi="ar-SA"/>
                    </w:rPr>
                    <w:t>，PN10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个</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安装在水泵出水口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双法兰伸缩接头</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DN250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台</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安装在水泵进水口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双法兰传力接头</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w:t>
                  </w:r>
                  <w:r>
                    <w:rPr>
                      <w:rFonts w:hint="default" w:ascii="Times New Roman" w:hAnsi="Times New Roman" w:cs="Times New Roman"/>
                      <w:b w:val="0"/>
                      <w:bCs w:val="0"/>
                      <w:color w:val="auto"/>
                      <w:kern w:val="2"/>
                      <w:sz w:val="21"/>
                      <w:szCs w:val="21"/>
                      <w:highlight w:val="none"/>
                      <w:lang w:val="en-US" w:eastAsia="zh-CN" w:bidi="ar-SA"/>
                    </w:rPr>
                    <w:t>0</w:t>
                  </w:r>
                  <w:r>
                    <w:rPr>
                      <w:rFonts w:hint="default" w:ascii="Times New Roman" w:hAnsi="Times New Roman" w:cs="Times New Roman" w:eastAsiaTheme="minorEastAsia"/>
                      <w:b w:val="0"/>
                      <w:bCs w:val="0"/>
                      <w:color w:val="auto"/>
                      <w:kern w:val="2"/>
                      <w:sz w:val="21"/>
                      <w:szCs w:val="21"/>
                      <w:highlight w:val="none"/>
                      <w:lang w:val="en-US" w:eastAsia="zh-CN" w:bidi="ar-SA"/>
                    </w:rPr>
                    <w:t>0</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球铁</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台</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安装在水泵出水口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7" w:type="pct"/>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905"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电动单梁悬挂吊车</w:t>
                  </w:r>
                </w:p>
              </w:tc>
              <w:tc>
                <w:tcPr>
                  <w:tcW w:w="161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G=1T，H=2.0m，L</w:t>
                  </w:r>
                  <w:r>
                    <w:rPr>
                      <w:rFonts w:hint="default" w:ascii="Times New Roman" w:hAnsi="Times New Roman" w:cs="Times New Roman"/>
                      <w:b w:val="0"/>
                      <w:bCs w:val="0"/>
                      <w:color w:val="auto"/>
                      <w:kern w:val="2"/>
                      <w:sz w:val="21"/>
                      <w:szCs w:val="21"/>
                      <w:highlight w:val="none"/>
                      <w:vertAlign w:val="subscript"/>
                      <w:lang w:val="en-US" w:eastAsia="zh-CN" w:bidi="ar-SA"/>
                    </w:rPr>
                    <w:t>K</w:t>
                  </w:r>
                  <w:r>
                    <w:rPr>
                      <w:rFonts w:hint="default" w:ascii="Times New Roman" w:hAnsi="Times New Roman" w:cs="Times New Roman"/>
                      <w:b w:val="0"/>
                      <w:bCs w:val="0"/>
                      <w:color w:val="auto"/>
                      <w:kern w:val="2"/>
                      <w:sz w:val="21"/>
                      <w:szCs w:val="21"/>
                      <w:highlight w:val="none"/>
                      <w:lang w:val="en-US" w:eastAsia="zh-CN" w:bidi="ar-SA"/>
                    </w:rPr>
                    <w:t>=4.0m，P=（2×0.4+1.5+0.2）kw</w:t>
                  </w:r>
                </w:p>
              </w:tc>
              <w:tc>
                <w:tcPr>
                  <w:tcW w:w="47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4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09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项目取水泵房主要设备见下表。</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szCs w:val="21"/>
                <w:highlight w:val="none"/>
                <w:lang w:val="en-US" w:eastAsia="zh-CN"/>
              </w:rPr>
              <w:t>2</w:t>
            </w:r>
            <w:r>
              <w:rPr>
                <w:rFonts w:hint="default" w:ascii="Times New Roman" w:hAnsi="Times New Roman" w:eastAsia="黑体" w:cs="Times New Roman"/>
                <w:color w:val="auto"/>
                <w:szCs w:val="21"/>
                <w:highlight w:val="none"/>
              </w:rPr>
              <w:t>-</w:t>
            </w:r>
            <w:r>
              <w:rPr>
                <w:rFonts w:hint="eastAsia" w:ascii="Times New Roman" w:hAnsi="Times New Roman" w:eastAsia="黑体" w:cs="Times New Roman"/>
                <w:color w:val="auto"/>
                <w:szCs w:val="21"/>
                <w:highlight w:val="none"/>
                <w:lang w:val="en-US" w:eastAsia="zh-CN"/>
              </w:rPr>
              <w:t xml:space="preserve">7 </w:t>
            </w:r>
            <w:r>
              <w:rPr>
                <w:rFonts w:hint="default" w:ascii="Times New Roman" w:hAnsi="Times New Roman" w:eastAsia="黑体" w:cs="Times New Roman"/>
                <w:color w:val="auto"/>
                <w:szCs w:val="21"/>
                <w:highlight w:val="none"/>
                <w:lang w:val="en-US" w:eastAsia="zh-CN"/>
              </w:rPr>
              <w:t>项目取水泵房主要设备一览表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2"/>
              <w:gridCol w:w="3189"/>
              <w:gridCol w:w="468"/>
              <w:gridCol w:w="440"/>
              <w:gridCol w:w="2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名称</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规格及性能</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单位</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数量</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离心泵</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Q=165m</w:t>
                  </w:r>
                  <w:r>
                    <w:rPr>
                      <w:rFonts w:hint="default" w:ascii="Times New Roman" w:hAnsi="Times New Roman" w:cs="Times New Roman" w:eastAsiaTheme="minorEastAsia"/>
                      <w:b w:val="0"/>
                      <w:bCs w:val="0"/>
                      <w:color w:val="auto"/>
                      <w:sz w:val="21"/>
                      <w:szCs w:val="21"/>
                      <w:highlight w:val="none"/>
                      <w:vertAlign w:val="superscript"/>
                      <w:lang w:val="en-US" w:eastAsia="zh-CN"/>
                    </w:rPr>
                    <w:t>3</w:t>
                  </w:r>
                  <w:r>
                    <w:rPr>
                      <w:rFonts w:hint="default" w:ascii="Times New Roman" w:hAnsi="Times New Roman" w:cs="Times New Roman" w:eastAsiaTheme="minorEastAsia"/>
                      <w:b w:val="0"/>
                      <w:bCs w:val="0"/>
                      <w:color w:val="auto"/>
                      <w:sz w:val="21"/>
                      <w:szCs w:val="21"/>
                      <w:highlight w:val="none"/>
                      <w:lang w:val="en-US" w:eastAsia="zh-CN"/>
                    </w:rPr>
                    <w:t>/h</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cs="Times New Roman" w:eastAsiaTheme="minorEastAsia"/>
                      <w:b w:val="0"/>
                      <w:bCs w:val="0"/>
                      <w:color w:val="auto"/>
                      <w:sz w:val="21"/>
                      <w:szCs w:val="21"/>
                      <w:highlight w:val="none"/>
                      <w:lang w:val="en-US" w:eastAsia="zh-CN"/>
                    </w:rPr>
                    <w:t>H=97m</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cs="Times New Roman" w:eastAsiaTheme="minorEastAsia"/>
                      <w:b w:val="0"/>
                      <w:bCs w:val="0"/>
                      <w:color w:val="auto"/>
                      <w:sz w:val="21"/>
                      <w:szCs w:val="21"/>
                      <w:highlight w:val="none"/>
                      <w:lang w:val="en-US" w:eastAsia="zh-CN"/>
                    </w:rPr>
                    <w:t>P=75kWn=1480rpm</w:t>
                  </w:r>
                  <w:r>
                    <w:rPr>
                      <w:rFonts w:hint="default" w:ascii="Times New Roman" w:hAnsi="Times New Roman" w:cs="Times New Roman"/>
                      <w:b w:val="0"/>
                      <w:bCs w:val="0"/>
                      <w:color w:val="auto"/>
                      <w:sz w:val="21"/>
                      <w:szCs w:val="21"/>
                      <w:highlight w:val="none"/>
                      <w:lang w:val="en-US" w:eastAsia="zh-CN"/>
                    </w:rPr>
                    <w:t>，η≥</w:t>
                  </w:r>
                  <w:r>
                    <w:rPr>
                      <w:rFonts w:hint="default" w:ascii="Times New Roman" w:hAnsi="Times New Roman" w:cs="Times New Roman" w:eastAsiaTheme="minorEastAsia"/>
                      <w:b w:val="0"/>
                      <w:bCs w:val="0"/>
                      <w:color w:val="auto"/>
                      <w:sz w:val="21"/>
                      <w:szCs w:val="21"/>
                      <w:highlight w:val="none"/>
                      <w:lang w:val="en-US" w:eastAsia="zh-CN"/>
                    </w:rPr>
                    <w:t>85%</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潜污泵</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Q=50m</w:t>
                  </w:r>
                  <w:r>
                    <w:rPr>
                      <w:rFonts w:hint="default" w:ascii="Times New Roman" w:hAnsi="Times New Roman" w:cs="Times New Roman" w:eastAsiaTheme="minorEastAsia"/>
                      <w:b w:val="0"/>
                      <w:bCs w:val="0"/>
                      <w:color w:val="auto"/>
                      <w:sz w:val="21"/>
                      <w:szCs w:val="21"/>
                      <w:highlight w:val="none"/>
                      <w:vertAlign w:val="superscript"/>
                      <w:lang w:val="en-US" w:eastAsia="zh-CN"/>
                    </w:rPr>
                    <w:t>3</w:t>
                  </w:r>
                  <w:r>
                    <w:rPr>
                      <w:rFonts w:hint="default" w:ascii="Times New Roman" w:hAnsi="Times New Roman" w:cs="Times New Roman" w:eastAsiaTheme="minorEastAsia"/>
                      <w:b w:val="0"/>
                      <w:bCs w:val="0"/>
                      <w:color w:val="auto"/>
                      <w:sz w:val="21"/>
                      <w:szCs w:val="21"/>
                      <w:highlight w:val="none"/>
                      <w:lang w:val="en-US" w:eastAsia="zh-CN"/>
                    </w:rPr>
                    <w:t>/h</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cs="Times New Roman" w:eastAsiaTheme="minorEastAsia"/>
                      <w:b w:val="0"/>
                      <w:bCs w:val="0"/>
                      <w:color w:val="auto"/>
                      <w:sz w:val="21"/>
                      <w:szCs w:val="21"/>
                      <w:highlight w:val="none"/>
                      <w:lang w:val="en-US" w:eastAsia="zh-CN"/>
                    </w:rPr>
                    <w:t>H=15m</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cs="Times New Roman" w:eastAsiaTheme="minorEastAsia"/>
                      <w:b w:val="0"/>
                      <w:bCs w:val="0"/>
                      <w:color w:val="auto"/>
                      <w:sz w:val="21"/>
                      <w:szCs w:val="21"/>
                      <w:highlight w:val="none"/>
                      <w:lang w:val="en-US" w:eastAsia="zh-CN"/>
                    </w:rPr>
                    <w:t>P=4kW</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1用1备，泵房集水坑排水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手动双法兰软密封蝶阀</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DN300</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cs="Times New Roman" w:eastAsiaTheme="minorEastAsia"/>
                      <w:b w:val="0"/>
                      <w:bCs w:val="0"/>
                      <w:color w:val="auto"/>
                      <w:sz w:val="21"/>
                      <w:szCs w:val="21"/>
                      <w:highlight w:val="none"/>
                      <w:lang w:val="en-US" w:eastAsia="zh-CN"/>
                    </w:rPr>
                    <w:t>PN10</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cs="Times New Roman" w:eastAsiaTheme="minorEastAsia"/>
                      <w:b w:val="0"/>
                      <w:bCs w:val="0"/>
                      <w:color w:val="auto"/>
                      <w:sz w:val="21"/>
                      <w:szCs w:val="21"/>
                      <w:highlight w:val="none"/>
                      <w:lang w:val="en-US" w:eastAsia="zh-CN"/>
                    </w:rPr>
                    <w:t>D341X-10Q</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进水管上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手动双法兰软密封蝶阀</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DN250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PN10，D341X-10Q</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离心泵吸水管上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手动双法兰软密封蝶阀</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DN200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PN10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D341X-10Q</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离心泵出水管上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电动双法兰软密封蝶阀</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DN200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PN10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D941X-10Q</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3/2</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离心泵出水管上/冲洗管上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斜盘式油压缓冲止回</w:t>
                  </w:r>
                  <w:r>
                    <w:rPr>
                      <w:rFonts w:hint="default" w:ascii="Times New Roman" w:hAnsi="Times New Roman" w:cs="Times New Roman"/>
                      <w:b w:val="0"/>
                      <w:bCs w:val="0"/>
                      <w:color w:val="auto"/>
                      <w:sz w:val="21"/>
                      <w:szCs w:val="21"/>
                      <w:highlight w:val="none"/>
                      <w:lang w:val="en-US" w:eastAsia="zh-CN"/>
                    </w:rPr>
                    <w:t>阀</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DN200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PN10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H44H-10Q</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离心泵出水管上，配套油缸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双法兰限位伸缩接头</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DN250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PN10</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个</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离心泵吸水管上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双法兰限位伸缩接头</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DN200，PN10</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个</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冲洗管上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双法兰传力伸缩接头</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DN200，PN10</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个</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离心泵出水管上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手动软密封闸阀</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DN100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PN16</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Z45X-16Q</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个</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泵房排污泵出水管上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微阻缓闭止回阀</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DN100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.PN16</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HH44H-16Q</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个</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泵坑排污泵出水管上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LX型电动单梁悬挂起重机</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T=3.0t</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S=10m</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H=27m</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4.5+0.4+2x0.8</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kW</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泵房使用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CD1型电动葫芦</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T=3.0t</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H=14m</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4.5+0.4</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kW</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台</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管道风机</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Q=7200m</w:t>
                  </w:r>
                  <w:r>
                    <w:rPr>
                      <w:rFonts w:hint="default" w:ascii="Times New Roman" w:hAnsi="Times New Roman" w:cs="Times New Roman" w:eastAsiaTheme="minorEastAsia"/>
                      <w:b w:val="0"/>
                      <w:bCs w:val="0"/>
                      <w:color w:val="auto"/>
                      <w:kern w:val="2"/>
                      <w:sz w:val="21"/>
                      <w:szCs w:val="21"/>
                      <w:highlight w:val="none"/>
                      <w:vertAlign w:val="superscript"/>
                      <w:lang w:val="en-US" w:eastAsia="zh-CN" w:bidi="ar-SA"/>
                    </w:rPr>
                    <w:t>3</w:t>
                  </w:r>
                  <w:r>
                    <w:rPr>
                      <w:rFonts w:hint="default" w:ascii="Times New Roman" w:hAnsi="Times New Roman" w:cs="Times New Roman" w:eastAsiaTheme="minorEastAsia"/>
                      <w:b w:val="0"/>
                      <w:bCs w:val="0"/>
                      <w:color w:val="auto"/>
                      <w:kern w:val="2"/>
                      <w:sz w:val="21"/>
                      <w:szCs w:val="21"/>
                      <w:highlight w:val="none"/>
                      <w:lang w:val="en-US" w:eastAsia="zh-CN" w:bidi="ar-SA"/>
                    </w:rPr>
                    <w:t>/h</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P=2KPa</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N=1.1kW</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泵房使用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轴流风机</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Q=3800m</w:t>
                  </w:r>
                  <w:r>
                    <w:rPr>
                      <w:rFonts w:hint="default" w:ascii="Times New Roman" w:hAnsi="Times New Roman" w:cs="Times New Roman" w:eastAsiaTheme="minorEastAsia"/>
                      <w:b w:val="0"/>
                      <w:bCs w:val="0"/>
                      <w:color w:val="auto"/>
                      <w:kern w:val="2"/>
                      <w:sz w:val="21"/>
                      <w:szCs w:val="21"/>
                      <w:highlight w:val="none"/>
                      <w:vertAlign w:val="superscript"/>
                      <w:lang w:val="en-US" w:eastAsia="zh-CN" w:bidi="ar-SA"/>
                    </w:rPr>
                    <w:t>3</w:t>
                  </w:r>
                  <w:r>
                    <w:rPr>
                      <w:rFonts w:hint="default" w:ascii="Times New Roman" w:hAnsi="Times New Roman" w:cs="Times New Roman" w:eastAsiaTheme="minorEastAsia"/>
                      <w:b w:val="0"/>
                      <w:bCs w:val="0"/>
                      <w:color w:val="auto"/>
                      <w:kern w:val="2"/>
                      <w:sz w:val="21"/>
                      <w:szCs w:val="21"/>
                      <w:highlight w:val="none"/>
                      <w:lang w:val="en-US" w:eastAsia="zh-CN" w:bidi="ar-SA"/>
                    </w:rPr>
                    <w:t>/h</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P=220Pa</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N=0.37kW</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台</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泵房使用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取水头部</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设计取水量0.7万m</w:t>
                  </w:r>
                  <w:r>
                    <w:rPr>
                      <w:rFonts w:hint="default" w:ascii="Times New Roman" w:hAnsi="Times New Roman" w:cs="Times New Roman" w:eastAsiaTheme="minorEastAsia"/>
                      <w:b w:val="0"/>
                      <w:bCs w:val="0"/>
                      <w:color w:val="auto"/>
                      <w:kern w:val="2"/>
                      <w:sz w:val="21"/>
                      <w:szCs w:val="21"/>
                      <w:highlight w:val="none"/>
                      <w:vertAlign w:val="superscript"/>
                      <w:lang w:val="en-US" w:eastAsia="zh-CN" w:bidi="ar-SA"/>
                    </w:rPr>
                    <w:t>3</w:t>
                  </w:r>
                  <w:r>
                    <w:rPr>
                      <w:rFonts w:hint="default" w:ascii="Times New Roman" w:hAnsi="Times New Roman" w:cs="Times New Roman" w:eastAsiaTheme="minorEastAsia"/>
                      <w:b w:val="0"/>
                      <w:bCs w:val="0"/>
                      <w:color w:val="auto"/>
                      <w:kern w:val="2"/>
                      <w:sz w:val="21"/>
                      <w:szCs w:val="21"/>
                      <w:highlight w:val="none"/>
                      <w:lang w:val="en-US" w:eastAsia="zh-CN" w:bidi="ar-SA"/>
                    </w:rPr>
                    <w:t>/d</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磷酸盐干粉灭火器</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MF/ABC44kg</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每套含2具灭火器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超声波液位计</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0-10m</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统计于自控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1"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压力变送器</w:t>
                  </w:r>
                </w:p>
              </w:tc>
              <w:tc>
                <w:tcPr>
                  <w:tcW w:w="1827"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0</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1</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cs="Times New Roman" w:eastAsiaTheme="minorEastAsia"/>
                      <w:b w:val="0"/>
                      <w:bCs w:val="0"/>
                      <w:color w:val="auto"/>
                      <w:kern w:val="2"/>
                      <w:sz w:val="21"/>
                      <w:szCs w:val="21"/>
                      <w:highlight w:val="none"/>
                      <w:lang w:val="en-US" w:eastAsia="zh-CN" w:bidi="ar-SA"/>
                    </w:rPr>
                    <w:t>6MPa</w:t>
                  </w:r>
                </w:p>
              </w:tc>
              <w:tc>
                <w:tcPr>
                  <w:tcW w:w="26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套</w:t>
                  </w:r>
                </w:p>
              </w:tc>
              <w:tc>
                <w:tcPr>
                  <w:tcW w:w="252"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1278" w:type="pc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统计于自控</w:t>
                  </w:r>
                  <w:r>
                    <w:rPr>
                      <w:rFonts w:hint="default"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eastAsia="宋体" w:cs="Times New Roman"/>
                      <w:b w:val="0"/>
                      <w:bCs w:val="0"/>
                      <w:color w:val="auto"/>
                      <w:sz w:val="21"/>
                      <w:szCs w:val="21"/>
                      <w:highlight w:val="none"/>
                      <w:lang w:val="en-US" w:eastAsia="zh-CN"/>
                    </w:rPr>
                    <w:t>水泵出口</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6、主要原辅材料及能耗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本项目主要原辅材料及能耗见表2-</w:t>
            </w:r>
            <w:r>
              <w:rPr>
                <w:rFonts w:hint="eastAsia" w:ascii="Times New Roman" w:hAnsi="Times New Roman" w:cs="Times New Roman"/>
                <w:color w:val="auto"/>
                <w:sz w:val="24"/>
                <w:szCs w:val="32"/>
                <w:highlight w:val="none"/>
                <w:vertAlign w:val="baseline"/>
                <w:lang w:val="en-US" w:eastAsia="zh-CN"/>
              </w:rPr>
              <w:t>8</w:t>
            </w:r>
            <w:r>
              <w:rPr>
                <w:rFonts w:hint="default" w:ascii="Times New Roman" w:hAnsi="Times New Roman" w:cs="Times New Roman"/>
                <w:color w:val="auto"/>
                <w:sz w:val="24"/>
                <w:szCs w:val="32"/>
                <w:highlight w:val="none"/>
                <w:vertAlign w:val="baseli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szCs w:val="21"/>
                <w:highlight w:val="none"/>
                <w:lang w:val="en-US" w:eastAsia="zh-CN"/>
              </w:rPr>
              <w:t>2</w:t>
            </w:r>
            <w:r>
              <w:rPr>
                <w:rFonts w:hint="default" w:ascii="Times New Roman" w:hAnsi="Times New Roman" w:eastAsia="黑体" w:cs="Times New Roman"/>
                <w:color w:val="auto"/>
                <w:szCs w:val="21"/>
                <w:highlight w:val="none"/>
              </w:rPr>
              <w:t>-</w:t>
            </w:r>
            <w:r>
              <w:rPr>
                <w:rFonts w:hint="eastAsia" w:ascii="Times New Roman" w:hAnsi="Times New Roman" w:eastAsia="黑体" w:cs="Times New Roman"/>
                <w:color w:val="auto"/>
                <w:szCs w:val="21"/>
                <w:highlight w:val="none"/>
                <w:lang w:val="en-US" w:eastAsia="zh-CN"/>
              </w:rPr>
              <w:t xml:space="preserve">8 </w:t>
            </w:r>
            <w:r>
              <w:rPr>
                <w:rFonts w:hint="default" w:ascii="Times New Roman" w:hAnsi="Times New Roman" w:eastAsia="黑体" w:cs="Times New Roman"/>
                <w:color w:val="auto"/>
                <w:szCs w:val="21"/>
                <w:highlight w:val="none"/>
                <w:lang w:val="en-US" w:eastAsia="zh-CN"/>
              </w:rPr>
              <w:t>项目主要原辅材料及能耗表</w:t>
            </w:r>
          </w:p>
          <w:tbl>
            <w:tblPr>
              <w:tblStyle w:val="1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560"/>
              <w:gridCol w:w="1331"/>
              <w:gridCol w:w="865"/>
              <w:gridCol w:w="668"/>
              <w:gridCol w:w="1427"/>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项目</w:t>
                  </w:r>
                </w:p>
              </w:tc>
              <w:tc>
                <w:tcPr>
                  <w:tcW w:w="1560"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名称</w:t>
                  </w:r>
                </w:p>
              </w:tc>
              <w:tc>
                <w:tcPr>
                  <w:tcW w:w="1331"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年用量</w:t>
                  </w:r>
                </w:p>
              </w:tc>
              <w:tc>
                <w:tcPr>
                  <w:tcW w:w="865"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最大存储量</w:t>
                  </w:r>
                </w:p>
              </w:tc>
              <w:tc>
                <w:tcPr>
                  <w:tcW w:w="668"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性状</w:t>
                  </w:r>
                </w:p>
              </w:tc>
              <w:tc>
                <w:tcPr>
                  <w:tcW w:w="1427"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贮存位置</w:t>
                  </w:r>
                </w:p>
              </w:tc>
              <w:tc>
                <w:tcPr>
                  <w:tcW w:w="1827"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vMerge w:val="restart"/>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主要原（辅料）</w:t>
                  </w:r>
                </w:p>
              </w:tc>
              <w:tc>
                <w:tcPr>
                  <w:tcW w:w="1560"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聚合氯化铝</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PAC</w:t>
                  </w:r>
                  <w:r>
                    <w:rPr>
                      <w:rFonts w:hint="default" w:ascii="Times New Roman" w:hAnsi="Times New Roman" w:cs="Times New Roman"/>
                      <w:color w:val="auto"/>
                      <w:sz w:val="21"/>
                      <w:szCs w:val="21"/>
                      <w:highlight w:val="none"/>
                      <w:lang w:eastAsia="zh-CN"/>
                    </w:rPr>
                    <w:t>）</w:t>
                  </w:r>
                </w:p>
              </w:tc>
              <w:tc>
                <w:tcPr>
                  <w:tcW w:w="1331"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130</w:t>
                  </w:r>
                  <w:r>
                    <w:rPr>
                      <w:rFonts w:hint="eastAsia" w:ascii="Times New Roman" w:hAnsi="Times New Roman" w:cs="Times New Roman"/>
                      <w:color w:val="auto"/>
                      <w:sz w:val="21"/>
                      <w:szCs w:val="21"/>
                      <w:highlight w:val="none"/>
                      <w:lang w:val="en-US" w:eastAsia="zh-CN"/>
                    </w:rPr>
                    <w:t>t</w:t>
                  </w:r>
                </w:p>
              </w:tc>
              <w:tc>
                <w:tcPr>
                  <w:tcW w:w="86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r>
                    <w:rPr>
                      <w:rFonts w:hint="eastAsia" w:ascii="Times New Roman" w:hAnsi="Times New Roman" w:cs="Times New Roman"/>
                      <w:color w:val="auto"/>
                      <w:sz w:val="21"/>
                      <w:szCs w:val="21"/>
                      <w:highlight w:val="none"/>
                      <w:lang w:val="en-US" w:eastAsia="zh-CN"/>
                    </w:rPr>
                    <w:t>t</w:t>
                  </w:r>
                </w:p>
              </w:tc>
              <w:tc>
                <w:tcPr>
                  <w:tcW w:w="668"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固体</w:t>
                  </w:r>
                </w:p>
              </w:tc>
              <w:tc>
                <w:tcPr>
                  <w:tcW w:w="1427"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PAC投加间</w:t>
                  </w:r>
                </w:p>
              </w:tc>
              <w:tc>
                <w:tcPr>
                  <w:tcW w:w="1827"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投加量20mg/L，最低投加浓度5%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p>
              </w:tc>
              <w:tc>
                <w:tcPr>
                  <w:tcW w:w="1560"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fldChar w:fldCharType="begin"/>
                  </w:r>
                  <w:r>
                    <w:rPr>
                      <w:rFonts w:hint="default" w:ascii="Times New Roman" w:hAnsi="Times New Roman" w:eastAsia="宋体" w:cs="Times New Roman"/>
                      <w:bCs/>
                      <w:color w:val="auto"/>
                      <w:kern w:val="2"/>
                      <w:sz w:val="21"/>
                      <w:szCs w:val="21"/>
                      <w:highlight w:val="none"/>
                      <w:lang w:val="en-US" w:eastAsia="zh-CN" w:bidi="ar-SA"/>
                    </w:rPr>
                    <w:instrText xml:space="preserve"> HYPERLINK "https://baike.so.com/doc/5369894-5605748.html" \t "https://www.so.com/_blank" </w:instrText>
                  </w:r>
                  <w:r>
                    <w:rPr>
                      <w:rFonts w:hint="default" w:ascii="Times New Roman" w:hAnsi="Times New Roman" w:eastAsia="宋体" w:cs="Times New Roman"/>
                      <w:bCs/>
                      <w:color w:val="auto"/>
                      <w:kern w:val="2"/>
                      <w:sz w:val="21"/>
                      <w:szCs w:val="21"/>
                      <w:highlight w:val="none"/>
                      <w:lang w:val="en-US" w:eastAsia="zh-CN" w:bidi="ar-SA"/>
                    </w:rPr>
                    <w:fldChar w:fldCharType="separate"/>
                  </w:r>
                  <w:r>
                    <w:rPr>
                      <w:rFonts w:hint="default" w:ascii="Times New Roman" w:hAnsi="Times New Roman" w:eastAsia="宋体" w:cs="Times New Roman"/>
                      <w:bCs/>
                      <w:color w:val="auto"/>
                      <w:kern w:val="2"/>
                      <w:sz w:val="21"/>
                      <w:szCs w:val="21"/>
                      <w:highlight w:val="none"/>
                      <w:lang w:val="en-US" w:eastAsia="zh-CN" w:bidi="ar-SA"/>
                    </w:rPr>
                    <w:t>聚丙烯酰胺</w:t>
                  </w:r>
                </w:p>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fldChar w:fldCharType="end"/>
                  </w:r>
                  <w:r>
                    <w:rPr>
                      <w:rFonts w:hint="default" w:ascii="Times New Roman" w:hAnsi="Times New Roman" w:eastAsia="宋体" w:cs="Times New Roman"/>
                      <w:bCs/>
                      <w:color w:val="auto"/>
                      <w:kern w:val="2"/>
                      <w:sz w:val="21"/>
                      <w:szCs w:val="21"/>
                      <w:highlight w:val="none"/>
                      <w:lang w:val="en-US" w:eastAsia="zh-CN" w:bidi="ar-SA"/>
                    </w:rPr>
                    <w:t>（PAM）</w:t>
                  </w:r>
                </w:p>
              </w:tc>
              <w:tc>
                <w:tcPr>
                  <w:tcW w:w="1331"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2.5</w:t>
                  </w:r>
                  <w:r>
                    <w:rPr>
                      <w:rFonts w:hint="eastAsia" w:ascii="Times New Roman" w:hAnsi="Times New Roman" w:cs="Times New Roman"/>
                      <w:color w:val="auto"/>
                      <w:sz w:val="21"/>
                      <w:szCs w:val="21"/>
                      <w:highlight w:val="none"/>
                      <w:lang w:val="en-US" w:eastAsia="zh-CN"/>
                    </w:rPr>
                    <w:t>t</w:t>
                  </w:r>
                </w:p>
              </w:tc>
              <w:tc>
                <w:tcPr>
                  <w:tcW w:w="865"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w:t>
                  </w:r>
                  <w:r>
                    <w:rPr>
                      <w:rFonts w:hint="eastAsia" w:ascii="Times New Roman" w:hAnsi="Times New Roman" w:cs="Times New Roman"/>
                      <w:color w:val="auto"/>
                      <w:sz w:val="21"/>
                      <w:szCs w:val="21"/>
                      <w:highlight w:val="none"/>
                      <w:lang w:val="en-US" w:eastAsia="zh-CN"/>
                    </w:rPr>
                    <w:t>t</w:t>
                  </w:r>
                </w:p>
              </w:tc>
              <w:tc>
                <w:tcPr>
                  <w:tcW w:w="668"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固体</w:t>
                  </w:r>
                </w:p>
              </w:tc>
              <w:tc>
                <w:tcPr>
                  <w:tcW w:w="1427"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PAM</w:t>
                  </w:r>
                  <w:r>
                    <w:rPr>
                      <w:rFonts w:hint="default" w:ascii="Times New Roman" w:hAnsi="Times New Roman" w:eastAsia="宋体" w:cs="Times New Roman"/>
                      <w:b w:val="0"/>
                      <w:bCs w:val="0"/>
                      <w:color w:val="auto"/>
                      <w:sz w:val="21"/>
                      <w:szCs w:val="21"/>
                      <w:highlight w:val="none"/>
                      <w:lang w:val="en-US" w:eastAsia="zh-CN"/>
                    </w:rPr>
                    <w:t>投加间</w:t>
                  </w:r>
                </w:p>
              </w:tc>
              <w:tc>
                <w:tcPr>
                  <w:tcW w:w="1827"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投加量</w:t>
                  </w:r>
                  <w:r>
                    <w:rPr>
                      <w:rFonts w:hint="eastAsia" w:ascii="Times New Roman" w:hAnsi="Times New Roman" w:eastAsia="宋体" w:cs="Times New Roman"/>
                      <w:b w:val="0"/>
                      <w:bCs w:val="0"/>
                      <w:color w:val="auto"/>
                      <w:sz w:val="21"/>
                      <w:szCs w:val="21"/>
                      <w:highlight w:val="none"/>
                      <w:lang w:val="en-US" w:eastAsia="zh-CN"/>
                    </w:rPr>
                    <w:t>0</w:t>
                  </w:r>
                  <w:r>
                    <w:rPr>
                      <w:rFonts w:hint="default" w:ascii="Times New Roman" w:hAnsi="Times New Roman" w:eastAsia="宋体" w:cs="Times New Roman"/>
                      <w:b w:val="0"/>
                      <w:bCs w:val="0"/>
                      <w:color w:val="auto"/>
                      <w:sz w:val="21"/>
                      <w:szCs w:val="21"/>
                      <w:highlight w:val="none"/>
                      <w:lang w:val="en-US" w:eastAsia="zh-CN"/>
                    </w:rPr>
                    <w:t>.2~1.0mg/L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p>
              </w:tc>
              <w:tc>
                <w:tcPr>
                  <w:tcW w:w="1560"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生石灰</w:t>
                  </w:r>
                </w:p>
              </w:tc>
              <w:tc>
                <w:tcPr>
                  <w:tcW w:w="1331"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392.375</w:t>
                  </w:r>
                </w:p>
              </w:tc>
              <w:tc>
                <w:tcPr>
                  <w:tcW w:w="865"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5t</w:t>
                  </w:r>
                </w:p>
              </w:tc>
              <w:tc>
                <w:tcPr>
                  <w:tcW w:w="668"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固体</w:t>
                  </w:r>
                </w:p>
              </w:tc>
              <w:tc>
                <w:tcPr>
                  <w:tcW w:w="1427"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脱水间</w:t>
                  </w:r>
                </w:p>
              </w:tc>
              <w:tc>
                <w:tcPr>
                  <w:tcW w:w="1827"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污泥脱水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p>
              </w:tc>
              <w:tc>
                <w:tcPr>
                  <w:tcW w:w="1560"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复合硫酸氢钠</w:t>
                  </w:r>
                </w:p>
              </w:tc>
              <w:tc>
                <w:tcPr>
                  <w:tcW w:w="1331"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10</w:t>
                  </w:r>
                  <w:r>
                    <w:rPr>
                      <w:rFonts w:hint="eastAsia" w:ascii="Times New Roman" w:hAnsi="Times New Roman" w:cs="Times New Roman"/>
                      <w:color w:val="auto"/>
                      <w:sz w:val="21"/>
                      <w:szCs w:val="21"/>
                      <w:highlight w:val="none"/>
                      <w:lang w:val="en-US" w:eastAsia="zh-CN"/>
                    </w:rPr>
                    <w:t>t</w:t>
                  </w:r>
                </w:p>
              </w:tc>
              <w:tc>
                <w:tcPr>
                  <w:tcW w:w="865"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5m</w:t>
                  </w:r>
                  <w:r>
                    <w:rPr>
                      <w:rFonts w:hint="default" w:ascii="Times New Roman" w:hAnsi="Times New Roman" w:eastAsia="宋体" w:cs="Times New Roman"/>
                      <w:bCs/>
                      <w:color w:val="auto"/>
                      <w:kern w:val="2"/>
                      <w:sz w:val="21"/>
                      <w:szCs w:val="21"/>
                      <w:highlight w:val="none"/>
                      <w:vertAlign w:val="superscript"/>
                      <w:lang w:val="en-US" w:eastAsia="zh-CN" w:bidi="ar-SA"/>
                    </w:rPr>
                    <w:t>3</w:t>
                  </w:r>
                </w:p>
              </w:tc>
              <w:tc>
                <w:tcPr>
                  <w:tcW w:w="668"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液体</w:t>
                  </w:r>
                </w:p>
              </w:tc>
              <w:tc>
                <w:tcPr>
                  <w:tcW w:w="1427" w:type="dxa"/>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原料储备间</w:t>
                  </w:r>
                </w:p>
              </w:tc>
              <w:tc>
                <w:tcPr>
                  <w:tcW w:w="1827" w:type="dxa"/>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加药间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vMerge w:val="continue"/>
                  <w:shd w:val="clear" w:color="auto" w:fill="auto"/>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p>
              </w:tc>
              <w:tc>
                <w:tcPr>
                  <w:tcW w:w="1560"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复合</w:t>
                  </w:r>
                  <w:r>
                    <w:rPr>
                      <w:rFonts w:hint="default" w:ascii="Times New Roman" w:hAnsi="Times New Roman" w:cs="Times New Roman"/>
                      <w:b w:val="0"/>
                      <w:bCs w:val="0"/>
                      <w:color w:val="auto"/>
                      <w:szCs w:val="21"/>
                      <w:highlight w:val="none"/>
                      <w:lang w:val="en-US" w:eastAsia="zh-CN"/>
                    </w:rPr>
                    <w:t>氯</w:t>
                  </w:r>
                  <w:r>
                    <w:rPr>
                      <w:rFonts w:hint="default" w:ascii="Times New Roman" w:hAnsi="Times New Roman" w:eastAsia="宋体" w:cs="Times New Roman"/>
                      <w:b w:val="0"/>
                      <w:bCs w:val="0"/>
                      <w:color w:val="auto"/>
                      <w:szCs w:val="21"/>
                      <w:highlight w:val="none"/>
                      <w:lang w:val="en-US" w:eastAsia="zh-CN"/>
                    </w:rPr>
                    <w:t>酸钠</w:t>
                  </w:r>
                </w:p>
              </w:tc>
              <w:tc>
                <w:tcPr>
                  <w:tcW w:w="1331"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10t</w:t>
                  </w:r>
                </w:p>
              </w:tc>
              <w:tc>
                <w:tcPr>
                  <w:tcW w:w="865"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3.5m</w:t>
                  </w:r>
                  <w:r>
                    <w:rPr>
                      <w:rFonts w:hint="default" w:ascii="Times New Roman" w:hAnsi="Times New Roman" w:eastAsia="宋体" w:cs="Times New Roman"/>
                      <w:bCs/>
                      <w:color w:val="auto"/>
                      <w:kern w:val="2"/>
                      <w:sz w:val="21"/>
                      <w:szCs w:val="21"/>
                      <w:highlight w:val="none"/>
                      <w:vertAlign w:val="superscript"/>
                      <w:lang w:val="en-US" w:eastAsia="zh-CN" w:bidi="ar-SA"/>
                    </w:rPr>
                    <w:t>3</w:t>
                  </w:r>
                </w:p>
              </w:tc>
              <w:tc>
                <w:tcPr>
                  <w:tcW w:w="668"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液体</w:t>
                  </w:r>
                </w:p>
              </w:tc>
              <w:tc>
                <w:tcPr>
                  <w:tcW w:w="1427" w:type="dxa"/>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p>
              </w:tc>
              <w:tc>
                <w:tcPr>
                  <w:tcW w:w="1827" w:type="dxa"/>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能源</w:t>
                  </w:r>
                </w:p>
              </w:tc>
              <w:tc>
                <w:tcPr>
                  <w:tcW w:w="1560"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电</w:t>
                  </w:r>
                </w:p>
              </w:tc>
              <w:tc>
                <w:tcPr>
                  <w:tcW w:w="1331"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142万度</w:t>
                  </w:r>
                </w:p>
              </w:tc>
              <w:tc>
                <w:tcPr>
                  <w:tcW w:w="86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68"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w:t>
                  </w:r>
                </w:p>
              </w:tc>
              <w:tc>
                <w:tcPr>
                  <w:tcW w:w="1427"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827"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市政电网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1560"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天然气</w:t>
                  </w:r>
                </w:p>
              </w:tc>
              <w:tc>
                <w:tcPr>
                  <w:tcW w:w="1331"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1200m</w:t>
                  </w:r>
                  <w:r>
                    <w:rPr>
                      <w:rFonts w:hint="default" w:ascii="Times New Roman" w:hAnsi="Times New Roman" w:cs="Times New Roman"/>
                      <w:color w:val="auto"/>
                      <w:sz w:val="21"/>
                      <w:szCs w:val="21"/>
                      <w:highlight w:val="none"/>
                      <w:vertAlign w:val="superscript"/>
                      <w:lang w:val="en-US" w:eastAsia="zh-CN"/>
                    </w:rPr>
                    <w:t>3</w:t>
                  </w:r>
                </w:p>
              </w:tc>
              <w:tc>
                <w:tcPr>
                  <w:tcW w:w="86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68"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427"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827"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市政燃气管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vMerge w:val="continue"/>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1560" w:type="dxa"/>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原水</w:t>
                  </w:r>
                </w:p>
              </w:tc>
              <w:tc>
                <w:tcPr>
                  <w:tcW w:w="1331"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255.</w:t>
                  </w:r>
                  <w:r>
                    <w:rPr>
                      <w:rFonts w:hint="eastAsia" w:ascii="Times New Roman" w:hAnsi="Times New Roman" w:cs="Times New Roman"/>
                      <w:color w:val="auto"/>
                      <w:sz w:val="21"/>
                      <w:szCs w:val="21"/>
                      <w:highlight w:val="none"/>
                      <w:lang w:val="en-US" w:eastAsia="zh-CN"/>
                    </w:rPr>
                    <w:t>62</w:t>
                  </w:r>
                  <w:r>
                    <w:rPr>
                      <w:rFonts w:hint="default" w:ascii="Times New Roman" w:hAnsi="Times New Roman" w:cs="Times New Roman"/>
                      <w:color w:val="auto"/>
                      <w:sz w:val="21"/>
                      <w:szCs w:val="21"/>
                      <w:highlight w:val="none"/>
                      <w:lang w:val="en-US" w:eastAsia="zh-CN"/>
                    </w:rPr>
                    <w:t>万m</w:t>
                  </w:r>
                  <w:r>
                    <w:rPr>
                      <w:rFonts w:hint="default" w:ascii="Times New Roman" w:hAnsi="Times New Roman" w:cs="Times New Roman"/>
                      <w:color w:val="auto"/>
                      <w:sz w:val="21"/>
                      <w:szCs w:val="21"/>
                      <w:highlight w:val="none"/>
                      <w:vertAlign w:val="superscript"/>
                      <w:lang w:val="en-US" w:eastAsia="zh-CN"/>
                    </w:rPr>
                    <w:t>3</w:t>
                  </w:r>
                </w:p>
              </w:tc>
              <w:tc>
                <w:tcPr>
                  <w:tcW w:w="865"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68"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427"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827" w:type="dxa"/>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中河</w:t>
                  </w:r>
                </w:p>
              </w:tc>
            </w:tr>
          </w:tbl>
          <w:p>
            <w:pPr>
              <w:keepNext w:val="0"/>
              <w:keepLines w:val="0"/>
              <w:pageBreakBefore w:val="0"/>
              <w:widowControl w:val="0"/>
              <w:tabs>
                <w:tab w:val="left" w:pos="1260"/>
              </w:tabs>
              <w:kinsoku/>
              <w:wordWrap/>
              <w:overflowPunct/>
              <w:topLinePunct w:val="0"/>
              <w:autoSpaceDE/>
              <w:autoSpaceDN/>
              <w:bidi w:val="0"/>
              <w:adjustRightInd w:val="0"/>
              <w:snapToGrid/>
              <w:spacing w:line="360" w:lineRule="auto"/>
              <w:ind w:left="0" w:leftChars="0" w:firstLine="422" w:firstLineChars="200"/>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color w:val="auto"/>
                <w:szCs w:val="21"/>
                <w:highlight w:val="none"/>
                <w:lang w:val="en-US" w:eastAsia="zh-CN"/>
              </w:rPr>
              <w:t>备注：项目使用</w:t>
            </w:r>
            <w:r>
              <w:rPr>
                <w:rFonts w:hint="default" w:ascii="Times New Roman" w:hAnsi="Times New Roman" w:cs="Times New Roman"/>
                <w:b/>
                <w:color w:val="auto"/>
                <w:szCs w:val="21"/>
                <w:highlight w:val="none"/>
              </w:rPr>
              <w:t>二氧化氯</w:t>
            </w:r>
            <w:r>
              <w:rPr>
                <w:rFonts w:hint="default" w:ascii="Times New Roman" w:hAnsi="Times New Roman" w:cs="Times New Roman"/>
                <w:b/>
                <w:color w:val="auto"/>
                <w:szCs w:val="21"/>
                <w:highlight w:val="none"/>
                <w:lang w:val="en-US" w:eastAsia="zh-CN"/>
              </w:rPr>
              <w:t>做消毒剂，二氧化氯由</w:t>
            </w:r>
            <w:r>
              <w:rPr>
                <w:rFonts w:hint="default" w:ascii="Times New Roman" w:hAnsi="Times New Roman" w:cs="Times New Roman"/>
                <w:b/>
                <w:color w:val="auto"/>
                <w:szCs w:val="21"/>
                <w:highlight w:val="none"/>
              </w:rPr>
              <w:t>复合氯酸钠及复合硫酸钠制取产生，不在厂区储存</w:t>
            </w:r>
            <w:r>
              <w:rPr>
                <w:rFonts w:hint="default" w:ascii="Times New Roman" w:hAnsi="Times New Roman" w:cs="Times New Roman"/>
                <w:b/>
                <w:color w:val="auto"/>
                <w:szCs w:val="21"/>
                <w:highlight w:val="none"/>
                <w:lang w:eastAsia="zh-CN"/>
              </w:rPr>
              <w:t>。</w:t>
            </w:r>
          </w:p>
          <w:p>
            <w:pPr>
              <w:keepNext w:val="0"/>
              <w:keepLines w:val="0"/>
              <w:pageBreakBefore w:val="0"/>
              <w:widowControl w:val="0"/>
              <w:tabs>
                <w:tab w:val="left" w:pos="1260"/>
              </w:tabs>
              <w:kinsoku/>
              <w:wordWrap/>
              <w:overflowPunct/>
              <w:topLinePunct w:val="0"/>
              <w:autoSpaceDE/>
              <w:autoSpaceDN/>
              <w:bidi w:val="0"/>
              <w:adjustRightInd w:val="0"/>
              <w:snapToGrid/>
              <w:spacing w:line="360" w:lineRule="auto"/>
              <w:ind w:left="0" w:leftChars="0" w:firstLine="482" w:firstLineChars="200"/>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主要原辅材料理化性质：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聚合氯化铝（PAC）：</w:t>
            </w:r>
            <w:r>
              <w:rPr>
                <w:rFonts w:hint="default" w:ascii="Times New Roman" w:hAnsi="Times New Roman" w:cs="Times New Roman"/>
                <w:color w:val="auto"/>
                <w:sz w:val="24"/>
                <w:szCs w:val="24"/>
                <w:highlight w:val="none"/>
                <w:vertAlign w:val="baseline"/>
                <w:lang w:val="en-US" w:eastAsia="zh-CN"/>
              </w:rPr>
              <w:t>聚合氯化铝是一种净水材料，无机高分子混凝剂，又被简称为聚铝，英文缩写为PAC，由于氢氧根离子的架桥作用和多价阴离子的聚合作用而生产的分子量较大、电荷较高的无机高分子水处理药剂。在形态上又可以分为固体和液体两种。固体按颜色不同又分为棕褐色、米黄色、金黄色和白色，液体可以呈现为无色透明、微黄色、浅黄色至黄褐色。不同颜色的聚合氯化铝在应用及生产技术上也有较大的区别。</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聚合氯化铝有吸附、凝聚、沉淀等性能，聚合氯化铝稳定性差。毒性及防护有腐蚀性，如不慎溅到皮肤上要立即用水冲洗干净。生产人员要穿工作服，戴口罩、手套，穿长筒胶靴。生产设备要密闭，车间通风应良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聚合氯化铝有腐蚀性。加热至110℃以上时分解，放出氯化氢气体，最后分解为氧化铝；与酸反应发生解聚作用，使聚合度和碱度降低，最后变为正铝盐。与碱作用可使聚合度和碱度提高，最终可形成氢氧化铝沉淀或铝酸盐；与硫酸铝或其他多价酸盐混合时易生成沉淀，可降低或完全失去混凝性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fldChar w:fldCharType="begin"/>
            </w:r>
            <w:r>
              <w:rPr>
                <w:rFonts w:hint="default" w:ascii="Times New Roman" w:hAnsi="Times New Roman" w:cs="Times New Roman"/>
                <w:b/>
                <w:bCs/>
                <w:color w:val="auto"/>
                <w:sz w:val="24"/>
                <w:szCs w:val="24"/>
                <w:highlight w:val="none"/>
                <w:vertAlign w:val="baseline"/>
                <w:lang w:val="en-US" w:eastAsia="zh-CN"/>
              </w:rPr>
              <w:instrText xml:space="preserve"> HYPERLINK "https://baike.so.com/doc/5369894-5605748.html" \t "https://www.so.com/_blank" </w:instrText>
            </w:r>
            <w:r>
              <w:rPr>
                <w:rFonts w:hint="default" w:ascii="Times New Roman" w:hAnsi="Times New Roman" w:cs="Times New Roman"/>
                <w:b/>
                <w:bCs/>
                <w:color w:val="auto"/>
                <w:sz w:val="24"/>
                <w:szCs w:val="24"/>
                <w:highlight w:val="none"/>
                <w:vertAlign w:val="baseline"/>
                <w:lang w:val="en-US" w:eastAsia="zh-CN"/>
              </w:rPr>
              <w:fldChar w:fldCharType="separate"/>
            </w:r>
            <w:r>
              <w:rPr>
                <w:rFonts w:hint="default" w:ascii="Times New Roman" w:hAnsi="Times New Roman" w:cs="Times New Roman"/>
                <w:b/>
                <w:bCs/>
                <w:color w:val="auto"/>
                <w:sz w:val="24"/>
                <w:szCs w:val="24"/>
                <w:highlight w:val="none"/>
                <w:vertAlign w:val="baseline"/>
                <w:lang w:val="en-US" w:eastAsia="zh-CN"/>
              </w:rPr>
              <w:t>聚丙烯酰胺</w:t>
            </w:r>
            <w:r>
              <w:rPr>
                <w:rFonts w:hint="default" w:ascii="Times New Roman" w:hAnsi="Times New Roman" w:cs="Times New Roman"/>
                <w:b/>
                <w:bCs/>
                <w:color w:val="auto"/>
                <w:sz w:val="24"/>
                <w:szCs w:val="24"/>
                <w:highlight w:val="none"/>
                <w:vertAlign w:val="baseline"/>
                <w:lang w:val="en-US" w:eastAsia="zh-CN"/>
              </w:rPr>
              <w:fldChar w:fldCharType="end"/>
            </w:r>
            <w:r>
              <w:rPr>
                <w:rFonts w:hint="default" w:ascii="Times New Roman" w:hAnsi="Times New Roman" w:cs="Times New Roman"/>
                <w:b/>
                <w:bCs/>
                <w:color w:val="auto"/>
                <w:sz w:val="24"/>
                <w:szCs w:val="24"/>
                <w:highlight w:val="none"/>
                <w:vertAlign w:val="baseline"/>
                <w:lang w:val="en-US" w:eastAsia="zh-CN"/>
              </w:rPr>
              <w:t>（PAM）：</w:t>
            </w:r>
            <w:r>
              <w:rPr>
                <w:rFonts w:hint="default" w:ascii="Times New Roman" w:hAnsi="Times New Roman" w:cs="Times New Roman"/>
                <w:color w:val="auto"/>
                <w:sz w:val="24"/>
                <w:szCs w:val="24"/>
                <w:highlight w:val="none"/>
                <w:vertAlign w:val="baseline"/>
                <w:lang w:val="en-US" w:eastAsia="zh-CN"/>
              </w:rPr>
              <w:t>聚丙烯酰胺是一种线状的有机高分子聚合物，同时也是一种高分子水处理絮凝剂产品，专门可以吸附水中的悬浮颗粒，在颗粒之间起链接架桥作用，使细颗粒形成比较大的絮团，并且加快了沉淀的速度。这一过程称之为絮凝，因其中良好的絮凝效果PAM作为水处理的絮凝剂并且被广泛用于污水处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复合氯酸钠（绿安消、A剂）：</w:t>
            </w:r>
            <w:r>
              <w:rPr>
                <w:rFonts w:hint="default" w:ascii="Times New Roman" w:hAnsi="Times New Roman" w:cs="Times New Roman"/>
                <w:color w:val="auto"/>
                <w:sz w:val="24"/>
                <w:szCs w:val="24"/>
                <w:highlight w:val="none"/>
                <w:vertAlign w:val="baseline"/>
                <w:lang w:val="en-US" w:eastAsia="zh-CN"/>
              </w:rPr>
              <w:t>主要成份为氯酸钠（≥24.0%）、氯化钠（≤1.5%）、C</w:t>
            </w:r>
            <w:r>
              <w:rPr>
                <w:rFonts w:hint="default" w:ascii="Times New Roman" w:hAnsi="Times New Roman" w:cs="Times New Roman"/>
                <w:color w:val="auto"/>
                <w:sz w:val="24"/>
                <w:szCs w:val="24"/>
                <w:highlight w:val="none"/>
                <w:vertAlign w:val="subscript"/>
                <w:lang w:val="en-US" w:eastAsia="zh-CN"/>
              </w:rPr>
              <w:t>12</w:t>
            </w:r>
            <w:r>
              <w:rPr>
                <w:rFonts w:hint="default" w:ascii="Times New Roman" w:hAnsi="Times New Roman" w:cs="Times New Roman"/>
                <w:color w:val="auto"/>
                <w:sz w:val="24"/>
                <w:szCs w:val="24"/>
                <w:highlight w:val="none"/>
                <w:vertAlign w:val="baseline"/>
                <w:lang w:val="en-US" w:eastAsia="zh-CN"/>
              </w:rPr>
              <w:t>H</w:t>
            </w:r>
            <w:r>
              <w:rPr>
                <w:rFonts w:hint="default" w:ascii="Times New Roman" w:hAnsi="Times New Roman" w:cs="Times New Roman"/>
                <w:color w:val="auto"/>
                <w:sz w:val="24"/>
                <w:szCs w:val="24"/>
                <w:highlight w:val="none"/>
                <w:vertAlign w:val="subscript"/>
                <w:lang w:val="en-US" w:eastAsia="zh-CN"/>
              </w:rPr>
              <w:t>22</w:t>
            </w:r>
            <w:r>
              <w:rPr>
                <w:rFonts w:hint="default" w:ascii="Times New Roman" w:hAnsi="Times New Roman" w:cs="Times New Roman"/>
                <w:color w:val="auto"/>
                <w:sz w:val="24"/>
                <w:szCs w:val="24"/>
                <w:highlight w:val="none"/>
                <w:vertAlign w:val="baseline"/>
                <w:lang w:val="en-US" w:eastAsia="zh-CN"/>
              </w:rPr>
              <w:t>O</w:t>
            </w:r>
            <w:r>
              <w:rPr>
                <w:rFonts w:hint="default" w:ascii="Times New Roman" w:hAnsi="Times New Roman" w:cs="Times New Roman"/>
                <w:color w:val="auto"/>
                <w:sz w:val="24"/>
                <w:szCs w:val="24"/>
                <w:highlight w:val="none"/>
                <w:vertAlign w:val="subscript"/>
                <w:lang w:val="en-US" w:eastAsia="zh-CN"/>
              </w:rPr>
              <w:t>11</w:t>
            </w:r>
            <w:r>
              <w:rPr>
                <w:rFonts w:hint="default" w:ascii="Times New Roman" w:hAnsi="Times New Roman" w:cs="Times New Roman"/>
                <w:color w:val="auto"/>
                <w:sz w:val="24"/>
                <w:szCs w:val="24"/>
                <w:highlight w:val="none"/>
                <w:vertAlign w:val="baseline"/>
                <w:lang w:val="en-US" w:eastAsia="zh-CN"/>
              </w:rPr>
              <w:t>（≤2.0%）。常温下为无色或微黄色水溶液，密度＞1.25g/ml。用于水处理杀菌消毒剂二氧化氯制备，与活化剂（复合硫酸氢钠）按比例投加至二氧化氯发生器内，制备二氧化氯消毒液用于水质杀菌消毒。</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复合硫酸氢钠（活化剂、B剂）：</w:t>
            </w:r>
            <w:r>
              <w:rPr>
                <w:rFonts w:hint="default" w:ascii="Times New Roman" w:hAnsi="Times New Roman" w:cs="Times New Roman"/>
                <w:color w:val="auto"/>
                <w:sz w:val="24"/>
                <w:szCs w:val="24"/>
                <w:highlight w:val="none"/>
                <w:vertAlign w:val="baseline"/>
                <w:lang w:val="en-US" w:eastAsia="zh-CN"/>
              </w:rPr>
              <w:t>主要成份为硫酸氢钠（≥48%）、尿素（≥1%）、C12H22O11（≥2.0%）。常温下为无色或微黄色水溶液，密度1.50g/ml。用于水处理杀菌消毒剂二氧化氯制备，与绿安消（复合氯酸钠）按比例投加至二氧化氯发生器内，制备二氧化氯消毒液用于水质杀菌消毒。</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二氧化氯：</w:t>
            </w:r>
            <w:r>
              <w:rPr>
                <w:rFonts w:hint="default" w:ascii="Times New Roman" w:hAnsi="Times New Roman" w:cs="Times New Roman"/>
                <w:color w:val="auto"/>
                <w:sz w:val="24"/>
                <w:szCs w:val="24"/>
                <w:highlight w:val="none"/>
                <w:vertAlign w:val="baseline"/>
                <w:lang w:val="en-US" w:eastAsia="zh-CN"/>
              </w:rPr>
              <w:t>为黄绿色液体，沸点-34.6℃，熔点-103℃，在常压下即汽化成气体，吸入人体能严重中毒，有剧烈刺激作用和腐蚀性，在日光下与其它易燃气体混合时发生燃烧和爆炸，氯是很活泼的物质，可以和大多数元素（或化合物）起反应。二氧化氯一般气化后使用，用途较为广泛，为强氧化剂，用于纺织、造纸工业的漂白，自来水的净化、消毒，镁及其它金属的炼制，制取农药、洗涤剂、塑料、橡胶、医药等各种含氯化合物。化工生产中，由聚乙烯与二氧化氯合成为聚氯乙烯、氯化聚乙烯。广泛用于造纸、纺织、农药、有机合成、金属冶炼、化工原料等行业，及生活用水消毒之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7、</w:t>
            </w:r>
            <w:r>
              <w:rPr>
                <w:rFonts w:hint="default" w:ascii="Times New Roman" w:hAnsi="Times New Roman" w:cs="Times New Roman"/>
                <w:b/>
                <w:bCs/>
                <w:color w:val="auto"/>
                <w:sz w:val="24"/>
                <w:szCs w:val="32"/>
                <w:highlight w:val="none"/>
                <w:vertAlign w:val="baseline"/>
                <w:lang w:val="en-US" w:eastAsia="zh-CN"/>
              </w:rPr>
              <w:t>劳动定员及工作制度</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本项目劳动定员15人，年工作365天，24小时运营，实行三班工作制，8h/班。供水厂内不设置住宿。</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8、</w:t>
            </w:r>
            <w:r>
              <w:rPr>
                <w:rFonts w:hint="default" w:ascii="Times New Roman" w:hAnsi="Times New Roman" w:cs="Times New Roman"/>
                <w:b/>
                <w:bCs/>
                <w:color w:val="auto"/>
                <w:sz w:val="24"/>
                <w:szCs w:val="24"/>
                <w:highlight w:val="none"/>
                <w:vertAlign w:val="baseline"/>
                <w:lang w:val="en-US" w:eastAsia="zh-CN"/>
              </w:rPr>
              <w:t>公用工程及辅助设施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（1）供电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本项目用电由宣汉县供电系统供应，新增用电量约为400万kWh。本项目不设置备用发电机。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（2）供气</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本项目食堂使用天然气作能源，天然气由市政供气管道供给。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（3）给水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本项目原水由中河提供，厂区全部用水由厂区供水系统提供。本项目给水分为生活用水（含食堂用水）、生产用水。本项目设计取水量为7000m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/d，根据水平衡计算，原水用量为70</w:t>
            </w:r>
            <w:r>
              <w:rPr>
                <w:rFonts w:hint="eastAsia" w:ascii="Times New Roman" w:hAnsi="Times New Roman" w:cs="Times New Roman"/>
                <w:color w:val="auto"/>
                <w:sz w:val="24"/>
                <w:szCs w:val="24"/>
                <w:highlight w:val="none"/>
                <w:vertAlign w:val="baseline"/>
                <w:lang w:val="en-US" w:eastAsia="zh-CN"/>
              </w:rPr>
              <w:t>03.35</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①生活用水（含食堂用水）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本项目员工人数为15人。根据《四川省用水定额》（川府函〔2021〕8号）中表5农村居民生活用水定额表，用水量按60L/人·d计，则办公生活用水量为0.9m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/d（328.5m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/a）；项目食堂就餐人数15人，用水量按20L/人·d计，则食堂用水量为0.3m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/d（109.5m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/a）；综上，本项目生活用水量为1.2m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/d（438m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（4）排水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本项目采用雨、污分流制排水系统。项目运营期主要排水为生活污水（含食堂废水）和生产废水。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①生活污水（含食堂废水）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生活污水产生系数取0.85，</w:t>
            </w:r>
            <w:r>
              <w:rPr>
                <w:rFonts w:hint="default" w:ascii="Times New Roman" w:hAnsi="Times New Roman" w:cs="Times New Roman"/>
                <w:color w:val="auto"/>
                <w:kern w:val="24"/>
                <w:sz w:val="24"/>
                <w:szCs w:val="24"/>
                <w:highlight w:val="none"/>
              </w:rPr>
              <w:t>则生活污水</w:t>
            </w:r>
            <w:r>
              <w:rPr>
                <w:rFonts w:hint="default" w:ascii="Times New Roman" w:hAnsi="Times New Roman" w:cs="Times New Roman"/>
                <w:color w:val="auto"/>
                <w:kern w:val="24"/>
                <w:sz w:val="24"/>
                <w:szCs w:val="24"/>
                <w:highlight w:val="none"/>
                <w:lang w:eastAsia="zh-CN"/>
              </w:rPr>
              <w:t>（</w:t>
            </w:r>
            <w:r>
              <w:rPr>
                <w:rFonts w:hint="default" w:ascii="Times New Roman" w:hAnsi="Times New Roman" w:cs="Times New Roman"/>
                <w:color w:val="auto"/>
                <w:kern w:val="24"/>
                <w:sz w:val="24"/>
                <w:szCs w:val="24"/>
                <w:highlight w:val="none"/>
                <w:lang w:val="en-US" w:eastAsia="zh-CN"/>
              </w:rPr>
              <w:t>含食堂废水</w:t>
            </w:r>
            <w:r>
              <w:rPr>
                <w:rFonts w:hint="default" w:ascii="Times New Roman" w:hAnsi="Times New Roman" w:cs="Times New Roman"/>
                <w:color w:val="auto"/>
                <w:kern w:val="24"/>
                <w:sz w:val="24"/>
                <w:szCs w:val="24"/>
                <w:highlight w:val="none"/>
                <w:lang w:eastAsia="zh-CN"/>
              </w:rPr>
              <w:t>）</w:t>
            </w:r>
            <w:r>
              <w:rPr>
                <w:rFonts w:hint="default" w:ascii="Times New Roman" w:hAnsi="Times New Roman" w:cs="Times New Roman"/>
                <w:color w:val="auto"/>
                <w:kern w:val="24"/>
                <w:sz w:val="24"/>
                <w:szCs w:val="24"/>
                <w:highlight w:val="none"/>
              </w:rPr>
              <w:t>产生量约</w:t>
            </w:r>
            <w:r>
              <w:rPr>
                <w:rFonts w:hint="default" w:ascii="Times New Roman" w:hAnsi="Times New Roman" w:cs="Times New Roman"/>
                <w:color w:val="auto"/>
                <w:kern w:val="24"/>
                <w:sz w:val="24"/>
                <w:szCs w:val="24"/>
                <w:highlight w:val="none"/>
                <w:lang w:val="en-US" w:eastAsia="zh-CN"/>
              </w:rPr>
              <w:t>1.02</w:t>
            </w:r>
            <w:r>
              <w:rPr>
                <w:rFonts w:hint="default" w:ascii="Times New Roman" w:hAnsi="Times New Roman" w:cs="Times New Roman"/>
                <w:color w:val="auto"/>
                <w:kern w:val="24"/>
                <w:sz w:val="24"/>
                <w:szCs w:val="24"/>
                <w:highlight w:val="none"/>
              </w:rPr>
              <w:t>m</w:t>
            </w:r>
            <w:r>
              <w:rPr>
                <w:rFonts w:hint="default" w:ascii="Times New Roman" w:hAnsi="Times New Roman" w:cs="Times New Roman"/>
                <w:color w:val="auto"/>
                <w:kern w:val="24"/>
                <w:sz w:val="24"/>
                <w:szCs w:val="24"/>
                <w:highlight w:val="none"/>
                <w:vertAlign w:val="superscript"/>
              </w:rPr>
              <w:t>3</w:t>
            </w:r>
            <w:r>
              <w:rPr>
                <w:rFonts w:hint="default" w:ascii="Times New Roman" w:hAnsi="Times New Roman" w:cs="Times New Roman"/>
                <w:color w:val="auto"/>
                <w:kern w:val="24"/>
                <w:sz w:val="24"/>
                <w:szCs w:val="24"/>
                <w:highlight w:val="none"/>
              </w:rPr>
              <w:t>/d</w:t>
            </w:r>
            <w:r>
              <w:rPr>
                <w:rFonts w:hint="default" w:ascii="Times New Roman" w:hAnsi="Times New Roman" w:cs="Times New Roman"/>
                <w:color w:val="auto"/>
                <w:kern w:val="24"/>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②生产废水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项目生产废水包含预沉池排泥水、一体化设备排泥水（絮凝沉淀排泥水）、V型滤池反冲洗废水、脱水滤液等，根据《排放源统计调查产排污核算方法和系数手册》（公告2021年第24号）中“4610自来水生产和供应行业系数手册”中混凝沉淀（或澄清）过滤消毒工艺（≤5万吨/日）废水量产污系数6.16×10</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t/t-产品计，则生产废水产生量为431.2m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w:t>
            </w:r>
            <w:r>
              <w:rPr>
                <w:rFonts w:hint="eastAsia" w:ascii="Times New Roman" w:hAnsi="Times New Roman" w:cs="Times New Roman"/>
                <w:color w:val="auto"/>
                <w:sz w:val="24"/>
                <w:szCs w:val="24"/>
                <w:highlight w:val="none"/>
                <w:vertAlign w:val="baseline"/>
                <w:lang w:val="en-US" w:eastAsia="zh-CN"/>
              </w:rPr>
              <w:t>本项目生产废水不考虑过程损耗，因此生产废水量约等于生产用水量。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项目水平衡图见下图。</w:t>
            </w:r>
          </w:p>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eastAsia="黑体" w:cs="Times New Roman"/>
                <w:color w:val="auto"/>
                <w:szCs w:val="21"/>
                <w:highlight w:val="none"/>
                <w:lang w:val="en-US" w:eastAsia="zh-CN"/>
              </w:rPr>
              <w:object>
                <v:shape id="_x0000_i1025" o:spt="75" type="#_x0000_t75" style="height:271.3pt;width:436.4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r>
              <w:rPr>
                <w:rFonts w:hint="default" w:ascii="Times New Roman" w:hAnsi="Times New Roman" w:eastAsia="黑体" w:cs="Times New Roman"/>
                <w:color w:val="auto"/>
                <w:szCs w:val="21"/>
                <w:highlight w:val="none"/>
                <w:lang w:val="en-US" w:eastAsia="zh-CN"/>
              </w:rPr>
              <w:t>图2-1</w:t>
            </w:r>
            <w:r>
              <w:rPr>
                <w:rFonts w:hint="eastAsia" w:ascii="Times New Roman" w:hAnsi="Times New Roman" w:eastAsia="黑体" w:cs="Times New Roman"/>
                <w:color w:val="auto"/>
                <w:szCs w:val="21"/>
                <w:highlight w:val="none"/>
                <w:lang w:val="en-US" w:eastAsia="zh-CN"/>
              </w:rPr>
              <w:t xml:space="preserve"> </w:t>
            </w:r>
            <w:r>
              <w:rPr>
                <w:rFonts w:hint="default" w:ascii="Times New Roman" w:hAnsi="Times New Roman" w:eastAsia="黑体" w:cs="Times New Roman"/>
                <w:color w:val="auto"/>
                <w:szCs w:val="21"/>
                <w:highlight w:val="none"/>
                <w:lang w:val="en-US" w:eastAsia="zh-CN"/>
              </w:rPr>
              <w:t>本项目水平衡图（m</w:t>
            </w:r>
            <w:r>
              <w:rPr>
                <w:rFonts w:hint="default" w:ascii="Times New Roman" w:hAnsi="Times New Roman" w:eastAsia="黑体" w:cs="Times New Roman"/>
                <w:color w:val="auto"/>
                <w:szCs w:val="21"/>
                <w:highlight w:val="none"/>
                <w:vertAlign w:val="superscript"/>
                <w:lang w:val="en-US" w:eastAsia="zh-CN"/>
              </w:rPr>
              <w:t>3</w:t>
            </w:r>
            <w:r>
              <w:rPr>
                <w:rFonts w:hint="default" w:ascii="Times New Roman" w:hAnsi="Times New Roman" w:eastAsia="黑体" w:cs="Times New Roman"/>
                <w:color w:val="auto"/>
                <w:szCs w:val="21"/>
                <w:highlight w:val="none"/>
                <w:lang w:val="en-US" w:eastAsia="zh-CN"/>
              </w:rPr>
              <w:t>/d）</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9、厂区平面布置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（1）供水厂平面布置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本项目供水厂建设地块呈不规则矩形，整个厂区平面布置按不同功能分为净水处理区、排泥水处理区、辅助生产区及生活办公区</w:t>
            </w:r>
            <w:r>
              <w:rPr>
                <w:rFonts w:hint="default" w:ascii="Times New Roman" w:hAnsi="Times New Roman" w:cs="Times New Roman"/>
                <w:color w:val="auto"/>
                <w:sz w:val="24"/>
                <w:szCs w:val="24"/>
                <w:highlight w:val="none"/>
              </w:rPr>
              <w:t>，功能区划明确</w:t>
            </w:r>
            <w:r>
              <w:rPr>
                <w:rFonts w:hint="default" w:ascii="Times New Roman" w:hAnsi="Times New Roman" w:cs="Times New Roman"/>
                <w:color w:val="auto"/>
                <w:sz w:val="24"/>
                <w:szCs w:val="32"/>
                <w:highlight w:val="none"/>
                <w:vertAlign w:val="baseline"/>
                <w:lang w:val="en-US" w:eastAsia="zh-CN"/>
              </w:rPr>
              <w:t>。总体布局由东向西依次布设为综合楼、预沉池、一体化处理设施及清水池、辅助生产用房、泥水综合体。</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项目净水处理区设置于厂区中部，其工艺布局按照工艺顺畅的原则，依次布设预沉→一体化处理设备（絮凝沉淀+V型滤池）→二氧化氯消毒→清水池，形成一条完整的流水线；项目辅助生产区设置1栋1F辅助生产用房，位于厂区中部南侧，由东向西依次布设有原料储备间、加氯间、反冲洗泵房、PAM投加间、PAC投加间、配电间；项目排泥水处理区设置1栋泥水处理综合体，位于厂区西侧，内设泥水混合池、浓缩池、脱水间、贮泥间、泥棚；整体上，净水处理区、排泥水处理区、辅助生产区布局较紧凑，流程顺畅，且布局上充分结合工艺需求，做到就近控制、就近进行加药、冲洗。项目生活办公区设置1栋3F综合楼，位于厂区东侧，其中：1F设置化验室、厨房、餐厅、卫生间，2F设置办公室、中控室、卫生间，3F设置办公室、会议室、卫生间，办公生活区处于宣汉县上风向，且靠近大门方向，既可以实现生产、生活分离，又可以加强生产管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厂区出入口位于厂区东侧，修建有施工便道与厂外道路衔接。根据工艺特点，将厂内道路沿各功能分区布置成环状，便于厂区内各部分间的相互联系；既对污泥运输及消防有利，又便于人流、货流的组织，同时也利于工程技术管理。全厂道路为混凝土路面。</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（2）取水泵房平面布局</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本项目取水泵房呈圆形，由水泵、电气设备及相应的泵房组成，泵房内布置3台离心泵，Q=165m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h，2用1备；1台电动单梁悬挂起重机等。一层为起吊间，二楼为配电房。泵房内的进、压水管均为明管；进水管经进水闸阀进入水泵；出水管经微阻缓闭止回阀和手动软密封闸阀后接入输水总管。泵房的漏水采用集水沟槽和排水管道自流至集水井，再由集水井潜污泵排至下游。</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取水泵房结构简单，各功能分区明确，评价认为项目泵房总平布置合理。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（3）施工平面布局</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本项目管网采用重力流形式，沿乡镇之间的道路（属于山谷地带）进行敷设；项目取水泵房、管线敷设等工程周边均有现有道路，项目供水厂设置位置地势较高无直通的现状道路，本次在设置1条长0.486km的施工便道，施工期不设取（弃）土场、施工营地等其他施工临时设施。环评要求：供水厂、取水泵房等施工场地严格控制占地范围，不得超出用地红线，以减轻生态环境影响；输水管线和供水管线设施工作业带，并将管线施工临时堆土区设置于远离地表水体一侧（输水管线右侧），避免临时堆土进入地表水体。施工作业带宽5m，临时占地面积约0.4</w:t>
            </w:r>
            <w:r>
              <w:rPr>
                <w:rFonts w:hint="eastAsia" w:ascii="Times New Roman" w:hAnsi="Times New Roman" w:cs="Times New Roman"/>
                <w:color w:val="auto"/>
                <w:sz w:val="24"/>
                <w:szCs w:val="32"/>
                <w:highlight w:val="none"/>
                <w:vertAlign w:val="baseline"/>
                <w:lang w:val="en-US" w:eastAsia="zh-CN"/>
              </w:rPr>
              <w:t>8</w:t>
            </w:r>
            <w:r>
              <w:rPr>
                <w:rFonts w:hint="default" w:ascii="Times New Roman" w:hAnsi="Times New Roman" w:cs="Times New Roman"/>
                <w:color w:val="auto"/>
                <w:sz w:val="24"/>
                <w:szCs w:val="32"/>
                <w:highlight w:val="none"/>
                <w:vertAlign w:val="baseline"/>
                <w:lang w:val="en-US" w:eastAsia="zh-CN"/>
              </w:rPr>
              <w:t>km</w:t>
            </w:r>
            <w:r>
              <w:rPr>
                <w:rFonts w:hint="default" w:ascii="Times New Roman" w:hAnsi="Times New Roman" w:cs="Times New Roman"/>
                <w:color w:val="auto"/>
                <w:sz w:val="24"/>
                <w:szCs w:val="32"/>
                <w:highlight w:val="none"/>
                <w:vertAlign w:val="superscript"/>
                <w:lang w:val="en-US" w:eastAsia="zh-CN"/>
              </w:rPr>
              <w:t>2</w:t>
            </w:r>
            <w:r>
              <w:rPr>
                <w:rFonts w:hint="default" w:ascii="Times New Roman" w:hAnsi="Times New Roman" w:cs="Times New Roman"/>
                <w:color w:val="auto"/>
                <w:sz w:val="24"/>
                <w:szCs w:val="32"/>
                <w:highlight w:val="none"/>
                <w:vertAlign w:val="baseline"/>
                <w:lang w:val="en-US" w:eastAsia="zh-CN"/>
              </w:rPr>
              <w:t>，</w:t>
            </w:r>
            <w:r>
              <w:rPr>
                <w:rFonts w:hint="default" w:ascii="Times New Roman" w:hAnsi="Times New Roman" w:cs="Times New Roman"/>
                <w:color w:val="auto"/>
                <w:sz w:val="24"/>
                <w:szCs w:val="24"/>
                <w:highlight w:val="none"/>
                <w:lang w:eastAsia="zh-CN"/>
              </w:rPr>
              <w:t>占地类型主要为耕地、林地、草地、</w:t>
            </w:r>
            <w:r>
              <w:rPr>
                <w:rFonts w:hint="default" w:ascii="Times New Roman" w:hAnsi="Times New Roman" w:cs="Times New Roman"/>
                <w:color w:val="auto"/>
                <w:sz w:val="24"/>
                <w:szCs w:val="24"/>
                <w:highlight w:val="none"/>
                <w:lang w:val="en-US" w:eastAsia="zh-CN"/>
              </w:rPr>
              <w:t>道路</w:t>
            </w:r>
            <w:r>
              <w:rPr>
                <w:rFonts w:hint="eastAsia" w:ascii="Times New Roman" w:hAnsi="Times New Roman" w:cs="Times New Roman"/>
                <w:color w:val="auto"/>
                <w:sz w:val="24"/>
                <w:szCs w:val="24"/>
                <w:highlight w:val="none"/>
                <w:lang w:val="en-US" w:eastAsia="zh-CN"/>
              </w:rPr>
              <w:t>等</w:t>
            </w:r>
            <w:r>
              <w:rPr>
                <w:rFonts w:hint="default" w:ascii="Times New Roman" w:hAnsi="Times New Roman" w:cs="Times New Roman"/>
                <w:color w:val="auto"/>
                <w:sz w:val="24"/>
                <w:szCs w:val="32"/>
                <w:highlight w:val="none"/>
                <w:vertAlign w:val="baseline"/>
                <w:lang w:val="en-US" w:eastAsia="zh-CN"/>
              </w:rPr>
              <w:t>，管道敷设完后立即恢复其原有地貌。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工程在施工布置上，遵循因地、因时制宜、有利生产、方便生活、易于管理、安全可靠、经济合理的原则，控制占地和减少开挖扰动破坏面。</w:t>
            </w:r>
          </w:p>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drawing>
                <wp:inline distT="0" distB="0" distL="0" distR="0">
                  <wp:extent cx="3002915" cy="93345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37705" cy="944077"/>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szCs w:val="21"/>
                <w:highlight w:val="none"/>
                <w:lang w:val="en-US" w:eastAsia="zh-CN"/>
              </w:rPr>
              <w:t>图2-2</w:t>
            </w:r>
            <w:r>
              <w:rPr>
                <w:rFonts w:hint="eastAsia" w:ascii="Times New Roman" w:hAnsi="Times New Roman" w:eastAsia="黑体" w:cs="Times New Roman"/>
                <w:color w:val="auto"/>
                <w:szCs w:val="21"/>
                <w:highlight w:val="none"/>
                <w:lang w:val="en-US" w:eastAsia="zh-CN"/>
              </w:rPr>
              <w:t xml:space="preserve"> </w:t>
            </w:r>
            <w:r>
              <w:rPr>
                <w:rFonts w:hint="default" w:ascii="Times New Roman" w:hAnsi="Times New Roman" w:eastAsia="黑体" w:cs="Times New Roman"/>
                <w:color w:val="auto"/>
                <w:szCs w:val="21"/>
                <w:highlight w:val="none"/>
                <w:lang w:val="en-US" w:eastAsia="zh-CN"/>
              </w:rPr>
              <w:t>管网施工平面布置图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10、土石方平衡</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根据初步设计阶段主体工程土石方调配规划，工程总计开挖土石方52235.4m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（自然方，包括表土剥离），其中填方量23557m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（自然方），弃渣量28678.4m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（自然方）。剥离的表土全部用于植物绿化的表土回覆，弃渣运输到政府部门指定弃渣场处理，工程不设置永久弃渣场。土石平衡计算及弃渣量见下表。</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表2-</w:t>
            </w:r>
            <w:r>
              <w:rPr>
                <w:rFonts w:hint="eastAsia" w:ascii="Times New Roman" w:hAnsi="Times New Roman" w:eastAsia="黑体" w:cs="Times New Roman"/>
                <w:color w:val="auto"/>
                <w:szCs w:val="21"/>
                <w:highlight w:val="none"/>
                <w:lang w:val="en-US" w:eastAsia="zh-CN"/>
              </w:rPr>
              <w:t xml:space="preserve">9 </w:t>
            </w:r>
            <w:r>
              <w:rPr>
                <w:rFonts w:hint="default" w:ascii="Times New Roman" w:hAnsi="Times New Roman" w:eastAsia="黑体" w:cs="Times New Roman"/>
                <w:color w:val="auto"/>
                <w:szCs w:val="21"/>
                <w:highlight w:val="none"/>
              </w:rPr>
              <w:t>本项目土石方平衡计算表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4"/>
              <w:gridCol w:w="1608"/>
              <w:gridCol w:w="1784"/>
              <w:gridCol w:w="1783"/>
              <w:gridCol w:w="1367"/>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61"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922"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1023"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挖方</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m³</w:t>
                  </w:r>
                  <w:r>
                    <w:rPr>
                      <w:rFonts w:hint="default" w:ascii="Times New Roman" w:hAnsi="Times New Roman" w:eastAsia="宋体" w:cs="Times New Roman"/>
                      <w:b/>
                      <w:bCs/>
                      <w:color w:val="auto"/>
                      <w:sz w:val="21"/>
                      <w:szCs w:val="21"/>
                      <w:highlight w:val="none"/>
                      <w:lang w:eastAsia="zh-CN"/>
                    </w:rPr>
                    <w:t>）</w:t>
                  </w:r>
                </w:p>
              </w:tc>
              <w:tc>
                <w:tcPr>
                  <w:tcW w:w="1022"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填方</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m³</w:t>
                  </w:r>
                  <w:r>
                    <w:rPr>
                      <w:rFonts w:hint="default" w:ascii="Times New Roman" w:hAnsi="Times New Roman" w:eastAsia="宋体" w:cs="Times New Roman"/>
                      <w:b/>
                      <w:bCs/>
                      <w:color w:val="auto"/>
                      <w:sz w:val="21"/>
                      <w:szCs w:val="21"/>
                      <w:highlight w:val="none"/>
                      <w:lang w:eastAsia="zh-CN"/>
                    </w:rPr>
                    <w:t>）</w:t>
                  </w:r>
                </w:p>
              </w:tc>
              <w:tc>
                <w:tcPr>
                  <w:tcW w:w="784"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弃渣</w:t>
                  </w:r>
                  <w:r>
                    <w:rPr>
                      <w:rFonts w:hint="default" w:ascii="Times New Roman" w:hAnsi="Times New Roman" w:eastAsia="宋体" w:cs="Times New Roman"/>
                      <w:b/>
                      <w:bCs/>
                      <w:color w:val="auto"/>
                      <w:position w:val="1"/>
                      <w:sz w:val="21"/>
                      <w:szCs w:val="21"/>
                      <w:highlight w:val="none"/>
                      <w:lang w:eastAsia="zh-CN"/>
                    </w:rPr>
                    <w:t>（</w:t>
                  </w:r>
                  <w:r>
                    <w:rPr>
                      <w:rFonts w:hint="default" w:ascii="Times New Roman" w:hAnsi="Times New Roman" w:eastAsia="宋体" w:cs="Times New Roman"/>
                      <w:b/>
                      <w:bCs/>
                      <w:color w:val="auto"/>
                      <w:position w:val="1"/>
                      <w:sz w:val="21"/>
                      <w:szCs w:val="21"/>
                      <w:highlight w:val="none"/>
                    </w:rPr>
                    <w:t>m³</w:t>
                  </w:r>
                  <w:r>
                    <w:rPr>
                      <w:rFonts w:hint="default" w:ascii="Times New Roman" w:hAnsi="Times New Roman" w:eastAsia="宋体" w:cs="Times New Roman"/>
                      <w:b/>
                      <w:bCs/>
                      <w:color w:val="auto"/>
                      <w:position w:val="1"/>
                      <w:sz w:val="21"/>
                      <w:szCs w:val="21"/>
                      <w:highlight w:val="none"/>
                      <w:lang w:eastAsia="zh-CN"/>
                    </w:rPr>
                    <w:t>）</w:t>
                  </w:r>
                </w:p>
              </w:tc>
              <w:tc>
                <w:tcPr>
                  <w:tcW w:w="786"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61"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100"/>
                      <w:sz w:val="21"/>
                      <w:szCs w:val="21"/>
                      <w:highlight w:val="none"/>
                    </w:rPr>
                    <w:t>1</w:t>
                  </w:r>
                </w:p>
              </w:tc>
              <w:tc>
                <w:tcPr>
                  <w:tcW w:w="922"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供</w:t>
                  </w:r>
                  <w:r>
                    <w:rPr>
                      <w:rFonts w:hint="default" w:ascii="Times New Roman" w:hAnsi="Times New Roman" w:eastAsia="宋体" w:cs="Times New Roman"/>
                      <w:color w:val="auto"/>
                      <w:sz w:val="21"/>
                      <w:szCs w:val="21"/>
                      <w:highlight w:val="none"/>
                    </w:rPr>
                    <w:t>水厂</w:t>
                  </w:r>
                </w:p>
              </w:tc>
              <w:tc>
                <w:tcPr>
                  <w:tcW w:w="1023"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12398</w:t>
                  </w:r>
                </w:p>
              </w:tc>
              <w:tc>
                <w:tcPr>
                  <w:tcW w:w="1022"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9045</w:t>
                  </w:r>
                </w:p>
              </w:tc>
              <w:tc>
                <w:tcPr>
                  <w:tcW w:w="784"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3353</w:t>
                  </w:r>
                </w:p>
              </w:tc>
              <w:tc>
                <w:tcPr>
                  <w:tcW w:w="786" w:type="pct"/>
                  <w:vMerge w:val="restar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rPr>
                    <w:t>政府部门指定弃渣场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61"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100"/>
                      <w:sz w:val="21"/>
                      <w:szCs w:val="21"/>
                      <w:highlight w:val="none"/>
                    </w:rPr>
                    <w:t>2</w:t>
                  </w:r>
                </w:p>
              </w:tc>
              <w:tc>
                <w:tcPr>
                  <w:tcW w:w="922"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道路</w:t>
                  </w:r>
                </w:p>
              </w:tc>
              <w:tc>
                <w:tcPr>
                  <w:tcW w:w="1023"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7041.4</w:t>
                  </w:r>
                </w:p>
              </w:tc>
              <w:tc>
                <w:tcPr>
                  <w:tcW w:w="1022"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1070</w:t>
                  </w:r>
                </w:p>
              </w:tc>
              <w:tc>
                <w:tcPr>
                  <w:tcW w:w="784"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5971.4</w:t>
                  </w:r>
                </w:p>
              </w:tc>
              <w:tc>
                <w:tcPr>
                  <w:tcW w:w="786" w:type="pct"/>
                  <w:vMerge w:val="continue"/>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61"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100"/>
                      <w:sz w:val="21"/>
                      <w:szCs w:val="21"/>
                      <w:highlight w:val="none"/>
                    </w:rPr>
                    <w:t>3</w:t>
                  </w:r>
                </w:p>
              </w:tc>
              <w:tc>
                <w:tcPr>
                  <w:tcW w:w="922"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取水</w:t>
                  </w:r>
                  <w:r>
                    <w:rPr>
                      <w:rFonts w:hint="default" w:ascii="Times New Roman" w:hAnsi="Times New Roman" w:eastAsia="宋体" w:cs="Times New Roman"/>
                      <w:color w:val="auto"/>
                      <w:sz w:val="21"/>
                      <w:szCs w:val="21"/>
                      <w:highlight w:val="none"/>
                      <w:lang w:val="en-US" w:eastAsia="zh-CN"/>
                    </w:rPr>
                    <w:t>泵房</w:t>
                  </w:r>
                </w:p>
              </w:tc>
              <w:tc>
                <w:tcPr>
                  <w:tcW w:w="1023"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628</w:t>
                  </w:r>
                </w:p>
              </w:tc>
              <w:tc>
                <w:tcPr>
                  <w:tcW w:w="1022"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628</w:t>
                  </w:r>
                </w:p>
              </w:tc>
              <w:tc>
                <w:tcPr>
                  <w:tcW w:w="784"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786" w:type="pct"/>
                  <w:vMerge w:val="continue"/>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61"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100"/>
                      <w:sz w:val="21"/>
                      <w:szCs w:val="21"/>
                      <w:highlight w:val="none"/>
                    </w:rPr>
                    <w:t>4</w:t>
                  </w:r>
                </w:p>
              </w:tc>
              <w:tc>
                <w:tcPr>
                  <w:tcW w:w="922"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输</w:t>
                  </w:r>
                  <w:r>
                    <w:rPr>
                      <w:rFonts w:hint="default" w:ascii="Times New Roman" w:hAnsi="Times New Roman" w:eastAsia="宋体" w:cs="Times New Roman"/>
                      <w:color w:val="auto"/>
                      <w:sz w:val="21"/>
                      <w:szCs w:val="21"/>
                      <w:highlight w:val="none"/>
                      <w:lang w:val="en-US" w:eastAsia="zh-CN"/>
                    </w:rPr>
                    <w:t>配</w:t>
                  </w:r>
                  <w:r>
                    <w:rPr>
                      <w:rFonts w:hint="default" w:ascii="Times New Roman" w:hAnsi="Times New Roman" w:eastAsia="宋体" w:cs="Times New Roman"/>
                      <w:color w:val="auto"/>
                      <w:sz w:val="21"/>
                      <w:szCs w:val="21"/>
                      <w:highlight w:val="none"/>
                    </w:rPr>
                    <w:t>水工程</w:t>
                  </w:r>
                </w:p>
              </w:tc>
              <w:tc>
                <w:tcPr>
                  <w:tcW w:w="1023"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32168</w:t>
                  </w:r>
                </w:p>
              </w:tc>
              <w:tc>
                <w:tcPr>
                  <w:tcW w:w="1022"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12814</w:t>
                  </w:r>
                </w:p>
              </w:tc>
              <w:tc>
                <w:tcPr>
                  <w:tcW w:w="784"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19354</w:t>
                  </w:r>
                </w:p>
              </w:tc>
              <w:tc>
                <w:tcPr>
                  <w:tcW w:w="786" w:type="pct"/>
                  <w:vMerge w:val="continue"/>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61"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100"/>
                      <w:sz w:val="21"/>
                      <w:szCs w:val="21"/>
                      <w:highlight w:val="none"/>
                    </w:rPr>
                    <w:t>5</w:t>
                  </w:r>
                </w:p>
              </w:tc>
              <w:tc>
                <w:tcPr>
                  <w:tcW w:w="922"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1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52235.4</w:t>
                  </w:r>
                </w:p>
              </w:tc>
              <w:tc>
                <w:tcPr>
                  <w:tcW w:w="17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23557</w:t>
                  </w:r>
                </w:p>
              </w:tc>
              <w:tc>
                <w:tcPr>
                  <w:tcW w:w="13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left="0" w:left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28678.4</w:t>
                  </w:r>
                </w:p>
              </w:tc>
              <w:tc>
                <w:tcPr>
                  <w:tcW w:w="786" w:type="pct"/>
                  <w:vMerge w:val="continue"/>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rPr>
                  </w:pPr>
                </w:p>
              </w:tc>
            </w:tr>
          </w:tbl>
          <w:p>
            <w:pPr>
              <w:keepNext w:val="0"/>
              <w:keepLines w:val="0"/>
              <w:pageBreakBefore w:val="0"/>
              <w:kinsoku/>
              <w:wordWrap/>
              <w:overflowPunct/>
              <w:topLinePunct w:val="0"/>
              <w:autoSpaceDE/>
              <w:autoSpaceDN/>
              <w:bidi w:val="0"/>
              <w:snapToGrid/>
              <w:spacing w:line="360" w:lineRule="auto"/>
              <w:ind w:left="0" w:leftChars="0"/>
              <w:rPr>
                <w:rFonts w:hint="default" w:ascii="Times New Roman" w:hAnsi="Times New Roman" w:cs="Times New Roman"/>
                <w:b/>
                <w:bCs/>
                <w:color w:val="auto"/>
                <w:sz w:val="24"/>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color w:val="auto"/>
                <w:szCs w:val="21"/>
                <w:highlight w:val="none"/>
              </w:rPr>
              <w:t>工艺流程和产排污环节</w:t>
            </w:r>
          </w:p>
        </w:tc>
        <w:tc>
          <w:tcPr>
            <w:tcW w:w="4759" w:type="pct"/>
            <w:vAlign w:val="center"/>
          </w:tcPr>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工艺流程及污染工艺流程简述（图示）：</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1、施工期工艺流程和产污环节</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本项目建设工程主要为供水厂建设工程、取水泵房建设工程、输配水管道建设工程。取水泵房、供水厂建设主要包含基础施工、主体工程建设、装饰工程、设备安装等；取水泵房中取水口为涉水工程，主要包括施工导流；输配水管道建设主要包括作业线清理、管沟开挖、管道敷设、回填土方等。其主要的环境影响为施工扬尘、噪声、施工废水、建筑垃圾等，其排放量随工期和施工强度不同而有所变化。施工期生产工艺流程及产污流程见下图。</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（1）取水泵房、供水厂</w:t>
            </w:r>
          </w:p>
          <w:p>
            <w:pPr>
              <w:keepNext w:val="0"/>
              <w:keepLines w:val="0"/>
              <w:pageBreakBefore w:val="0"/>
              <w:kinsoku/>
              <w:wordWrap/>
              <w:overflowPunct/>
              <w:topLinePunct w:val="0"/>
              <w:autoSpaceDE/>
              <w:autoSpaceDN/>
              <w:bidi w:val="0"/>
              <w:snapToGrid/>
              <w:spacing w:line="360" w:lineRule="auto"/>
              <w:ind w:left="0" w:leftChars="0"/>
              <w:jc w:val="center"/>
              <w:rPr>
                <w:rFonts w:hint="default" w:ascii="Times New Roman" w:hAnsi="Times New Roman" w:cs="Times New Roman"/>
                <w:color w:val="auto"/>
                <w:szCs w:val="21"/>
                <w:highlight w:val="none"/>
              </w:rPr>
            </w:pPr>
            <w:bookmarkStart w:id="2" w:name="_GoBack"/>
            <w:r>
              <w:rPr>
                <w:rFonts w:hint="default" w:ascii="Times New Roman" w:hAnsi="Times New Roman" w:cs="Times New Roman"/>
                <w:color w:val="auto"/>
                <w:szCs w:val="21"/>
                <w:highlight w:val="none"/>
              </w:rPr>
              <w:object>
                <v:shape id="_x0000_i1026" o:spt="75" alt="" type="#_x0000_t75" style="height:210.3pt;width:380.25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bookmarkEnd w:id="2"/>
          </w:p>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szCs w:val="21"/>
                <w:highlight w:val="none"/>
                <w:lang w:val="en-US" w:eastAsia="zh-CN"/>
              </w:rPr>
              <w:t>图2-3</w:t>
            </w:r>
            <w:r>
              <w:rPr>
                <w:rFonts w:hint="eastAsia" w:ascii="Times New Roman" w:hAnsi="Times New Roman" w:eastAsia="黑体" w:cs="Times New Roman"/>
                <w:color w:val="auto"/>
                <w:szCs w:val="21"/>
                <w:highlight w:val="none"/>
                <w:lang w:val="en-US" w:eastAsia="zh-CN"/>
              </w:rPr>
              <w:t xml:space="preserve"> 取水泵房、供水厂</w:t>
            </w:r>
            <w:r>
              <w:rPr>
                <w:rFonts w:hint="default" w:ascii="Times New Roman" w:hAnsi="Times New Roman" w:eastAsia="黑体" w:cs="Times New Roman"/>
                <w:color w:val="auto"/>
                <w:szCs w:val="21"/>
                <w:highlight w:val="none"/>
                <w:lang w:val="en-US" w:eastAsia="zh-CN"/>
              </w:rPr>
              <w:t>施工期工艺流程及产污环节图</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主要工序简述：</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①基础工程</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在基础开挖、地基处理（岩土工程）与基础施工时，由于挖土机、运土卡车等施工机械的运行，将产生一定的噪声；同时产生扬尘、土石方和工人生活污水；基础开挖引起原有土地利用类型的改变，会造成生态变化并引起一定程度的水土流失。</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②主体工程</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主体施工时，挖掘机、打夯机、装载汽车等运行时会产生噪声，同时产生扬尘。此外，还有一些原材料废弃料以及生产和生活污水产生。</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③装饰工程</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在对构筑物的室内外进行装修时（如表面粉刷、喷涂、裱糊等），钻机、电锤等产生噪声，涂料产生废气、废弃物料及污水。</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④设备安装</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主要包括车间生产设备以及配套环保设施设备安装，其主要废物为废包装材料、设备安装及调试噪声。</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⑤工程验收</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主体工程、设备安装完成后，进入工程验收阶段，由专业的结构对取水泵房、供水厂的各方面建设内容进行验收。验收合格后交付建设单位。</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（2）取水口</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本项目涉水工程主要是取水口工程施工，导流方案如下：</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①导流方式</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取水口工程位于</w:t>
            </w:r>
            <w:r>
              <w:rPr>
                <w:rFonts w:hint="default" w:ascii="Times New Roman" w:hAnsi="Times New Roman" w:cs="Times New Roman"/>
                <w:color w:val="auto"/>
                <w:sz w:val="24"/>
                <w:szCs w:val="24"/>
                <w:highlight w:val="none"/>
                <w:lang w:val="en-US" w:eastAsia="zh-CN"/>
              </w:rPr>
              <w:t>新华场镇东北侧上游中河右岸</w:t>
            </w:r>
            <w:r>
              <w:rPr>
                <w:rFonts w:hint="default" w:ascii="Times New Roman" w:hAnsi="Times New Roman" w:cs="Times New Roman"/>
                <w:b w:val="0"/>
                <w:bCs w:val="0"/>
                <w:color w:val="auto"/>
                <w:sz w:val="24"/>
                <w:szCs w:val="32"/>
                <w:highlight w:val="none"/>
                <w:vertAlign w:val="baseline"/>
                <w:lang w:val="en-US" w:eastAsia="zh-CN"/>
              </w:rPr>
              <w:t>，根据地形条件，采用岸边全断围堰导流。</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②导流建筑物设计</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围堰的堰体利用沿线开挖料填筑，迎水面采用编织袋装土料填筑，结合双层土工膜防渗，迎水面并采用铅丝石笼护面处理。</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③导流建筑物施工</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围堰的堰体利用沿线开挖料，填筑采用1.6m</w:t>
            </w:r>
            <w:r>
              <w:rPr>
                <w:rFonts w:hint="default" w:ascii="Times New Roman" w:hAnsi="Times New Roman" w:cs="Times New Roman"/>
                <w:b w:val="0"/>
                <w:bCs w:val="0"/>
                <w:color w:val="auto"/>
                <w:sz w:val="24"/>
                <w:szCs w:val="32"/>
                <w:highlight w:val="none"/>
                <w:vertAlign w:val="superscript"/>
                <w:lang w:val="en-US" w:eastAsia="zh-CN"/>
              </w:rPr>
              <w:t>3</w:t>
            </w:r>
            <w:r>
              <w:rPr>
                <w:rFonts w:hint="default" w:ascii="Times New Roman" w:hAnsi="Times New Roman" w:cs="Times New Roman"/>
                <w:b w:val="0"/>
                <w:bCs w:val="0"/>
                <w:color w:val="auto"/>
                <w:sz w:val="24"/>
                <w:szCs w:val="32"/>
                <w:highlight w:val="none"/>
                <w:vertAlign w:val="baseline"/>
                <w:lang w:val="en-US" w:eastAsia="zh-CN"/>
              </w:rPr>
              <w:t>挖掘机装车，15T自卸汽车运输，反铲压实；编织袋粘土填筑采用人力方式，防渗土工膜采用人工安砌。</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围堰拆除施工程序：1.6m</w:t>
            </w:r>
            <w:r>
              <w:rPr>
                <w:rFonts w:hint="default" w:ascii="Times New Roman" w:hAnsi="Times New Roman" w:cs="Times New Roman"/>
                <w:b w:val="0"/>
                <w:bCs w:val="0"/>
                <w:color w:val="auto"/>
                <w:sz w:val="24"/>
                <w:szCs w:val="32"/>
                <w:highlight w:val="none"/>
                <w:vertAlign w:val="superscript"/>
                <w:lang w:val="en-US" w:eastAsia="zh-CN"/>
              </w:rPr>
              <w:t>3</w:t>
            </w:r>
            <w:r>
              <w:rPr>
                <w:rFonts w:hint="default" w:ascii="Times New Roman" w:hAnsi="Times New Roman" w:cs="Times New Roman"/>
                <w:b w:val="0"/>
                <w:bCs w:val="0"/>
                <w:color w:val="auto"/>
                <w:sz w:val="24"/>
                <w:szCs w:val="32"/>
                <w:highlight w:val="none"/>
                <w:vertAlign w:val="baseline"/>
                <w:lang w:val="en-US" w:eastAsia="zh-CN"/>
              </w:rPr>
              <w:t>长臂反铲挖装，15T自卸汽车运输至渣场。</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④基坑排水</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采用初期排水和经常性排水两种方式，排出基坑内的积水和渗水，以保持基坑干燥，保证施工进度。</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（3）</w:t>
            </w:r>
            <w:r>
              <w:rPr>
                <w:rFonts w:hint="default" w:ascii="Times New Roman" w:hAnsi="Times New Roman" w:cs="Times New Roman"/>
                <w:b/>
                <w:bCs/>
                <w:color w:val="auto"/>
                <w:sz w:val="24"/>
                <w:szCs w:val="32"/>
                <w:highlight w:val="none"/>
                <w:vertAlign w:val="baseline"/>
                <w:lang w:val="en-US" w:eastAsia="zh-CN"/>
              </w:rPr>
              <w:t>管道工程</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本项目原水管道采用DN350钢管作为本工程原水管道主要管材，要求内壁用水泥砂浆衬里，钢管为焊接；配水管道管材DN＞300采用球墨铸铁管，DN≤300采用聚乙烯复合管。</w:t>
            </w:r>
            <w:r>
              <w:rPr>
                <w:rFonts w:hint="eastAsia" w:ascii="Times New Roman" w:hAnsi="Times New Roman" w:cs="Times New Roman"/>
                <w:b w:val="0"/>
                <w:bCs w:val="0"/>
                <w:color w:val="auto"/>
                <w:sz w:val="24"/>
                <w:szCs w:val="32"/>
                <w:highlight w:val="none"/>
                <w:vertAlign w:val="baseline"/>
                <w:lang w:val="en-US" w:eastAsia="zh-CN"/>
              </w:rPr>
              <w:t>输水管道工程</w:t>
            </w:r>
            <w:r>
              <w:rPr>
                <w:rFonts w:hint="default" w:ascii="Times New Roman" w:hAnsi="Times New Roman" w:cs="Times New Roman"/>
                <w:b w:val="0"/>
                <w:bCs w:val="0"/>
                <w:color w:val="auto"/>
                <w:sz w:val="24"/>
                <w:szCs w:val="32"/>
                <w:highlight w:val="none"/>
                <w:vertAlign w:val="baseline"/>
                <w:lang w:val="en-US" w:eastAsia="zh-CN"/>
              </w:rPr>
              <w:t>施工期工艺流程如图2-4所示。</w:t>
            </w:r>
          </w:p>
          <w:p>
            <w:pPr>
              <w:keepNext w:val="0"/>
              <w:keepLines w:val="0"/>
              <w:pageBreakBefore w:val="0"/>
              <w:suppressLineNumbers w:val="0"/>
              <w:kinsoku/>
              <w:wordWrap/>
              <w:overflowPunct/>
              <w:topLinePunct w:val="0"/>
              <w:autoSpaceDE/>
              <w:autoSpaceDN/>
              <w:bidi w:val="0"/>
              <w:snapToGrid/>
              <w:spacing w:beforeAutospacing="0" w:afterAutospacing="0" w:line="360" w:lineRule="auto"/>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7" o:spt="75" type="#_x0000_t75" style="height:345pt;width:340.5pt;" o:ole="t" filled="f" o:preferrelative="t" stroked="f" coordsize="21600,21600">
                  <v:path/>
                  <v:fill on="f" focussize="0,0"/>
                  <v:stroke on="f"/>
                  <v:imagedata r:id="rId17" o:title=""/>
                  <o:lock v:ext="edit" aspectratio="f"/>
                  <w10:wrap type="none"/>
                  <w10:anchorlock/>
                </v:shape>
                <o:OLEObject Type="Embed" ProgID="Visio.Drawing.11" ShapeID="_x0000_i1027" DrawAspect="Content" ObjectID="_1468075727" r:id="rId16">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szCs w:val="21"/>
                <w:highlight w:val="none"/>
                <w:lang w:val="en-US" w:eastAsia="zh-CN"/>
              </w:rPr>
              <w:t>图2-4</w:t>
            </w:r>
            <w:r>
              <w:rPr>
                <w:rFonts w:hint="eastAsia" w:ascii="Times New Roman" w:hAnsi="Times New Roman" w:eastAsia="黑体" w:cs="Times New Roman"/>
                <w:color w:val="auto"/>
                <w:szCs w:val="21"/>
                <w:highlight w:val="none"/>
                <w:lang w:val="en-US" w:eastAsia="zh-CN"/>
              </w:rPr>
              <w:t xml:space="preserve"> </w:t>
            </w:r>
            <w:r>
              <w:rPr>
                <w:rFonts w:hint="default" w:ascii="Times New Roman" w:hAnsi="Times New Roman" w:eastAsia="黑体" w:cs="Times New Roman"/>
                <w:color w:val="auto"/>
                <w:szCs w:val="21"/>
                <w:highlight w:val="none"/>
                <w:lang w:val="en-US" w:eastAsia="zh-CN"/>
              </w:rPr>
              <w:t>输水管道施工工艺及产污环节图</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主要工序简述：</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bCs/>
                <w:color w:val="auto"/>
                <w:sz w:val="24"/>
                <w:szCs w:val="24"/>
                <w:highlight w:val="none"/>
              </w:rPr>
            </w:pPr>
            <w:r>
              <w:rPr>
                <w:rFonts w:hint="default" w:ascii="Times New Roman" w:hAnsi="Times New Roman" w:cs="Times New Roman"/>
                <w:b w:val="0"/>
                <w:bCs w:val="0"/>
                <w:color w:val="auto"/>
                <w:sz w:val="24"/>
                <w:szCs w:val="32"/>
                <w:highlight w:val="none"/>
                <w:vertAlign w:val="baseline"/>
                <w:lang w:val="en-US" w:eastAsia="zh-CN"/>
              </w:rPr>
              <w:t>①</w:t>
            </w:r>
            <w:r>
              <w:rPr>
                <w:rFonts w:hint="eastAsia"/>
                <w:b w:val="0"/>
                <w:bCs w:val="0"/>
                <w:color w:val="auto"/>
                <w:sz w:val="24"/>
                <w:szCs w:val="24"/>
                <w:highlight w:val="none"/>
                <w:lang w:val="en-US" w:eastAsia="zh-CN"/>
              </w:rPr>
              <w:t>作业线、场地</w:t>
            </w:r>
            <w:r>
              <w:rPr>
                <w:rFonts w:hint="eastAsia"/>
                <w:b w:val="0"/>
                <w:bCs w:val="0"/>
                <w:color w:val="auto"/>
                <w:sz w:val="24"/>
                <w:szCs w:val="24"/>
                <w:highlight w:val="none"/>
              </w:rPr>
              <w:t>清理</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eastAsia"/>
                <w:bCs/>
                <w:color w:val="auto"/>
                <w:sz w:val="24"/>
                <w:szCs w:val="24"/>
                <w:highlight w:val="none"/>
              </w:rPr>
              <w:t>本项目管线施工时，先根据选线情况进行路线布设，并进行测量放线以及场地清理。施工作业带清理时，对土地进行保护，减少或防止产生水土流失，尽量减少破坏地表植被</w:t>
            </w:r>
            <w:r>
              <w:rPr>
                <w:rFonts w:hint="eastAsia"/>
                <w:bCs/>
                <w:color w:val="auto"/>
                <w:sz w:val="24"/>
                <w:szCs w:val="24"/>
                <w:highlight w:val="none"/>
                <w:lang w:eastAsia="zh-CN"/>
              </w:rPr>
              <w:t>，</w:t>
            </w:r>
            <w:r>
              <w:rPr>
                <w:rFonts w:hint="eastAsia"/>
                <w:bCs/>
                <w:color w:val="auto"/>
                <w:sz w:val="24"/>
                <w:szCs w:val="24"/>
                <w:highlight w:val="none"/>
              </w:rPr>
              <w:t>待施工完毕后进行恢复。</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②开挖管沟</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开挖管沟应达到设计图纸挖深的要求，沟壁应顺直，转弯处应圆顺，沟底应平整，无石块，树根或其它坚硬物，沟壁不得有欲坠的石头。根据工程可行性研究报告，项目管道开挖采用人力及机械施工的作业方式，作业带宽度为8m。管道施工采用“开挖一段、敷设一段”的方式分段施工，管沟开挖时的土石方堆放在沟两侧，表层土在下，底层土在上。该过程由于部分输水管段需穿越植被、农田，施工作业前清理路线是会破坏植被和农作物。管道开挖过程挖土和回填过程对土质造成一定的影响，有水土流失的风险。</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③</w:t>
            </w:r>
            <w:r>
              <w:rPr>
                <w:rFonts w:hint="eastAsia" w:ascii="Times New Roman" w:hAnsi="Times New Roman" w:cs="Times New Roman"/>
                <w:b w:val="0"/>
                <w:bCs w:val="0"/>
                <w:color w:val="auto"/>
                <w:sz w:val="24"/>
                <w:szCs w:val="32"/>
                <w:highlight w:val="none"/>
                <w:vertAlign w:val="baseline"/>
                <w:lang w:val="en-US" w:eastAsia="zh-CN"/>
              </w:rPr>
              <w:t>穿越河道</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eastAsia" w:ascii="Times New Roman" w:hAnsi="Times New Roman" w:cs="Times New Roman"/>
                <w:b w:val="0"/>
                <w:bCs w:val="0"/>
                <w:color w:val="auto"/>
                <w:sz w:val="24"/>
                <w:szCs w:val="32"/>
                <w:highlight w:val="none"/>
                <w:vertAlign w:val="baseline"/>
                <w:lang w:val="en-US" w:eastAsia="zh-CN"/>
              </w:rPr>
              <w:t>项目共穿越河段9次，其中穿越中河4次，泥溪沟3次，楠竹溪1次，双河口1次。项目穿越河道采用</w:t>
            </w:r>
            <w:r>
              <w:rPr>
                <w:rFonts w:hint="default" w:ascii="Times New Roman" w:hAnsi="Times New Roman" w:cs="Times New Roman"/>
                <w:b w:val="0"/>
                <w:bCs w:val="0"/>
                <w:color w:val="auto"/>
                <w:sz w:val="24"/>
                <w:szCs w:val="32"/>
                <w:highlight w:val="none"/>
                <w:vertAlign w:val="baseline"/>
                <w:lang w:val="en-US" w:eastAsia="zh-CN"/>
              </w:rPr>
              <w:t>围堰导流</w:t>
            </w:r>
            <w:r>
              <w:rPr>
                <w:rFonts w:hint="eastAsia" w:ascii="Times New Roman" w:hAnsi="Times New Roman" w:cs="Times New Roman"/>
                <w:b w:val="0"/>
                <w:bCs w:val="0"/>
                <w:color w:val="auto"/>
                <w:sz w:val="24"/>
                <w:szCs w:val="32"/>
                <w:highlight w:val="none"/>
                <w:vertAlign w:val="baseline"/>
                <w:lang w:val="en-US" w:eastAsia="zh-CN"/>
              </w:rPr>
              <w:t>。围堰导流工艺详见取水口围堰导流。</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④管道焊接工程</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按照管道焊接工程施工及验收相关规定执行，并采用抗SSC、HIC焊接质量测试。为了确保安全运行，焊接完成后全线要求进行强度试验和严密性试验。项目焊接过程产生一定量的焊接烟尘、焊渣，焊渣产生后集中收集外售物资回收单位。</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⑤探伤</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本项目探伤采用超声波探伤的方式进行，不会对周边环境造成影响，若建设方在后续工作中采取射线探伤的工艺，则需另行环评，不在本次评价范围内。</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⑥清管、试压</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管道在敷设完成后，将进行吹脱作业，利用压缩空气将管道内残留的废渣进行清除，吹脱过程中将产生一定的吹脱废渣，吹脱废渣统一收集后交由环卫部门统一清运。采用清洁水、压缩空气进行强度和严密性测试，试压过程中无试压水的损耗。</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⑦管沟回填</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管沟回填利用管道开挖土石方回填，先用细土回填，再用沙土或碎石回填夯实，剩余的弃渣运至</w:t>
            </w:r>
            <w:r>
              <w:rPr>
                <w:rFonts w:hint="eastAsia" w:ascii="Times New Roman" w:hAnsi="Times New Roman" w:cs="Times New Roman"/>
                <w:b w:val="0"/>
                <w:bCs w:val="0"/>
                <w:color w:val="auto"/>
                <w:sz w:val="24"/>
                <w:szCs w:val="32"/>
                <w:highlight w:val="none"/>
                <w:vertAlign w:val="baseline"/>
                <w:lang w:val="en-US" w:eastAsia="zh-CN"/>
              </w:rPr>
              <w:t>政府指定弃渣场</w:t>
            </w:r>
            <w:r>
              <w:rPr>
                <w:rFonts w:hint="default" w:ascii="Times New Roman" w:hAnsi="Times New Roman" w:cs="Times New Roman"/>
                <w:b w:val="0"/>
                <w:bCs w:val="0"/>
                <w:color w:val="auto"/>
                <w:sz w:val="24"/>
                <w:szCs w:val="32"/>
                <w:highlight w:val="none"/>
                <w:vertAlign w:val="baseline"/>
                <w:lang w:val="en-US" w:eastAsia="zh-CN"/>
              </w:rPr>
              <w:t>。石方地段的管沟应超挖0.2m，并采用细土垫实超挖部分，以保护管道外防腐层。管线穿越河床，沟谷，陡坡、陡坎地段，宜以堡坎形式筑固恢复。为了减小管线施工对环境的影响，在施工过程中，人员、车辆及施工设备进出的道路尽量利用已有的乡村公路，减少对植被、农作物、地貌的破坏。施工过程不得随意践踏沿线的植被及农田，每道工序完工后，做到工完、料尽、场地清。</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2、运营期工艺流程和产污环节</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本项目运营期工艺流程及产污位置图2-</w:t>
            </w:r>
            <w:r>
              <w:rPr>
                <w:rFonts w:hint="eastAsia" w:ascii="Times New Roman" w:hAnsi="Times New Roman" w:cs="Times New Roman"/>
                <w:b w:val="0"/>
                <w:bCs w:val="0"/>
                <w:color w:val="auto"/>
                <w:sz w:val="24"/>
                <w:szCs w:val="32"/>
                <w:highlight w:val="none"/>
                <w:vertAlign w:val="baseline"/>
                <w:lang w:val="en-US" w:eastAsia="zh-CN"/>
              </w:rPr>
              <w:t>5</w:t>
            </w:r>
            <w:r>
              <w:rPr>
                <w:rFonts w:hint="default" w:ascii="Times New Roman" w:hAnsi="Times New Roman" w:cs="Times New Roman"/>
                <w:b w:val="0"/>
                <w:bCs w:val="0"/>
                <w:color w:val="auto"/>
                <w:sz w:val="24"/>
                <w:szCs w:val="32"/>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szCs w:val="21"/>
                <w:highlight w:val="none"/>
                <w:lang w:val="en-US" w:eastAsia="zh-CN"/>
              </w:rPr>
              <w:object>
                <v:shape id="_x0000_i1028" o:spt="75" type="#_x0000_t75" style="height:325pt;width:431.15pt;" o:ole="t" filled="f" o:preferrelative="t" stroked="f" coordsize="21600,21600">
                  <v:path/>
                  <v:fill on="f" focussize="0,0"/>
                  <v:stroke on="f"/>
                  <v:imagedata r:id="rId19" o:title=""/>
                  <o:lock v:ext="edit" aspectratio="f"/>
                  <w10:wrap type="none"/>
                  <w10:anchorlock/>
                </v:shape>
                <o:OLEObject Type="Embed" ProgID="Visio.Drawing.11" ShapeID="_x0000_i1028" DrawAspect="Content" ObjectID="_1468075728" r:id="rId18">
                  <o:LockedField>false</o:LockedField>
                </o:OLEObject>
              </w:object>
            </w:r>
            <w:r>
              <w:rPr>
                <w:rFonts w:hint="default" w:ascii="Times New Roman" w:hAnsi="Times New Roman" w:eastAsia="黑体" w:cs="Times New Roman"/>
                <w:color w:val="auto"/>
                <w:szCs w:val="21"/>
                <w:highlight w:val="none"/>
                <w:lang w:val="en-US" w:eastAsia="zh-CN"/>
              </w:rPr>
              <w:t>图2-</w:t>
            </w:r>
            <w:r>
              <w:rPr>
                <w:rFonts w:hint="eastAsia" w:ascii="Times New Roman" w:hAnsi="Times New Roman" w:eastAsia="黑体" w:cs="Times New Roman"/>
                <w:color w:val="auto"/>
                <w:szCs w:val="21"/>
                <w:highlight w:val="none"/>
                <w:lang w:val="en-US" w:eastAsia="zh-CN"/>
              </w:rPr>
              <w:t xml:space="preserve">5 </w:t>
            </w:r>
            <w:r>
              <w:rPr>
                <w:rFonts w:hint="default" w:ascii="Times New Roman" w:hAnsi="Times New Roman" w:eastAsia="黑体" w:cs="Times New Roman"/>
                <w:color w:val="auto"/>
                <w:szCs w:val="21"/>
                <w:highlight w:val="none"/>
                <w:lang w:val="en-US" w:eastAsia="zh-CN"/>
              </w:rPr>
              <w:t>运营期工艺流程及产污位置图</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主要工序简述：</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絮凝工艺：</w:t>
            </w:r>
            <w:r>
              <w:rPr>
                <w:rFonts w:hint="default" w:ascii="Times New Roman" w:hAnsi="Times New Roman" w:cs="Times New Roman"/>
                <w:b w:val="0"/>
                <w:bCs w:val="0"/>
                <w:color w:val="auto"/>
                <w:sz w:val="24"/>
                <w:szCs w:val="32"/>
                <w:highlight w:val="none"/>
                <w:vertAlign w:val="baseline"/>
                <w:lang w:val="en-US" w:eastAsia="zh-CN"/>
              </w:rPr>
              <w:t>絮凝池的作用是提供有利于矾花成长的水力条件，增大絮凝体的碰撞几率，使矾花颗粒逐渐增大，提高絮凝效率从而改善沉淀效果，提高沉淀池的出水水质并可延长滤池的过滤周期。本项目拟采用漩涡流反应池进行絮凝，其絮凝效果好、稳定，絮凝时间短。</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该工序絮凝沉淀后产生一定的量的污泥，经排泥阀和排泥管道进入项目新建排泥池。</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横向分流式斜板沉淀池：</w:t>
            </w:r>
            <w:r>
              <w:rPr>
                <w:rFonts w:hint="default" w:ascii="Times New Roman" w:hAnsi="Times New Roman" w:cs="Times New Roman"/>
                <w:b w:val="0"/>
                <w:bCs w:val="0"/>
                <w:color w:val="auto"/>
                <w:sz w:val="24"/>
                <w:szCs w:val="32"/>
                <w:highlight w:val="none"/>
                <w:vertAlign w:val="baseline"/>
                <w:lang w:val="en-US" w:eastAsia="zh-CN"/>
              </w:rPr>
              <w:t>本项目采用横向分流式斜板沉淀池。横向分流式斜板沉淀池具有施工方便，水力条件好，对原水水质、水量变化适应性强，药耗较低，操作管理简单等优点。</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该工序沉淀后产生一定的量的污泥，经排泥阀和排泥管道进入泥水混合池。</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过滤形式：</w:t>
            </w:r>
            <w:r>
              <w:rPr>
                <w:rFonts w:hint="default" w:ascii="Times New Roman" w:hAnsi="Times New Roman" w:cs="Times New Roman"/>
                <w:b w:val="0"/>
                <w:bCs w:val="0"/>
                <w:color w:val="auto"/>
                <w:sz w:val="24"/>
                <w:szCs w:val="32"/>
                <w:highlight w:val="none"/>
                <w:vertAlign w:val="baseline"/>
                <w:lang w:val="en-US" w:eastAsia="zh-CN"/>
              </w:rPr>
              <w:t>在常规水处理过程中，过滤一般是指以石英砂等粒状滤料层截留水中悬浮物质，从而使水获得澄清的工艺。本项目选用V型滤池，V型滤池采用气水反冲洗加表面扫洗，反冲洗效果好；采用V型槽进水（包括表扫进水），布水均匀；运行自动化程度高，管理方便；采用均粒滤料，滤料含污能力强；反冲洗时，滤料微膨胀，可减少滤池深度，减少土建费用。虽然V型滤池土建施工技术要求较高，淡设计、施工及运行经验成熟，在国内外应用最广。</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滤池的工作过程分为运行过程和反冲洗过程：</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a.过滤过程：待滤水由进水总渠进水阀和方孔后，溢过堰口再经侧孔进入被待滤水淹没的滤槽，分别经槽底均布的配水孔和槽堰顶进入滤池。被均粒滤料滤层过滤的滤后水经长柄滤头流入底部空间，由配水方孔汇入气水分配管渠，再经管廊中的水封井、出水堰、清水渠流入清水池。</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b.反冲洗过程：关闭进水渠，但有一部分进水仍从两侧常开的方孔流入滤池，由槽一侧流向排水渠一侧，形成表面扫洗。而后开启排水阀将池面水从排水槽中排出直至滤池水面与槽顶相平。反冲洗过程常采用“气冲→气水同时反冲→水冲”三步。</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①气冲：打开进气阀，开启供气设备，空气经气水分配渠的上部小孔均匀进入滤池底部，由长柄滤头喷出，将滤料表面杂质擦洗下来并悬浮于水中，被表面扫洗水冲入排水槽。</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②气水同时反冲洗：在气冲的同时启动冲洗水泵，打开冲洗水阀，反冲洗水也进入气水分配渠，气、水分别经小孔和配水方孔流入滤池底部配水区，经长柄滤头均匀进入滤池，滤料得到进一步冲洗，表扫仍继续进行。</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③停止冲洗，单独水冲，表扫仍继续，最后将水中杂质全部冲入排水槽。</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项目滤池反冲洗工序产生一定量的反冲洗废水，废水经排水阀和排水管道进入泥水混合池。</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消毒：</w:t>
            </w:r>
            <w:r>
              <w:rPr>
                <w:rFonts w:hint="default" w:ascii="Times New Roman" w:hAnsi="Times New Roman" w:cs="Times New Roman"/>
                <w:b w:val="0"/>
                <w:bCs w:val="0"/>
                <w:color w:val="auto"/>
                <w:sz w:val="24"/>
                <w:szCs w:val="32"/>
                <w:highlight w:val="none"/>
                <w:vertAlign w:val="baseline"/>
                <w:lang w:val="en-US" w:eastAsia="zh-CN"/>
              </w:rPr>
              <w:t>项目采用复合硫酸氢钠和复合氯酸钠反应产生二氧化氯对原水进行消毒，在预沉池、清水池进行消毒，投加量为1.0mg/L，投加在原水管道混合器和净水器出水管道上，在清水池进行消毒。</w:t>
            </w:r>
          </w:p>
          <w:p>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回水系统、排泥系统：</w:t>
            </w:r>
            <w:r>
              <w:rPr>
                <w:rFonts w:hint="default" w:ascii="Times New Roman" w:hAnsi="Times New Roman" w:cs="Times New Roman"/>
                <w:b w:val="0"/>
                <w:bCs w:val="0"/>
                <w:color w:val="auto"/>
                <w:sz w:val="24"/>
                <w:szCs w:val="32"/>
                <w:highlight w:val="none"/>
                <w:vertAlign w:val="baseline"/>
                <w:lang w:val="en-US" w:eastAsia="zh-CN"/>
              </w:rPr>
              <w:t>生产过程中主要排泥水有预沉池排泥水、一体化设备（絮凝沉淀排泥水）排泥水和滤池反冲洗废水，排泥水和反冲洗废水经泥水混合池收集后，经泵提升至浓缩池进行浓缩，其上清液回用至预沉池，底部泥水进入脱水间脱水，其脱水滤液回到泥水混合池，脱水后泥饼暂存于泥棚，定期运往宣汉县生活垃圾填埋场处理。</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此工序产生的污染物主要为：污泥脱水滤液、噪声、污泥。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与项目有关的原有环境污染问题</w:t>
            </w:r>
          </w:p>
        </w:tc>
        <w:tc>
          <w:tcPr>
            <w:tcW w:w="4759" w:type="pct"/>
            <w:vAlign w:val="center"/>
          </w:tcPr>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本项目为新建项目，根据现场踏勘，目前地块为空地，无原有污染问题存在</w:t>
            </w:r>
            <w:r>
              <w:rPr>
                <w:rFonts w:hint="eastAsia" w:ascii="Times New Roman" w:hAnsi="Times New Roman" w:cs="Times New Roman"/>
                <w:b w:val="0"/>
                <w:bCs w:val="0"/>
                <w:color w:val="auto"/>
                <w:sz w:val="24"/>
                <w:szCs w:val="32"/>
                <w:highlight w:val="none"/>
                <w:vertAlign w:val="baseline"/>
                <w:lang w:val="en-US" w:eastAsia="zh-CN"/>
              </w:rPr>
              <w:t>。</w:t>
            </w: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p>
          <w:p>
            <w:pPr>
              <w:keepNext w:val="0"/>
              <w:keepLines w:val="0"/>
              <w:pageBreakBefore w:val="0"/>
              <w:kinsoku/>
              <w:wordWrap/>
              <w:overflowPunct/>
              <w:topLinePunct w:val="0"/>
              <w:autoSpaceDE/>
              <w:autoSpaceDN/>
              <w:bidi w:val="0"/>
              <w:snapToGrid/>
              <w:spacing w:line="360" w:lineRule="auto"/>
              <w:rPr>
                <w:rFonts w:hint="default" w:ascii="Times New Roman" w:hAnsi="Times New Roman" w:cs="Times New Roman"/>
                <w:b w:val="0"/>
                <w:bCs w:val="0"/>
                <w:color w:val="auto"/>
                <w:sz w:val="24"/>
                <w:szCs w:val="32"/>
                <w:highlight w:val="none"/>
                <w:vertAlign w:val="baseline"/>
                <w:lang w:val="en-US" w:eastAsia="zh-CN"/>
              </w:rPr>
            </w:pPr>
          </w:p>
        </w:tc>
      </w:tr>
    </w:tbl>
    <w:p>
      <w:pPr>
        <w:pStyle w:val="18"/>
        <w:keepNext w:val="0"/>
        <w:keepLines w:val="0"/>
        <w:pageBreakBefore w:val="0"/>
        <w:kinsoku/>
        <w:wordWrap/>
        <w:topLinePunct w:val="0"/>
        <w:bidi w:val="0"/>
        <w:spacing w:after="0" w:line="360" w:lineRule="auto"/>
        <w:ind w:left="0" w:leftChars="0" w:firstLine="480" w:firstLineChars="200"/>
        <w:rPr>
          <w:rFonts w:hint="default" w:ascii="Times New Roman" w:hAnsi="Times New Roman" w:cs="Times New Roman"/>
          <w:color w:val="auto"/>
          <w:sz w:val="24"/>
          <w:szCs w:val="36"/>
          <w:highlight w:val="none"/>
          <w:lang w:eastAsia="zh-CN"/>
        </w:rPr>
        <w:sectPr>
          <w:pgSz w:w="11906" w:h="16838"/>
          <w:pgMar w:top="1440" w:right="1361" w:bottom="1440" w:left="1361"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25"/>
        <w:keepNext w:val="0"/>
        <w:keepLines w:val="0"/>
        <w:pageBreakBefore w:val="0"/>
        <w:kinsoku/>
        <w:wordWrap/>
        <w:topLinePunct w:val="0"/>
        <w:bidi w:val="0"/>
        <w:ind w:left="0" w:leftChars="0"/>
        <w:jc w:val="center"/>
        <w:rPr>
          <w:rFonts w:hint="default" w:ascii="Times New Roman" w:hAnsi="Times New Roman" w:eastAsia="黑体" w:cs="Times New Roman"/>
          <w:b w:val="0"/>
          <w:color w:val="auto"/>
          <w:sz w:val="30"/>
          <w:szCs w:val="30"/>
          <w:highlight w:val="none"/>
        </w:rPr>
      </w:pPr>
      <w:bookmarkStart w:id="1" w:name="_Toc97040275"/>
      <w:r>
        <w:rPr>
          <w:rFonts w:hint="default" w:ascii="Times New Roman" w:hAnsi="Times New Roman" w:eastAsia="黑体" w:cs="Times New Roman"/>
          <w:b w:val="0"/>
          <w:color w:val="auto"/>
          <w:sz w:val="30"/>
          <w:szCs w:val="30"/>
          <w:highlight w:val="none"/>
        </w:rPr>
        <w:t>三、区域环境质量现状、环境保护目标及评价标准</w:t>
      </w:r>
      <w:bookmarkEnd w:id="1"/>
    </w:p>
    <w:tbl>
      <w:tblPr>
        <w:tblStyle w:val="19"/>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6" w:type="dxa"/>
            <w:vAlign w:val="center"/>
          </w:tcPr>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区域环境质量现状</w:t>
            </w:r>
          </w:p>
        </w:tc>
        <w:tc>
          <w:tcPr>
            <w:tcW w:w="8893" w:type="dxa"/>
            <w:vAlign w:val="center"/>
          </w:tcPr>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1、大气环境质量现状</w:t>
            </w:r>
          </w:p>
          <w:p>
            <w:pPr>
              <w:keepNext w:val="0"/>
              <w:keepLines w:val="0"/>
              <w:pageBreakBefore w:val="0"/>
              <w:suppressLineNumbers w:val="0"/>
              <w:kinsoku/>
              <w:wordWrap/>
              <w:topLinePunct w:val="0"/>
              <w:bidi w:val="0"/>
              <w:spacing w:beforeAutospacing="0" w:afterAutospacing="0" w:line="360" w:lineRule="auto"/>
              <w:ind w:left="0" w:leftChars="0" w:right="0" w:firstLine="361" w:firstLineChars="150"/>
              <w:rPr>
                <w:rFonts w:hint="default" w:ascii="Times New Roman" w:hAnsi="Times New Roman" w:cs="Times New Roman"/>
                <w:b/>
                <w:color w:val="auto"/>
                <w:kern w:val="24"/>
                <w:sz w:val="24"/>
                <w:szCs w:val="24"/>
                <w:highlight w:val="none"/>
              </w:rPr>
            </w:pPr>
            <w:r>
              <w:rPr>
                <w:rFonts w:hint="default" w:ascii="Times New Roman" w:hAnsi="Times New Roman" w:cs="Times New Roman"/>
                <w:b/>
                <w:color w:val="auto"/>
                <w:kern w:val="24"/>
                <w:sz w:val="24"/>
                <w:szCs w:val="24"/>
                <w:highlight w:val="none"/>
              </w:rPr>
              <w:t>（1）空气质量达标区判断</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本项目位于</w:t>
            </w:r>
            <w:r>
              <w:rPr>
                <w:rFonts w:hint="default" w:ascii="Times New Roman" w:hAnsi="Times New Roman" w:cs="Times New Roman"/>
                <w:color w:val="auto"/>
                <w:sz w:val="24"/>
                <w:szCs w:val="24"/>
                <w:highlight w:val="none"/>
                <w:lang w:val="en-US" w:eastAsia="zh-CN"/>
              </w:rPr>
              <w:t>达州市</w:t>
            </w:r>
            <w:r>
              <w:rPr>
                <w:rFonts w:hint="default" w:ascii="Times New Roman" w:hAnsi="Times New Roman" w:cs="Times New Roman"/>
                <w:color w:val="auto"/>
                <w:sz w:val="24"/>
                <w:szCs w:val="24"/>
                <w:highlight w:val="none"/>
              </w:rPr>
              <w:t>宣汉县，为了解区域环境空气质量现状，本次环评引用</w:t>
            </w:r>
            <w:r>
              <w:rPr>
                <w:rFonts w:hint="default" w:ascii="Times New Roman" w:hAnsi="Times New Roman" w:cs="Times New Roman"/>
                <w:color w:val="auto"/>
                <w:sz w:val="24"/>
                <w:szCs w:val="24"/>
                <w:highlight w:val="none"/>
                <w:lang w:val="en-US" w:eastAsia="zh-CN"/>
              </w:rPr>
              <w:t>达州市生态环境局2023年1月18日公布的《达州市2022年环境空气质量状况》中相关数据和结论</w:t>
            </w:r>
            <w:r>
              <w:rPr>
                <w:rFonts w:hint="default" w:ascii="Times New Roman" w:hAnsi="Times New Roman" w:cs="Times New Roman"/>
                <w:color w:val="auto"/>
                <w:sz w:val="24"/>
                <w:szCs w:val="24"/>
                <w:highlight w:val="none"/>
              </w:rPr>
              <w:t>。</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w:t>
            </w:r>
            <w:r>
              <w:rPr>
                <w:rFonts w:hint="default" w:ascii="Times New Roman" w:hAnsi="Times New Roman" w:cs="Times New Roman"/>
                <w:color w:val="auto"/>
                <w:sz w:val="24"/>
                <w:szCs w:val="24"/>
                <w:highlight w:val="none"/>
                <w:lang w:val="en-US" w:eastAsia="zh-CN"/>
              </w:rPr>
              <w:t>达州市2022年环境空气质量状况：宣汉县</w:t>
            </w:r>
            <w:r>
              <w:rPr>
                <w:rFonts w:hint="default" w:ascii="Times New Roman" w:hAnsi="Times New Roman" w:cs="Times New Roman"/>
                <w:color w:val="auto"/>
                <w:sz w:val="24"/>
                <w:szCs w:val="24"/>
                <w:highlight w:val="none"/>
              </w:rPr>
              <w:t>二氧化硫年均值为</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微克/立方米，二氧化氮年均值为19微克/立方米，可吸入颗粒物年均值为</w:t>
            </w:r>
            <w:r>
              <w:rPr>
                <w:rFonts w:hint="default" w:ascii="Times New Roman" w:hAnsi="Times New Roman" w:cs="Times New Roman"/>
                <w:color w:val="auto"/>
                <w:sz w:val="24"/>
                <w:szCs w:val="24"/>
                <w:highlight w:val="none"/>
                <w:lang w:val="en-US" w:eastAsia="zh-CN"/>
              </w:rPr>
              <w:t>50</w:t>
            </w:r>
            <w:r>
              <w:rPr>
                <w:rFonts w:hint="default" w:ascii="Times New Roman" w:hAnsi="Times New Roman" w:cs="Times New Roman"/>
                <w:color w:val="auto"/>
                <w:sz w:val="24"/>
                <w:szCs w:val="24"/>
                <w:highlight w:val="none"/>
              </w:rPr>
              <w:t>微克/立方米，细颗粒物年均值为</w:t>
            </w:r>
            <w:r>
              <w:rPr>
                <w:rFonts w:hint="default" w:ascii="Times New Roman" w:hAnsi="Times New Roman" w:cs="Times New Roman"/>
                <w:color w:val="auto"/>
                <w:sz w:val="24"/>
                <w:szCs w:val="24"/>
                <w:highlight w:val="none"/>
                <w:lang w:val="en-US" w:eastAsia="zh-CN"/>
              </w:rPr>
              <w:t>27</w:t>
            </w:r>
            <w:r>
              <w:rPr>
                <w:rFonts w:hint="default" w:ascii="Times New Roman" w:hAnsi="Times New Roman" w:cs="Times New Roman"/>
                <w:color w:val="auto"/>
                <w:sz w:val="24"/>
                <w:szCs w:val="24"/>
                <w:highlight w:val="none"/>
              </w:rPr>
              <w:t>微克/立方米，臭氧年均值为</w:t>
            </w:r>
            <w:r>
              <w:rPr>
                <w:rFonts w:hint="default" w:ascii="Times New Roman" w:hAnsi="Times New Roman" w:cs="Times New Roman"/>
                <w:color w:val="auto"/>
                <w:sz w:val="24"/>
                <w:szCs w:val="24"/>
                <w:highlight w:val="none"/>
                <w:lang w:val="en-US" w:eastAsia="zh-CN"/>
              </w:rPr>
              <w:t>99</w:t>
            </w:r>
            <w:r>
              <w:rPr>
                <w:rFonts w:hint="default" w:ascii="Times New Roman" w:hAnsi="Times New Roman" w:cs="Times New Roman"/>
                <w:color w:val="auto"/>
                <w:sz w:val="24"/>
                <w:szCs w:val="24"/>
                <w:highlight w:val="none"/>
              </w:rPr>
              <w:t>微克/立方米，一氧化碳年均值为</w:t>
            </w:r>
            <w:r>
              <w:rPr>
                <w:rFonts w:hint="default" w:ascii="Times New Roman" w:hAnsi="Times New Roman" w:cs="Times New Roman"/>
                <w:color w:val="auto"/>
                <w:sz w:val="24"/>
                <w:szCs w:val="24"/>
                <w:highlight w:val="none"/>
                <w:lang w:val="en-US" w:eastAsia="zh-CN"/>
              </w:rPr>
              <w:t>1.1</w:t>
            </w:r>
            <w:r>
              <w:rPr>
                <w:rFonts w:hint="default" w:ascii="Times New Roman" w:hAnsi="Times New Roman" w:cs="Times New Roman"/>
                <w:color w:val="auto"/>
                <w:sz w:val="24"/>
                <w:szCs w:val="24"/>
                <w:highlight w:val="none"/>
              </w:rPr>
              <w:t>毫克/立方米，宣汉县城区环境空气质量年均值达到《环境空气质量标准》（GB3095—2012）中二级标准。</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项目位于</w:t>
            </w:r>
            <w:r>
              <w:rPr>
                <w:rFonts w:hint="default" w:ascii="Times New Roman" w:hAnsi="Times New Roman" w:cs="Times New Roman"/>
                <w:color w:val="auto"/>
                <w:sz w:val="24"/>
                <w:szCs w:val="24"/>
                <w:highlight w:val="none"/>
                <w:lang w:val="en-US" w:eastAsia="zh-CN"/>
              </w:rPr>
              <w:t>宣汉县新华镇</w:t>
            </w:r>
            <w:r>
              <w:rPr>
                <w:rFonts w:hint="default" w:ascii="Times New Roman" w:hAnsi="Times New Roman" w:cs="Times New Roman"/>
                <w:color w:val="auto"/>
                <w:sz w:val="24"/>
                <w:szCs w:val="24"/>
                <w:highlight w:val="none"/>
              </w:rPr>
              <w:t>，根据</w:t>
            </w:r>
            <w:r>
              <w:rPr>
                <w:rFonts w:hint="default" w:ascii="Times New Roman" w:hAnsi="Times New Roman" w:cs="Times New Roman"/>
                <w:color w:val="auto"/>
                <w:sz w:val="24"/>
                <w:szCs w:val="24"/>
                <w:highlight w:val="none"/>
                <w:lang w:val="en-US" w:eastAsia="zh-CN"/>
              </w:rPr>
              <w:t>《达州市2022年环境空气质量状况》</w:t>
            </w:r>
            <w:r>
              <w:rPr>
                <w:rFonts w:hint="default" w:ascii="Times New Roman" w:hAnsi="Times New Roman" w:cs="Times New Roman"/>
                <w:color w:val="auto"/>
                <w:sz w:val="24"/>
                <w:szCs w:val="24"/>
                <w:highlight w:val="none"/>
              </w:rPr>
              <w:t>，项目所在区域为环境空气质量达标区域，项目所在地空气环境质量基本符合《环境空气质量标准》（GB3095-2012）中二级标准，环境空气质量良好。</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2、地表水环境质量现状</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eastAsiaTheme="minorEastAsia"/>
                <w:b/>
                <w:color w:val="auto"/>
                <w:kern w:val="24"/>
                <w:sz w:val="24"/>
                <w:szCs w:val="24"/>
                <w:highlight w:val="none"/>
                <w:lang w:val="en-US" w:eastAsia="zh-CN"/>
              </w:rPr>
            </w:pPr>
            <w:r>
              <w:rPr>
                <w:rFonts w:hint="default" w:ascii="Times New Roman" w:hAnsi="Times New Roman" w:cs="Times New Roman"/>
                <w:b/>
                <w:color w:val="auto"/>
                <w:kern w:val="24"/>
                <w:sz w:val="24"/>
                <w:szCs w:val="24"/>
                <w:highlight w:val="none"/>
              </w:rPr>
              <w:t>（1）</w:t>
            </w:r>
            <w:r>
              <w:rPr>
                <w:rFonts w:hint="default" w:ascii="Times New Roman" w:hAnsi="Times New Roman" w:cs="Times New Roman"/>
                <w:b/>
                <w:color w:val="auto"/>
                <w:kern w:val="24"/>
                <w:sz w:val="24"/>
                <w:szCs w:val="24"/>
                <w:highlight w:val="none"/>
                <w:lang w:val="en-US" w:eastAsia="zh-CN"/>
              </w:rPr>
              <w:t>区域地表水环境质量</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lang w:eastAsia="zh-CN"/>
              </w:rPr>
              <w:t>为了解项目拟设取水口水质现状，本环评引用达州市生态环境局公布的《达州市乡镇集中式饮用水水源地水环境质量》（</w:t>
            </w:r>
            <w:r>
              <w:rPr>
                <w:rFonts w:hint="default" w:ascii="Times New Roman" w:hAnsi="Times New Roman" w:cs="Times New Roman"/>
                <w:b w:val="0"/>
                <w:bCs/>
                <w:color w:val="auto"/>
                <w:sz w:val="24"/>
                <w:szCs w:val="24"/>
                <w:highlight w:val="none"/>
                <w:lang w:val="en-US" w:eastAsia="zh-CN"/>
              </w:rPr>
              <w:t>2020年、2021年、2022年</w:t>
            </w:r>
            <w:r>
              <w:rPr>
                <w:rFonts w:hint="default"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lang w:val="en-US" w:eastAsia="zh-CN"/>
              </w:rPr>
              <w:t>发布的数据（网址：https://sthjj.dazhou.gov.cn/news-list-yyssyzl.html）：</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2020年：</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乡镇集中式饮用水源地水质达标率：</w:t>
            </w:r>
            <w:r>
              <w:rPr>
                <w:rFonts w:hint="default" w:ascii="Times New Roman" w:hAnsi="Times New Roman" w:cs="Times New Roman"/>
                <w:b w:val="0"/>
                <w:bCs/>
                <w:color w:val="auto"/>
                <w:sz w:val="24"/>
                <w:szCs w:val="24"/>
                <w:highlight w:val="none"/>
                <w:lang w:val="en-US" w:eastAsia="zh-CN"/>
              </w:rPr>
              <w:t>通川区、高新区、宣汉县、开江县、万源市乡镇集中式饮用水源地水质达标率为100%，达川区为99.1%，大竹县为99%，渠县为97.4%。</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地表水水质达标率</w:t>
            </w:r>
            <w:r>
              <w:rPr>
                <w:rFonts w:hint="default" w:ascii="Times New Roman" w:hAnsi="Times New Roman" w:cs="Times New Roman"/>
                <w:b w:val="0"/>
                <w:bCs/>
                <w:color w:val="auto"/>
                <w:sz w:val="24"/>
                <w:szCs w:val="24"/>
                <w:highlight w:val="none"/>
                <w:lang w:val="en-US" w:eastAsia="zh-CN"/>
              </w:rPr>
              <w:t>：通川区、高新区、</w:t>
            </w:r>
            <w:r>
              <w:rPr>
                <w:rFonts w:hint="default" w:ascii="Times New Roman" w:hAnsi="Times New Roman" w:cs="Times New Roman"/>
                <w:b/>
                <w:bCs w:val="0"/>
                <w:color w:val="auto"/>
                <w:sz w:val="24"/>
                <w:szCs w:val="24"/>
                <w:highlight w:val="none"/>
                <w:lang w:val="en-US" w:eastAsia="zh-CN"/>
              </w:rPr>
              <w:t>宣汉县</w:t>
            </w:r>
            <w:r>
              <w:rPr>
                <w:rFonts w:hint="default" w:ascii="Times New Roman" w:hAnsi="Times New Roman" w:cs="Times New Roman"/>
                <w:b w:val="0"/>
                <w:bCs/>
                <w:color w:val="auto"/>
                <w:sz w:val="24"/>
                <w:szCs w:val="24"/>
                <w:highlight w:val="none"/>
                <w:lang w:val="en-US" w:eastAsia="zh-CN"/>
              </w:rPr>
              <w:t>、开江县、万源市</w:t>
            </w:r>
            <w:r>
              <w:rPr>
                <w:rFonts w:hint="default" w:ascii="Times New Roman" w:hAnsi="Times New Roman" w:cs="Times New Roman"/>
                <w:b/>
                <w:bCs w:val="0"/>
                <w:color w:val="auto"/>
                <w:sz w:val="24"/>
                <w:szCs w:val="24"/>
                <w:highlight w:val="none"/>
                <w:lang w:val="en-US" w:eastAsia="zh-CN"/>
              </w:rPr>
              <w:t>地表水源地水质达标率为100%</w:t>
            </w:r>
            <w:r>
              <w:rPr>
                <w:rFonts w:hint="default" w:ascii="Times New Roman" w:hAnsi="Times New Roman" w:cs="Times New Roman"/>
                <w:b w:val="0"/>
                <w:bCs/>
                <w:color w:val="auto"/>
                <w:sz w:val="24"/>
                <w:szCs w:val="24"/>
                <w:highlight w:val="none"/>
                <w:lang w:val="en-US" w:eastAsia="zh-CN"/>
              </w:rPr>
              <w:t>，达川区为99%，大竹县为98.9%，渠县为97.5%。</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2021年：</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val="0"/>
                <w:bCs/>
                <w:color w:val="auto"/>
                <w:sz w:val="24"/>
                <w:szCs w:val="24"/>
                <w:highlight w:val="none"/>
                <w:lang w:eastAsia="zh-CN"/>
              </w:rPr>
            </w:pPr>
            <w:r>
              <w:rPr>
                <w:rFonts w:hint="default" w:ascii="Times New Roman" w:hAnsi="Times New Roman" w:cs="Times New Roman"/>
                <w:b/>
                <w:bCs w:val="0"/>
                <w:color w:val="auto"/>
                <w:sz w:val="24"/>
                <w:szCs w:val="24"/>
                <w:highlight w:val="none"/>
                <w:lang w:val="en-US" w:eastAsia="zh-CN"/>
              </w:rPr>
              <w:t>乡镇集中式饮用水源地水质达标率：</w:t>
            </w:r>
            <w:r>
              <w:rPr>
                <w:rFonts w:hint="default" w:ascii="Times New Roman" w:hAnsi="Times New Roman" w:cs="Times New Roman"/>
                <w:b w:val="0"/>
                <w:bCs/>
                <w:color w:val="auto"/>
                <w:sz w:val="24"/>
                <w:szCs w:val="24"/>
                <w:highlight w:val="none"/>
                <w:lang w:eastAsia="zh-CN"/>
              </w:rPr>
              <w:t>达川区、宣汉县、开江县乡镇集中式饮用水源地水质达标率为100%，渠县为99.9%，通川区为99.1%，高于全市平均值（98.9%）。大竹县、万源市、高新区水质达标率低于全市平均值。大竹县水质达标率为97.3%，万源市为95.9%，高新区为38.5%</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val="0"/>
                <w:bCs/>
                <w:color w:val="auto"/>
                <w:sz w:val="24"/>
                <w:szCs w:val="24"/>
                <w:highlight w:val="none"/>
                <w:lang w:eastAsia="zh-CN"/>
              </w:rPr>
            </w:pPr>
            <w:r>
              <w:rPr>
                <w:rFonts w:hint="default" w:ascii="Times New Roman" w:hAnsi="Times New Roman" w:cs="Times New Roman"/>
                <w:b/>
                <w:bCs w:val="0"/>
                <w:color w:val="auto"/>
                <w:sz w:val="24"/>
                <w:szCs w:val="24"/>
                <w:highlight w:val="none"/>
                <w:lang w:val="en-US" w:eastAsia="zh-CN"/>
              </w:rPr>
              <w:t>地表水水质达标率：</w:t>
            </w:r>
            <w:r>
              <w:rPr>
                <w:rFonts w:hint="default" w:ascii="Times New Roman" w:hAnsi="Times New Roman" w:cs="Times New Roman"/>
                <w:b w:val="0"/>
                <w:bCs/>
                <w:color w:val="auto"/>
                <w:sz w:val="24"/>
                <w:szCs w:val="24"/>
                <w:highlight w:val="none"/>
                <w:lang w:eastAsia="zh-CN"/>
              </w:rPr>
              <w:t>达川区、</w:t>
            </w:r>
            <w:r>
              <w:rPr>
                <w:rFonts w:hint="default" w:ascii="Times New Roman" w:hAnsi="Times New Roman" w:cs="Times New Roman"/>
                <w:b/>
                <w:bCs w:val="0"/>
                <w:color w:val="auto"/>
                <w:sz w:val="24"/>
                <w:szCs w:val="24"/>
                <w:highlight w:val="none"/>
                <w:lang w:val="en-US" w:eastAsia="zh-CN"/>
              </w:rPr>
              <w:t>宣汉县</w:t>
            </w:r>
            <w:r>
              <w:rPr>
                <w:rFonts w:hint="default" w:ascii="Times New Roman" w:hAnsi="Times New Roman" w:cs="Times New Roman"/>
                <w:b w:val="0"/>
                <w:bCs/>
                <w:color w:val="auto"/>
                <w:sz w:val="24"/>
                <w:szCs w:val="24"/>
                <w:highlight w:val="none"/>
                <w:lang w:eastAsia="zh-CN"/>
              </w:rPr>
              <w:t>、开江县和渠县</w:t>
            </w:r>
            <w:r>
              <w:rPr>
                <w:rFonts w:hint="default" w:ascii="Times New Roman" w:hAnsi="Times New Roman" w:cs="Times New Roman"/>
                <w:b/>
                <w:bCs w:val="0"/>
                <w:color w:val="auto"/>
                <w:sz w:val="24"/>
                <w:szCs w:val="24"/>
                <w:highlight w:val="none"/>
                <w:lang w:val="en-US" w:eastAsia="zh-CN"/>
              </w:rPr>
              <w:t>地表水源地水质达标率为100%</w:t>
            </w:r>
            <w:r>
              <w:rPr>
                <w:rFonts w:hint="default" w:ascii="Times New Roman" w:hAnsi="Times New Roman" w:cs="Times New Roman"/>
                <w:b w:val="0"/>
                <w:bCs/>
                <w:color w:val="auto"/>
                <w:sz w:val="24"/>
                <w:szCs w:val="24"/>
                <w:highlight w:val="none"/>
                <w:lang w:eastAsia="zh-CN"/>
              </w:rPr>
              <w:t>，通川区为99.1%，高于全市平均值（98.9%）。大竹县、万源市、高新区低于全市平均值。大竹县水质达标率为97.2%，万源市为95.5%，高新区为38.5%。</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2022年：</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val="0"/>
                <w:bCs/>
                <w:color w:val="auto"/>
                <w:sz w:val="24"/>
                <w:szCs w:val="24"/>
                <w:highlight w:val="none"/>
                <w:lang w:eastAsia="zh-CN"/>
              </w:rPr>
            </w:pPr>
            <w:r>
              <w:rPr>
                <w:rFonts w:hint="default" w:ascii="Times New Roman" w:hAnsi="Times New Roman" w:cs="Times New Roman"/>
                <w:b/>
                <w:bCs w:val="0"/>
                <w:color w:val="auto"/>
                <w:sz w:val="24"/>
                <w:szCs w:val="24"/>
                <w:highlight w:val="none"/>
                <w:lang w:val="en-US" w:eastAsia="zh-CN"/>
              </w:rPr>
              <w:t>乡镇集中式饮用水源地水质达标率：</w:t>
            </w:r>
            <w:r>
              <w:rPr>
                <w:rFonts w:hint="default" w:ascii="Times New Roman" w:hAnsi="Times New Roman" w:cs="Times New Roman"/>
                <w:b w:val="0"/>
                <w:bCs/>
                <w:color w:val="auto"/>
                <w:sz w:val="24"/>
                <w:szCs w:val="24"/>
                <w:highlight w:val="none"/>
                <w:lang w:eastAsia="zh-CN"/>
              </w:rPr>
              <w:t>达川区、东部经开区、宣汉县、开江县、大竹县、渠县和万源市乡镇集中式饮用水源地水质达标率为100%，高于全市平均值（99.8%）。通川区、高新区水质达标率低于全市平均值。通川区为98.1%，高新区为68.4%。</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val="0"/>
                <w:bCs/>
                <w:color w:val="auto"/>
                <w:sz w:val="24"/>
                <w:szCs w:val="24"/>
                <w:highlight w:val="none"/>
                <w:lang w:eastAsia="zh-CN"/>
              </w:rPr>
            </w:pPr>
            <w:r>
              <w:rPr>
                <w:rFonts w:hint="default" w:ascii="Times New Roman" w:hAnsi="Times New Roman" w:cs="Times New Roman"/>
                <w:b/>
                <w:bCs w:val="0"/>
                <w:color w:val="auto"/>
                <w:sz w:val="24"/>
                <w:szCs w:val="24"/>
                <w:highlight w:val="none"/>
                <w:lang w:eastAsia="zh-CN"/>
              </w:rPr>
              <w:t>地表水水质达标率：</w:t>
            </w:r>
            <w:r>
              <w:rPr>
                <w:rFonts w:hint="default" w:ascii="Times New Roman" w:hAnsi="Times New Roman" w:cs="Times New Roman"/>
                <w:b w:val="0"/>
                <w:bCs/>
                <w:color w:val="auto"/>
                <w:sz w:val="24"/>
                <w:szCs w:val="24"/>
                <w:highlight w:val="none"/>
                <w:lang w:eastAsia="zh-CN"/>
              </w:rPr>
              <w:t>达川区、东部经开区、</w:t>
            </w:r>
            <w:r>
              <w:rPr>
                <w:rFonts w:hint="default" w:ascii="Times New Roman" w:hAnsi="Times New Roman" w:cs="Times New Roman"/>
                <w:b/>
                <w:bCs w:val="0"/>
                <w:color w:val="auto"/>
                <w:sz w:val="24"/>
                <w:szCs w:val="24"/>
                <w:highlight w:val="none"/>
                <w:lang w:eastAsia="zh-CN"/>
              </w:rPr>
              <w:t>宣汉县</w:t>
            </w:r>
            <w:r>
              <w:rPr>
                <w:rFonts w:hint="default" w:ascii="Times New Roman" w:hAnsi="Times New Roman" w:cs="Times New Roman"/>
                <w:b w:val="0"/>
                <w:bCs/>
                <w:color w:val="auto"/>
                <w:sz w:val="24"/>
                <w:szCs w:val="24"/>
                <w:highlight w:val="none"/>
                <w:lang w:eastAsia="zh-CN"/>
              </w:rPr>
              <w:t>、开江县、大竹县、渠县和万源市</w:t>
            </w:r>
            <w:r>
              <w:rPr>
                <w:rFonts w:hint="default" w:ascii="Times New Roman" w:hAnsi="Times New Roman" w:cs="Times New Roman"/>
                <w:b/>
                <w:bCs w:val="0"/>
                <w:color w:val="auto"/>
                <w:sz w:val="24"/>
                <w:szCs w:val="24"/>
                <w:highlight w:val="none"/>
                <w:lang w:eastAsia="zh-CN"/>
              </w:rPr>
              <w:t>地表水源地水质达标率为100%</w:t>
            </w:r>
            <w:r>
              <w:rPr>
                <w:rFonts w:hint="default" w:ascii="Times New Roman" w:hAnsi="Times New Roman" w:cs="Times New Roman"/>
                <w:b w:val="0"/>
                <w:bCs/>
                <w:color w:val="auto"/>
                <w:sz w:val="24"/>
                <w:szCs w:val="24"/>
                <w:highlight w:val="none"/>
                <w:lang w:eastAsia="zh-CN"/>
              </w:rPr>
              <w:t>，高于全市平均值（99.7%）。通川区、高新区低于全市平均值。通川区水质达标率为98.1%，高新区为68.4%。</w:t>
            </w:r>
          </w:p>
          <w:p>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本项目拟建中河取水口属于宣汉县地表水，因其达标率为100%，可认为项目中河水质较好，满足《地表水环境质量标准》（GB3838-2002）Ⅲ类标准。</w:t>
            </w:r>
          </w:p>
          <w:p>
            <w:pPr>
              <w:keepNext w:val="0"/>
              <w:keepLines w:val="0"/>
              <w:pageBreakBefore w:val="0"/>
              <w:widowControl w:val="0"/>
              <w:tabs>
                <w:tab w:val="left" w:pos="748"/>
              </w:tabs>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（2）补充监测</w:t>
            </w:r>
          </w:p>
          <w:p>
            <w:pPr>
              <w:keepNext w:val="0"/>
              <w:keepLines w:val="0"/>
              <w:pageBreakBefore w:val="0"/>
              <w:widowControl w:val="0"/>
              <w:tabs>
                <w:tab w:val="left" w:pos="748"/>
              </w:tabs>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b w:val="0"/>
                <w:bCs/>
                <w:color w:val="auto"/>
                <w:sz w:val="24"/>
                <w:szCs w:val="24"/>
                <w:highlight w:val="none"/>
                <w:lang w:val="en-US" w:eastAsia="zh-CN"/>
              </w:rPr>
              <w:t>本项目供水水源为中河，原新华水厂供水水源为泥溪沟，</w:t>
            </w:r>
            <w:r>
              <w:rPr>
                <w:rFonts w:hint="default" w:ascii="Times New Roman" w:hAnsi="Times New Roman" w:eastAsia="宋体" w:cs="Times New Roman"/>
                <w:color w:val="auto"/>
                <w:sz w:val="24"/>
                <w:szCs w:val="24"/>
                <w:highlight w:val="none"/>
              </w:rPr>
              <w:t>为了解项目</w:t>
            </w:r>
            <w:r>
              <w:rPr>
                <w:rFonts w:hint="default" w:ascii="Times New Roman" w:hAnsi="Times New Roman" w:eastAsia="宋体" w:cs="Times New Roman"/>
                <w:color w:val="auto"/>
                <w:sz w:val="24"/>
                <w:szCs w:val="24"/>
                <w:highlight w:val="none"/>
                <w:lang w:val="en-US" w:eastAsia="zh-CN"/>
              </w:rPr>
              <w:t>所在地</w:t>
            </w:r>
            <w:r>
              <w:rPr>
                <w:rFonts w:hint="default" w:ascii="Times New Roman" w:hAnsi="Times New Roman" w:eastAsia="宋体" w:cs="Times New Roman"/>
                <w:color w:val="auto"/>
                <w:sz w:val="24"/>
                <w:szCs w:val="24"/>
                <w:highlight w:val="none"/>
              </w:rPr>
              <w:t>地表水水环境，本次环评委托达州恒福环境监测服务有限公司于202</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日对区域地表水进行监测（恒福（环）检字（202</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）第</w:t>
            </w:r>
            <w:r>
              <w:rPr>
                <w:rFonts w:hint="default" w:ascii="Times New Roman" w:hAnsi="Times New Roman" w:eastAsia="宋体" w:cs="Times New Roman"/>
                <w:color w:val="auto"/>
                <w:sz w:val="24"/>
                <w:szCs w:val="24"/>
                <w:highlight w:val="none"/>
                <w:lang w:val="en-US" w:eastAsia="zh-CN"/>
              </w:rPr>
              <w:t>0383</w:t>
            </w:r>
            <w:r>
              <w:rPr>
                <w:rFonts w:hint="default" w:ascii="Times New Roman" w:hAnsi="Times New Roman" w:eastAsia="宋体" w:cs="Times New Roman"/>
                <w:color w:val="auto"/>
                <w:sz w:val="24"/>
                <w:szCs w:val="24"/>
                <w:highlight w:val="none"/>
              </w:rPr>
              <w:t>号）</w:t>
            </w:r>
            <w:r>
              <w:rPr>
                <w:rFonts w:hint="default" w:ascii="Times New Roman" w:hAnsi="Times New Roman" w:eastAsia="宋体" w:cs="Times New Roman"/>
                <w:color w:val="auto"/>
                <w:sz w:val="24"/>
                <w:szCs w:val="24"/>
                <w:highlight w:val="none"/>
                <w:lang w:eastAsia="zh-CN"/>
              </w:rPr>
              <w:t>。</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（1）地表水污染物现状监测</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①监测点位基本信息</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本次共设2个监测断面，项目地表水监测基本信息见下表。</w:t>
            </w:r>
          </w:p>
          <w:p>
            <w:pPr>
              <w:pStyle w:val="6"/>
              <w:keepNext w:val="0"/>
              <w:keepLines w:val="0"/>
              <w:pageBreakBefore w:val="0"/>
              <w:widowControl w:val="0"/>
              <w:kinsoku/>
              <w:wordWrap/>
              <w:overflowPunct/>
              <w:topLinePunct w:val="0"/>
              <w:autoSpaceDE/>
              <w:autoSpaceDN/>
              <w:bidi w:val="0"/>
              <w:adjustRightInd/>
              <w:snapToGrid w:val="0"/>
              <w:spacing w:before="0" w:after="0" w:line="360" w:lineRule="auto"/>
              <w:ind w:left="0" w:leftChars="0"/>
              <w:textAlignment w:val="auto"/>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w:t>
            </w:r>
            <w:r>
              <w:rPr>
                <w:rFonts w:hint="default" w:ascii="Times New Roman" w:hAnsi="Times New Roman" w:eastAsia="黑体" w:cs="Times New Roman"/>
                <w:b w:val="0"/>
                <w:bCs/>
                <w:color w:val="auto"/>
                <w:sz w:val="21"/>
                <w:szCs w:val="21"/>
                <w:highlight w:val="none"/>
                <w:lang w:val="en-US" w:eastAsia="zh-CN"/>
              </w:rPr>
              <w:t>3-1</w:t>
            </w:r>
            <w:r>
              <w:rPr>
                <w:rFonts w:hint="eastAsia" w:ascii="Times New Roman" w:hAnsi="Times New Roman" w:eastAsia="黑体" w:cs="Times New Roman"/>
                <w:b w:val="0"/>
                <w:bCs/>
                <w:color w:val="auto"/>
                <w:sz w:val="21"/>
                <w:szCs w:val="21"/>
                <w:highlight w:val="none"/>
                <w:lang w:val="en-US" w:eastAsia="zh-CN"/>
              </w:rPr>
              <w:t xml:space="preserve"> </w:t>
            </w:r>
            <w:r>
              <w:rPr>
                <w:rFonts w:hint="default" w:ascii="Times New Roman" w:hAnsi="Times New Roman" w:eastAsia="黑体" w:cs="Times New Roman"/>
                <w:b w:val="0"/>
                <w:bCs/>
                <w:color w:val="auto"/>
                <w:sz w:val="21"/>
                <w:szCs w:val="21"/>
                <w:highlight w:val="none"/>
              </w:rPr>
              <w:t>检测项目、测点布置及检测频率一览表</w:t>
            </w:r>
          </w:p>
          <w:tbl>
            <w:tblPr>
              <w:tblStyle w:val="19"/>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980"/>
              <w:gridCol w:w="4425"/>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11" w:type="dxa"/>
                  <w:tcBorders>
                    <w:tl2br w:val="nil"/>
                    <w:tr2bl w:val="nil"/>
                  </w:tcBorders>
                  <w:noWrap w:val="0"/>
                  <w:vAlign w:val="center"/>
                </w:tcPr>
                <w:p>
                  <w:pPr>
                    <w:keepNext w:val="0"/>
                    <w:keepLines w:val="0"/>
                    <w:pageBreakBefore w:val="0"/>
                    <w:kinsoku/>
                    <w:wordWrap/>
                    <w:topLinePunct w:val="0"/>
                    <w:bidi w:val="0"/>
                    <w:spacing w:line="300" w:lineRule="exact"/>
                    <w:ind w:left="0" w:left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断面编号</w:t>
                  </w:r>
                </w:p>
              </w:tc>
              <w:tc>
                <w:tcPr>
                  <w:tcW w:w="1980" w:type="dxa"/>
                  <w:tcBorders>
                    <w:tl2br w:val="nil"/>
                    <w:tr2bl w:val="nil"/>
                  </w:tcBorders>
                  <w:noWrap w:val="0"/>
                  <w:vAlign w:val="center"/>
                </w:tcPr>
                <w:p>
                  <w:pPr>
                    <w:keepNext w:val="0"/>
                    <w:keepLines w:val="0"/>
                    <w:pageBreakBefore w:val="0"/>
                    <w:kinsoku/>
                    <w:wordWrap/>
                    <w:topLinePunct w:val="0"/>
                    <w:bidi w:val="0"/>
                    <w:spacing w:line="300" w:lineRule="exact"/>
                    <w:ind w:left="0" w:left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检测点编号及名称</w:t>
                  </w:r>
                </w:p>
              </w:tc>
              <w:tc>
                <w:tcPr>
                  <w:tcW w:w="4425" w:type="dxa"/>
                  <w:tcBorders>
                    <w:tl2br w:val="nil"/>
                    <w:tr2bl w:val="nil"/>
                  </w:tcBorders>
                  <w:noWrap w:val="0"/>
                  <w:vAlign w:val="center"/>
                </w:tcPr>
                <w:p>
                  <w:pPr>
                    <w:keepNext w:val="0"/>
                    <w:keepLines w:val="0"/>
                    <w:pageBreakBefore w:val="0"/>
                    <w:kinsoku/>
                    <w:wordWrap/>
                    <w:topLinePunct w:val="0"/>
                    <w:bidi w:val="0"/>
                    <w:spacing w:line="300" w:lineRule="exact"/>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检测因子</w:t>
                  </w:r>
                </w:p>
              </w:tc>
              <w:tc>
                <w:tcPr>
                  <w:tcW w:w="1101" w:type="dxa"/>
                  <w:tcBorders>
                    <w:tl2br w:val="nil"/>
                    <w:tr2bl w:val="nil"/>
                  </w:tcBorders>
                  <w:noWrap w:val="0"/>
                  <w:vAlign w:val="center"/>
                </w:tcPr>
                <w:p>
                  <w:pPr>
                    <w:keepNext w:val="0"/>
                    <w:keepLines w:val="0"/>
                    <w:pageBreakBefore w:val="0"/>
                    <w:kinsoku/>
                    <w:wordWrap/>
                    <w:topLinePunct w:val="0"/>
                    <w:bidi w:val="0"/>
                    <w:spacing w:line="300" w:lineRule="exact"/>
                    <w:ind w:left="0" w:left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111" w:type="dxa"/>
                  <w:tcBorders>
                    <w:tl2br w:val="nil"/>
                    <w:tr2bl w:val="nil"/>
                  </w:tcBorders>
                  <w:shd w:val="clear" w:color="auto" w:fill="auto"/>
                  <w:noWrap w:val="0"/>
                  <w:vAlign w:val="center"/>
                </w:tcPr>
                <w:p>
                  <w:pPr>
                    <w:keepNext w:val="0"/>
                    <w:keepLines w:val="0"/>
                    <w:pageBreakBefore w:val="0"/>
                    <w:kinsoku/>
                    <w:wordWrap/>
                    <w:topLinePunct w:val="0"/>
                    <w:bidi w:val="0"/>
                    <w:spacing w:line="280" w:lineRule="exact"/>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Ⅰ</w:t>
                  </w:r>
                </w:p>
              </w:tc>
              <w:tc>
                <w:tcPr>
                  <w:tcW w:w="1980"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新华镇泥溪沟麻柳树河坝集中式饮用水源地</w:t>
                  </w:r>
                </w:p>
              </w:tc>
              <w:tc>
                <w:tcPr>
                  <w:tcW w:w="4425" w:type="dxa"/>
                  <w:vMerge w:val="restart"/>
                  <w:tcBorders>
                    <w:tl2br w:val="nil"/>
                    <w:tr2bl w:val="nil"/>
                  </w:tcBorders>
                  <w:shd w:val="clear" w:color="auto" w:fill="auto"/>
                  <w:noWrap w:val="0"/>
                  <w:vAlign w:val="center"/>
                </w:tcPr>
                <w:p>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温、pH、溶解氧、高锰酸盐指数、五日生化需氧量、化学需氧量、氨氮、总磷、总氮、铜、锌、氟化物、硒、砷、汞、镉、六价铬、铅、氰化物、挥发酚、石油类、阴离子表面活性剂、硫化物、粪大肠菌群、硫酸盐、氯化物、硝酸盐、铁、锰</w:t>
                  </w:r>
                </w:p>
              </w:tc>
              <w:tc>
                <w:tcPr>
                  <w:tcW w:w="1101" w:type="dxa"/>
                  <w:vMerge w:val="restart"/>
                  <w:tcBorders>
                    <w:tl2br w:val="nil"/>
                    <w:tr2bl w:val="nil"/>
                  </w:tcBorders>
                  <w:shd w:val="clear" w:color="auto" w:fill="auto"/>
                  <w:noWrap w:val="0"/>
                  <w:vAlign w:val="center"/>
                </w:tcPr>
                <w:p>
                  <w:pPr>
                    <w:keepNext w:val="0"/>
                    <w:keepLines w:val="0"/>
                    <w:pageBreakBefore w:val="0"/>
                    <w:kinsoku/>
                    <w:wordWrap/>
                    <w:topLinePunct w:val="0"/>
                    <w:bidi w:val="0"/>
                    <w:spacing w:line="280" w:lineRule="exact"/>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监测一天，一天一次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111" w:type="dxa"/>
                  <w:tcBorders>
                    <w:tl2br w:val="nil"/>
                    <w:tr2bl w:val="nil"/>
                  </w:tcBorders>
                  <w:shd w:val="clear" w:color="auto" w:fill="auto"/>
                  <w:noWrap w:val="0"/>
                  <w:vAlign w:val="center"/>
                </w:tcPr>
                <w:p>
                  <w:pPr>
                    <w:keepNext w:val="0"/>
                    <w:keepLines w:val="0"/>
                    <w:pageBreakBefore w:val="0"/>
                    <w:kinsoku/>
                    <w:wordWrap/>
                    <w:topLinePunct w:val="0"/>
                    <w:bidi w:val="0"/>
                    <w:spacing w:line="280" w:lineRule="exact"/>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Ⅱ</w:t>
                  </w:r>
                </w:p>
              </w:tc>
              <w:tc>
                <w:tcPr>
                  <w:tcW w:w="1980"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中河取水口</w:t>
                  </w:r>
                </w:p>
              </w:tc>
              <w:tc>
                <w:tcPr>
                  <w:tcW w:w="4425" w:type="dxa"/>
                  <w:vMerge w:val="continue"/>
                  <w:tcBorders>
                    <w:tl2br w:val="nil"/>
                    <w:tr2bl w:val="nil"/>
                  </w:tcBorders>
                  <w:shd w:val="clear" w:color="auto" w:fill="auto"/>
                  <w:noWrap w:val="0"/>
                  <w:vAlign w:val="center"/>
                </w:tcPr>
                <w:p>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p>
              </w:tc>
              <w:tc>
                <w:tcPr>
                  <w:tcW w:w="1101" w:type="dxa"/>
                  <w:vMerge w:val="continue"/>
                  <w:tcBorders>
                    <w:tl2br w:val="nil"/>
                    <w:tr2bl w:val="nil"/>
                  </w:tcBorders>
                  <w:shd w:val="clear" w:color="auto" w:fill="auto"/>
                  <w:noWrap w:val="0"/>
                  <w:vAlign w:val="center"/>
                </w:tcPr>
                <w:p>
                  <w:pPr>
                    <w:keepNext w:val="0"/>
                    <w:keepLines w:val="0"/>
                    <w:pageBreakBefore w:val="0"/>
                    <w:kinsoku/>
                    <w:wordWrap/>
                    <w:topLinePunct w:val="0"/>
                    <w:bidi w:val="0"/>
                    <w:spacing w:line="280" w:lineRule="exact"/>
                    <w:ind w:left="0" w:leftChars="0"/>
                    <w:jc w:val="center"/>
                    <w:rPr>
                      <w:rFonts w:hint="default" w:ascii="Times New Roman" w:hAnsi="Times New Roman" w:cs="Times New Roman"/>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b/>
                <w:bCs/>
                <w:color w:val="auto"/>
                <w:sz w:val="24"/>
                <w:szCs w:val="24"/>
                <w:highlight w:val="none"/>
              </w:rPr>
              <w:t>②监测结果</w:t>
            </w:r>
          </w:p>
          <w:p>
            <w:pPr>
              <w:pStyle w:val="2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黑体" w:cs="Times New Roman"/>
                <w:b w:val="0"/>
                <w:bCs/>
                <w:color w:val="auto"/>
                <w:sz w:val="21"/>
                <w:szCs w:val="21"/>
                <w:highlight w:val="none"/>
              </w:rPr>
            </w:pPr>
          </w:p>
          <w:p>
            <w:pPr>
              <w:pStyle w:val="2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w:t>
            </w:r>
            <w:r>
              <w:rPr>
                <w:rFonts w:hint="default" w:ascii="Times New Roman" w:hAnsi="Times New Roman" w:eastAsia="黑体" w:cs="Times New Roman"/>
                <w:b w:val="0"/>
                <w:bCs/>
                <w:color w:val="auto"/>
                <w:sz w:val="21"/>
                <w:szCs w:val="21"/>
                <w:highlight w:val="none"/>
                <w:lang w:val="en-US" w:eastAsia="zh-CN"/>
              </w:rPr>
              <w:t>3-2</w:t>
            </w:r>
            <w:r>
              <w:rPr>
                <w:rFonts w:hint="eastAsia" w:ascii="Times New Roman" w:hAnsi="Times New Roman" w:eastAsia="黑体" w:cs="Times New Roman"/>
                <w:b w:val="0"/>
                <w:bCs/>
                <w:color w:val="auto"/>
                <w:sz w:val="21"/>
                <w:szCs w:val="21"/>
                <w:highlight w:val="none"/>
                <w:lang w:val="en-US" w:eastAsia="zh-CN"/>
              </w:rPr>
              <w:t xml:space="preserve"> </w:t>
            </w:r>
            <w:r>
              <w:rPr>
                <w:rFonts w:hint="default" w:ascii="Times New Roman" w:hAnsi="Times New Roman" w:eastAsia="黑体" w:cs="Times New Roman"/>
                <w:b w:val="0"/>
                <w:bCs/>
                <w:color w:val="auto"/>
                <w:sz w:val="21"/>
                <w:szCs w:val="21"/>
                <w:highlight w:val="none"/>
              </w:rPr>
              <w:t>地表水检测结果一览表单位：mg/L</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4"/>
              <w:gridCol w:w="2442"/>
              <w:gridCol w:w="2444"/>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35" w:type="pct"/>
                  <w:vMerge w:val="restar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检</w:t>
                  </w:r>
                  <w:r>
                    <w:rPr>
                      <w:rFonts w:hint="default" w:ascii="Times New Roman" w:hAnsi="Times New Roman" w:eastAsia="宋体" w:cs="Times New Roman"/>
                      <w:b/>
                      <w:bCs/>
                      <w:color w:val="auto"/>
                      <w:sz w:val="21"/>
                      <w:szCs w:val="21"/>
                      <w:highlight w:val="none"/>
                    </w:rPr>
                    <w:t>测因子</w:t>
                  </w:r>
                </w:p>
              </w:tc>
              <w:tc>
                <w:tcPr>
                  <w:tcW w:w="2819" w:type="pct"/>
                  <w:gridSpan w:val="2"/>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检</w:t>
                  </w:r>
                  <w:r>
                    <w:rPr>
                      <w:rFonts w:hint="default" w:ascii="Times New Roman" w:hAnsi="Times New Roman" w:eastAsia="宋体" w:cs="Times New Roman"/>
                      <w:b/>
                      <w:bCs/>
                      <w:color w:val="auto"/>
                      <w:sz w:val="21"/>
                      <w:szCs w:val="21"/>
                      <w:highlight w:val="none"/>
                    </w:rPr>
                    <w:t>测点</w:t>
                  </w:r>
                  <w:r>
                    <w:rPr>
                      <w:rFonts w:hint="default" w:ascii="Times New Roman" w:hAnsi="Times New Roman" w:eastAsia="宋体" w:cs="Times New Roman"/>
                      <w:b/>
                      <w:bCs/>
                      <w:color w:val="auto"/>
                      <w:sz w:val="21"/>
                      <w:szCs w:val="21"/>
                      <w:highlight w:val="none"/>
                      <w:lang w:eastAsia="zh-CN"/>
                    </w:rPr>
                    <w:t>编号、</w:t>
                  </w:r>
                  <w:r>
                    <w:rPr>
                      <w:rFonts w:hint="default" w:ascii="Times New Roman" w:hAnsi="Times New Roman" w:eastAsia="宋体" w:cs="Times New Roman"/>
                      <w:b/>
                      <w:bCs/>
                      <w:color w:val="auto"/>
                      <w:sz w:val="21"/>
                      <w:szCs w:val="21"/>
                      <w:highlight w:val="none"/>
                    </w:rPr>
                    <w:t>位置</w:t>
                  </w:r>
                  <w:r>
                    <w:rPr>
                      <w:rFonts w:hint="default" w:ascii="Times New Roman" w:hAnsi="Times New Roman" w:eastAsia="宋体" w:cs="Times New Roman"/>
                      <w:b/>
                      <w:bCs/>
                      <w:color w:val="auto"/>
                      <w:sz w:val="21"/>
                      <w:szCs w:val="21"/>
                      <w:highlight w:val="none"/>
                      <w:lang w:eastAsia="zh-CN"/>
                    </w:rPr>
                    <w:t>及检测结果</w:t>
                  </w:r>
                </w:p>
              </w:tc>
              <w:tc>
                <w:tcPr>
                  <w:tcW w:w="544" w:type="pct"/>
                  <w:vMerge w:val="restar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标准</w:t>
                  </w:r>
                </w:p>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35" w:type="pct"/>
                  <w:vMerge w:val="continue"/>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b/>
                      <w:bCs/>
                      <w:color w:val="auto"/>
                      <w:spacing w:val="0"/>
                      <w:kern w:val="28"/>
                      <w:sz w:val="21"/>
                      <w:szCs w:val="21"/>
                      <w:highlight w:val="none"/>
                      <w:vertAlign w:val="baseline"/>
                      <w:lang w:eastAsia="zh-CN"/>
                    </w:rPr>
                  </w:pPr>
                  <w:r>
                    <w:rPr>
                      <w:rFonts w:hint="default" w:ascii="Times New Roman" w:hAnsi="Times New Roman" w:eastAsia="宋体" w:cs="Times New Roman"/>
                      <w:b/>
                      <w:bCs/>
                      <w:color w:val="auto"/>
                      <w:szCs w:val="21"/>
                      <w:highlight w:val="none"/>
                    </w:rPr>
                    <w:t>Ⅰ</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b/>
                      <w:bCs/>
                      <w:color w:val="auto"/>
                      <w:szCs w:val="21"/>
                      <w:highlight w:val="none"/>
                    </w:rPr>
                    <w:t>新华镇泥溪沟麻柳树河坝集中式饮用水源地</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b/>
                      <w:bCs/>
                      <w:color w:val="auto"/>
                      <w:spacing w:val="0"/>
                      <w:kern w:val="28"/>
                      <w:sz w:val="21"/>
                      <w:szCs w:val="21"/>
                      <w:highlight w:val="none"/>
                      <w:vertAlign w:val="baseline"/>
                      <w:lang w:eastAsia="zh-CN"/>
                    </w:rPr>
                  </w:pPr>
                  <w:r>
                    <w:rPr>
                      <w:rFonts w:hint="default" w:ascii="Times New Roman" w:hAnsi="Times New Roman" w:eastAsia="宋体" w:cs="Times New Roman"/>
                      <w:b/>
                      <w:bCs/>
                      <w:color w:val="auto"/>
                      <w:szCs w:val="21"/>
                      <w:highlight w:val="none"/>
                    </w:rPr>
                    <w:t>Ⅱ</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b/>
                      <w:bCs/>
                      <w:color w:val="auto"/>
                      <w:szCs w:val="21"/>
                      <w:highlight w:val="none"/>
                    </w:rPr>
                    <w:t>中河取水口</w:t>
                  </w:r>
                </w:p>
              </w:tc>
              <w:tc>
                <w:tcPr>
                  <w:tcW w:w="544" w:type="pct"/>
                  <w:vMerge w:val="continue"/>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b/>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keepNext w:val="0"/>
                    <w:keepLines w:val="0"/>
                    <w:pageBreakBefore w:val="0"/>
                    <w:kinsoku/>
                    <w:wordWrap/>
                    <w:topLinePunct w:val="0"/>
                    <w:autoSpaceDE w:val="0"/>
                    <w:autoSpaceDN w:val="0"/>
                    <w:bidi w:val="0"/>
                    <w:adjustRightInd w:val="0"/>
                    <w:spacing w:line="240" w:lineRule="auto"/>
                    <w:ind w:left="0" w:leftChars="0"/>
                    <w:jc w:val="center"/>
                    <w:rPr>
                      <w:rFonts w:hint="default" w:ascii="Times New Roman" w:hAnsi="Times New Roman" w:eastAsia="宋体" w:cs="Times New Roman"/>
                      <w:color w:val="auto"/>
                      <w:w w:val="66"/>
                      <w:sz w:val="21"/>
                      <w:szCs w:val="21"/>
                      <w:highlight w:val="none"/>
                      <w:lang w:eastAsia="zh-CN"/>
                    </w:rPr>
                  </w:pPr>
                  <w:r>
                    <w:rPr>
                      <w:rFonts w:hint="default" w:ascii="Times New Roman" w:hAnsi="Times New Roman" w:eastAsia="宋体" w:cs="Times New Roman"/>
                      <w:color w:val="auto"/>
                      <w:sz w:val="21"/>
                      <w:szCs w:val="21"/>
                      <w:highlight w:val="none"/>
                      <w:lang w:eastAsia="zh-CN"/>
                    </w:rPr>
                    <w:t>水温（</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140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16.2</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16.6</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keepNext w:val="0"/>
                    <w:keepLines w:val="0"/>
                    <w:pageBreakBefore w:val="0"/>
                    <w:kinsoku/>
                    <w:wordWrap/>
                    <w:topLinePunct w:val="0"/>
                    <w:autoSpaceDE w:val="0"/>
                    <w:autoSpaceDN w:val="0"/>
                    <w:bidi w:val="0"/>
                    <w:adjustRightInd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pH</w:t>
                  </w:r>
                  <w:r>
                    <w:rPr>
                      <w:rFonts w:hint="default" w:ascii="Times New Roman" w:hAnsi="Times New Roman" w:eastAsia="宋体" w:cs="Times New Roman"/>
                      <w:color w:val="auto"/>
                      <w:sz w:val="21"/>
                      <w:szCs w:val="21"/>
                      <w:highlight w:val="none"/>
                      <w:lang w:eastAsia="zh-CN"/>
                    </w:rPr>
                    <w:t>（无量纲）</w:t>
                  </w:r>
                </w:p>
              </w:tc>
              <w:tc>
                <w:tcPr>
                  <w:tcW w:w="140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7.3</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溶解氧</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6.0</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keepNext w:val="0"/>
                    <w:keepLines w:val="0"/>
                    <w:pageBreakBefore w:val="0"/>
                    <w:kinsoku/>
                    <w:wordWrap/>
                    <w:topLinePunct w:val="0"/>
                    <w:autoSpaceDE w:val="0"/>
                    <w:autoSpaceDN w:val="0"/>
                    <w:bidi w:val="0"/>
                    <w:adjustRightInd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高锰酸盐指数</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1.87</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1.66</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keepNext w:val="0"/>
                    <w:keepLines w:val="0"/>
                    <w:pageBreakBefore w:val="0"/>
                    <w:kinsoku/>
                    <w:wordWrap/>
                    <w:topLinePunct w:val="0"/>
                    <w:autoSpaceDE w:val="0"/>
                    <w:autoSpaceDN w:val="0"/>
                    <w:bidi w:val="0"/>
                    <w:adjustRightInd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9</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五日生化需氧量</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2.0</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氨氮</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0.191</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0.164</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总磷</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0.01</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总氮</w:t>
                  </w:r>
                </w:p>
              </w:tc>
              <w:tc>
                <w:tcPr>
                  <w:tcW w:w="24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kern w:val="2"/>
                      <w:sz w:val="21"/>
                      <w:szCs w:val="21"/>
                      <w:highlight w:val="none"/>
                      <w:lang w:val="en-US" w:eastAsia="zh-CN" w:bidi="ar-SA"/>
                    </w:rPr>
                  </w:pPr>
                  <w:r>
                    <w:rPr>
                      <w:rFonts w:hint="eastAsia" w:ascii="Times New Roman" w:hAnsi="Times New Roman" w:cs="Times New Roman"/>
                      <w:color w:val="auto"/>
                      <w:w w:val="100"/>
                      <w:kern w:val="2"/>
                      <w:sz w:val="21"/>
                      <w:szCs w:val="21"/>
                      <w:highlight w:val="none"/>
                      <w:lang w:val="en-US" w:eastAsia="zh-CN" w:bidi="ar-SA"/>
                    </w:rPr>
                    <w:t>0.57</w:t>
                  </w:r>
                </w:p>
              </w:tc>
              <w:tc>
                <w:tcPr>
                  <w:tcW w:w="244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0.70</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铜</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0.006</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0.006</w:t>
                  </w:r>
                  <w:r>
                    <w:rPr>
                      <w:rFonts w:hint="default" w:ascii="Times New Roman" w:hAnsi="Times New Roman" w:eastAsia="宋体" w:cs="Times New Roman"/>
                      <w:color w:val="auto"/>
                      <w:sz w:val="21"/>
                      <w:szCs w:val="21"/>
                      <w:highlight w:val="none"/>
                      <w:vertAlign w:val="superscript"/>
                      <w:lang w:val="en-US" w:eastAsia="zh-CN"/>
                    </w:rPr>
                    <w:t>L</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锌</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0.017</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w:t>
                  </w:r>
                  <w:r>
                    <w:rPr>
                      <w:rFonts w:hint="default" w:ascii="Times New Roman" w:hAnsi="Times New Roman" w:eastAsia="宋体" w:cs="Times New Roman"/>
                      <w:color w:val="auto"/>
                      <w:sz w:val="21"/>
                      <w:szCs w:val="21"/>
                      <w:highlight w:val="none"/>
                      <w:vertAlign w:val="superscript"/>
                      <w:lang w:val="en-US" w:eastAsia="zh-CN"/>
                    </w:rPr>
                    <w:t>L</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铁</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0.02</w:t>
                  </w:r>
                  <w:r>
                    <w:rPr>
                      <w:rFonts w:hint="default" w:ascii="Times New Roman" w:hAnsi="Times New Roman" w:eastAsia="宋体" w:cs="Times New Roman"/>
                      <w:color w:val="auto"/>
                      <w:sz w:val="21"/>
                      <w:szCs w:val="21"/>
                      <w:highlight w:val="none"/>
                      <w:vertAlign w:val="superscript"/>
                      <w:lang w:val="en-US" w:eastAsia="zh-CN"/>
                    </w:rPr>
                    <w:t>L</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r>
                    <w:rPr>
                      <w:rFonts w:hint="default" w:ascii="Times New Roman" w:hAnsi="Times New Roman" w:eastAsia="宋体" w:cs="Times New Roman"/>
                      <w:color w:val="auto"/>
                      <w:sz w:val="21"/>
                      <w:szCs w:val="21"/>
                      <w:highlight w:val="none"/>
                      <w:vertAlign w:val="superscript"/>
                      <w:lang w:val="en-US" w:eastAsia="zh-CN"/>
                    </w:rPr>
                    <w:t>L</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锰</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0.004</w:t>
                  </w:r>
                  <w:r>
                    <w:rPr>
                      <w:rFonts w:hint="default" w:ascii="Times New Roman" w:hAnsi="Times New Roman" w:eastAsia="宋体" w:cs="Times New Roman"/>
                      <w:color w:val="auto"/>
                      <w:sz w:val="21"/>
                      <w:szCs w:val="21"/>
                      <w:highlight w:val="none"/>
                      <w:vertAlign w:val="superscript"/>
                      <w:lang w:val="en-US" w:eastAsia="zh-CN"/>
                    </w:rPr>
                    <w:t>L</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w:t>
                  </w:r>
                  <w:r>
                    <w:rPr>
                      <w:rFonts w:hint="default" w:ascii="Times New Roman" w:hAnsi="Times New Roman" w:eastAsia="宋体" w:cs="Times New Roman"/>
                      <w:color w:val="auto"/>
                      <w:sz w:val="21"/>
                      <w:szCs w:val="21"/>
                      <w:highlight w:val="none"/>
                      <w:vertAlign w:val="superscript"/>
                      <w:lang w:val="en-US" w:eastAsia="zh-CN"/>
                    </w:rPr>
                    <w:t>L</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六价铬</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0.004</w:t>
                  </w:r>
                  <w:r>
                    <w:rPr>
                      <w:rFonts w:hint="default" w:ascii="Times New Roman" w:hAnsi="Times New Roman" w:eastAsia="宋体" w:cs="Times New Roman"/>
                      <w:color w:val="auto"/>
                      <w:sz w:val="21"/>
                      <w:szCs w:val="21"/>
                      <w:highlight w:val="none"/>
                      <w:vertAlign w:val="superscript"/>
                      <w:lang w:val="en-US" w:eastAsia="zh-CN"/>
                    </w:rPr>
                    <w:t>L</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0.004</w:t>
                  </w:r>
                  <w:r>
                    <w:rPr>
                      <w:rFonts w:hint="default" w:ascii="Times New Roman" w:hAnsi="Times New Roman" w:eastAsia="宋体" w:cs="Times New Roman"/>
                      <w:color w:val="auto"/>
                      <w:sz w:val="21"/>
                      <w:szCs w:val="21"/>
                      <w:highlight w:val="none"/>
                      <w:vertAlign w:val="superscript"/>
                      <w:lang w:val="en-US" w:eastAsia="zh-CN"/>
                    </w:rPr>
                    <w:t>L</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硒</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0.0004</w:t>
                  </w:r>
                  <w:r>
                    <w:rPr>
                      <w:rFonts w:hint="default" w:ascii="Times New Roman" w:hAnsi="Times New Roman" w:eastAsia="宋体" w:cs="Times New Roman"/>
                      <w:color w:val="auto"/>
                      <w:sz w:val="21"/>
                      <w:szCs w:val="21"/>
                      <w:highlight w:val="none"/>
                      <w:vertAlign w:val="superscript"/>
                      <w:lang w:val="en-US" w:eastAsia="zh-CN"/>
                    </w:rPr>
                    <w:t>L</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0.0004</w:t>
                  </w:r>
                  <w:r>
                    <w:rPr>
                      <w:rFonts w:hint="default" w:ascii="Times New Roman" w:hAnsi="Times New Roman" w:eastAsia="宋体" w:cs="Times New Roman"/>
                      <w:color w:val="auto"/>
                      <w:sz w:val="21"/>
                      <w:szCs w:val="21"/>
                      <w:highlight w:val="none"/>
                      <w:vertAlign w:val="superscript"/>
                      <w:lang w:val="en-US" w:eastAsia="zh-CN"/>
                    </w:rPr>
                    <w:t>L</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砷</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0.0003</w:t>
                  </w:r>
                  <w:r>
                    <w:rPr>
                      <w:rFonts w:hint="default" w:ascii="Times New Roman" w:hAnsi="Times New Roman" w:eastAsia="宋体" w:cs="Times New Roman"/>
                      <w:color w:val="auto"/>
                      <w:sz w:val="21"/>
                      <w:szCs w:val="21"/>
                      <w:highlight w:val="none"/>
                      <w:vertAlign w:val="superscript"/>
                      <w:lang w:val="en-US" w:eastAsia="zh-CN"/>
                    </w:rPr>
                    <w:t>L</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0.0003</w:t>
                  </w:r>
                  <w:r>
                    <w:rPr>
                      <w:rFonts w:hint="default" w:ascii="Times New Roman" w:hAnsi="Times New Roman" w:eastAsia="宋体" w:cs="Times New Roman"/>
                      <w:color w:val="auto"/>
                      <w:sz w:val="21"/>
                      <w:szCs w:val="21"/>
                      <w:highlight w:val="none"/>
                      <w:vertAlign w:val="superscript"/>
                      <w:lang w:val="en-US" w:eastAsia="zh-CN"/>
                    </w:rPr>
                    <w:t>L</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汞</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0.0000015</w:t>
                  </w:r>
                  <w:r>
                    <w:rPr>
                      <w:rFonts w:hint="default" w:ascii="Times New Roman" w:hAnsi="Times New Roman" w:eastAsia="宋体" w:cs="Times New Roman"/>
                      <w:color w:val="auto"/>
                      <w:sz w:val="21"/>
                      <w:szCs w:val="21"/>
                      <w:highlight w:val="none"/>
                      <w:vertAlign w:val="superscript"/>
                      <w:lang w:val="en-US" w:eastAsia="zh-CN"/>
                    </w:rPr>
                    <w:t>L</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w w:val="100"/>
                      <w:kern w:val="2"/>
                      <w:sz w:val="21"/>
                      <w:szCs w:val="21"/>
                      <w:highlight w:val="none"/>
                      <w:lang w:val="en-US" w:eastAsia="zh-CN" w:bidi="ar-SA"/>
                    </w:rPr>
                    <w:t>0.0000015</w:t>
                  </w:r>
                  <w:r>
                    <w:rPr>
                      <w:rFonts w:hint="default" w:ascii="Times New Roman" w:hAnsi="Times New Roman" w:eastAsia="宋体" w:cs="Times New Roman"/>
                      <w:color w:val="auto"/>
                      <w:sz w:val="21"/>
                      <w:szCs w:val="21"/>
                      <w:highlight w:val="none"/>
                      <w:vertAlign w:val="superscript"/>
                      <w:lang w:val="en-US" w:eastAsia="zh-CN"/>
                    </w:rPr>
                    <w:t>L</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氰化物</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0.001</w:t>
                  </w:r>
                  <w:r>
                    <w:rPr>
                      <w:rFonts w:hint="default" w:ascii="Times New Roman" w:hAnsi="Times New Roman" w:eastAsia="宋体" w:cs="Times New Roman"/>
                      <w:color w:val="auto"/>
                      <w:sz w:val="21"/>
                      <w:szCs w:val="21"/>
                      <w:highlight w:val="none"/>
                      <w:vertAlign w:val="superscript"/>
                      <w:lang w:val="en-US" w:eastAsia="zh-CN"/>
                    </w:rPr>
                    <w:t>L</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w w:val="100"/>
                      <w:kern w:val="2"/>
                      <w:sz w:val="21"/>
                      <w:szCs w:val="21"/>
                      <w:highlight w:val="none"/>
                      <w:lang w:val="en-US" w:eastAsia="zh-CN" w:bidi="ar-SA"/>
                    </w:rPr>
                    <w:t>0.001</w:t>
                  </w:r>
                  <w:r>
                    <w:rPr>
                      <w:rFonts w:hint="default" w:ascii="Times New Roman" w:hAnsi="Times New Roman" w:eastAsia="宋体" w:cs="Times New Roman"/>
                      <w:color w:val="auto"/>
                      <w:sz w:val="21"/>
                      <w:szCs w:val="21"/>
                      <w:highlight w:val="none"/>
                      <w:vertAlign w:val="superscript"/>
                      <w:lang w:val="en-US" w:eastAsia="zh-CN"/>
                    </w:rPr>
                    <w:t>L</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挥发酚</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0.0003</w:t>
                  </w:r>
                  <w:r>
                    <w:rPr>
                      <w:rFonts w:hint="default" w:ascii="Times New Roman" w:hAnsi="Times New Roman" w:eastAsia="宋体" w:cs="Times New Roman"/>
                      <w:color w:val="auto"/>
                      <w:sz w:val="21"/>
                      <w:szCs w:val="21"/>
                      <w:highlight w:val="none"/>
                      <w:vertAlign w:val="superscript"/>
                      <w:lang w:val="en-US" w:eastAsia="zh-CN"/>
                    </w:rPr>
                    <w:t>L</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0.0003</w:t>
                  </w:r>
                  <w:r>
                    <w:rPr>
                      <w:rFonts w:hint="default" w:ascii="Times New Roman" w:hAnsi="Times New Roman" w:eastAsia="宋体" w:cs="Times New Roman"/>
                      <w:color w:val="auto"/>
                      <w:sz w:val="21"/>
                      <w:szCs w:val="21"/>
                      <w:highlight w:val="none"/>
                      <w:vertAlign w:val="superscript"/>
                      <w:lang w:val="en-US" w:eastAsia="zh-CN"/>
                    </w:rPr>
                    <w:t>L</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阴离子表面活性剂</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0.05</w:t>
                  </w:r>
                  <w:r>
                    <w:rPr>
                      <w:rFonts w:hint="default" w:ascii="Times New Roman" w:hAnsi="Times New Roman" w:eastAsia="宋体" w:cs="Times New Roman"/>
                      <w:color w:val="auto"/>
                      <w:sz w:val="21"/>
                      <w:szCs w:val="21"/>
                      <w:highlight w:val="none"/>
                      <w:vertAlign w:val="superscript"/>
                      <w:lang w:val="en-US" w:eastAsia="zh-CN"/>
                    </w:rPr>
                    <w:t>L</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w w:val="100"/>
                      <w:kern w:val="2"/>
                      <w:sz w:val="21"/>
                      <w:szCs w:val="21"/>
                      <w:highlight w:val="none"/>
                      <w:lang w:val="en-US" w:eastAsia="zh-CN" w:bidi="ar-SA"/>
                    </w:rPr>
                    <w:t>0.05</w:t>
                  </w:r>
                  <w:r>
                    <w:rPr>
                      <w:rFonts w:hint="default" w:ascii="Times New Roman" w:hAnsi="Times New Roman" w:eastAsia="宋体" w:cs="Times New Roman"/>
                      <w:color w:val="auto"/>
                      <w:sz w:val="21"/>
                      <w:szCs w:val="21"/>
                      <w:highlight w:val="none"/>
                      <w:vertAlign w:val="superscript"/>
                      <w:lang w:val="en-US" w:eastAsia="zh-CN"/>
                    </w:rPr>
                    <w:t>L</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硫化物</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0.01</w:t>
                  </w:r>
                  <w:r>
                    <w:rPr>
                      <w:rFonts w:hint="default" w:ascii="Times New Roman" w:hAnsi="Times New Roman" w:eastAsia="宋体" w:cs="Times New Roman"/>
                      <w:color w:val="auto"/>
                      <w:sz w:val="21"/>
                      <w:szCs w:val="21"/>
                      <w:highlight w:val="none"/>
                      <w:vertAlign w:val="superscript"/>
                      <w:lang w:val="en-US" w:eastAsia="zh-CN"/>
                    </w:rPr>
                    <w:t>L</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w w:val="100"/>
                      <w:kern w:val="2"/>
                      <w:sz w:val="21"/>
                      <w:szCs w:val="21"/>
                      <w:highlight w:val="none"/>
                      <w:lang w:val="en-US" w:eastAsia="zh-CN" w:bidi="ar-SA"/>
                    </w:rPr>
                    <w:t>0.01</w:t>
                  </w:r>
                  <w:r>
                    <w:rPr>
                      <w:rFonts w:hint="default" w:ascii="Times New Roman" w:hAnsi="Times New Roman" w:eastAsia="宋体" w:cs="Times New Roman"/>
                      <w:color w:val="auto"/>
                      <w:sz w:val="21"/>
                      <w:szCs w:val="21"/>
                      <w:highlight w:val="none"/>
                      <w:vertAlign w:val="superscript"/>
                      <w:lang w:val="en-US" w:eastAsia="zh-CN"/>
                    </w:rPr>
                    <w:t>L</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硫酸盐</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42.7</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53.7</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氯化物</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3.30</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2.96</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硝酸盐</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0.262</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0.520</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氟化物</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0.129</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0.138</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石油类</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0.01</w:t>
                  </w:r>
                  <w:r>
                    <w:rPr>
                      <w:rFonts w:hint="default" w:ascii="Times New Roman" w:hAnsi="Times New Roman" w:eastAsia="宋体" w:cs="Times New Roman"/>
                      <w:color w:val="auto"/>
                      <w:sz w:val="21"/>
                      <w:szCs w:val="21"/>
                      <w:highlight w:val="none"/>
                      <w:vertAlign w:val="superscript"/>
                      <w:lang w:val="en-US" w:eastAsia="zh-CN"/>
                    </w:rPr>
                    <w:t>L</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w w:val="100"/>
                      <w:kern w:val="2"/>
                      <w:sz w:val="21"/>
                      <w:szCs w:val="21"/>
                      <w:highlight w:val="none"/>
                      <w:lang w:val="en-US" w:eastAsia="zh-CN" w:bidi="ar-SA"/>
                    </w:rPr>
                    <w:t>0.01</w:t>
                  </w:r>
                  <w:r>
                    <w:rPr>
                      <w:rFonts w:hint="default" w:ascii="Times New Roman" w:hAnsi="Times New Roman" w:eastAsia="宋体" w:cs="Times New Roman"/>
                      <w:color w:val="auto"/>
                      <w:sz w:val="21"/>
                      <w:szCs w:val="21"/>
                      <w:highlight w:val="none"/>
                      <w:vertAlign w:val="superscript"/>
                      <w:lang w:val="en-US" w:eastAsia="zh-CN"/>
                    </w:rPr>
                    <w:t>L</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铅</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0.001</w:t>
                  </w:r>
                  <w:r>
                    <w:rPr>
                      <w:rFonts w:hint="default" w:ascii="Times New Roman" w:hAnsi="Times New Roman" w:eastAsia="宋体" w:cs="Times New Roman"/>
                      <w:color w:val="auto"/>
                      <w:sz w:val="21"/>
                      <w:szCs w:val="21"/>
                      <w:highlight w:val="none"/>
                      <w:vertAlign w:val="superscript"/>
                      <w:lang w:val="en-US" w:eastAsia="zh-CN"/>
                    </w:rPr>
                    <w:t>L</w:t>
                  </w:r>
                </w:p>
              </w:tc>
              <w:tc>
                <w:tcPr>
                  <w:tcW w:w="1409"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w w:val="100"/>
                      <w:kern w:val="2"/>
                      <w:sz w:val="21"/>
                      <w:szCs w:val="21"/>
                      <w:highlight w:val="none"/>
                      <w:lang w:val="en-US" w:eastAsia="zh-CN" w:bidi="ar-SA"/>
                    </w:rPr>
                    <w:t>0.001</w:t>
                  </w:r>
                  <w:r>
                    <w:rPr>
                      <w:rFonts w:hint="default" w:ascii="Times New Roman" w:hAnsi="Times New Roman" w:eastAsia="宋体" w:cs="Times New Roman"/>
                      <w:color w:val="auto"/>
                      <w:sz w:val="21"/>
                      <w:szCs w:val="21"/>
                      <w:highlight w:val="none"/>
                      <w:vertAlign w:val="superscript"/>
                      <w:lang w:val="en-US" w:eastAsia="zh-CN"/>
                    </w:rPr>
                    <w:t>L</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镉</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0.0001</w:t>
                  </w:r>
                  <w:r>
                    <w:rPr>
                      <w:rFonts w:hint="default" w:ascii="Times New Roman" w:hAnsi="Times New Roman" w:eastAsia="宋体" w:cs="Times New Roman"/>
                      <w:color w:val="auto"/>
                      <w:sz w:val="21"/>
                      <w:szCs w:val="21"/>
                      <w:highlight w:val="none"/>
                      <w:vertAlign w:val="superscript"/>
                      <w:lang w:val="en-US" w:eastAsia="zh-CN"/>
                    </w:rPr>
                    <w:t>L</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w w:val="100"/>
                      <w:kern w:val="2"/>
                      <w:sz w:val="21"/>
                      <w:szCs w:val="21"/>
                      <w:highlight w:val="none"/>
                      <w:lang w:val="en-US" w:eastAsia="zh-CN" w:bidi="ar-SA"/>
                    </w:rPr>
                    <w:t>0.0001</w:t>
                  </w:r>
                  <w:r>
                    <w:rPr>
                      <w:rFonts w:hint="default" w:ascii="Times New Roman" w:hAnsi="Times New Roman" w:eastAsia="宋体" w:cs="Times New Roman"/>
                      <w:color w:val="auto"/>
                      <w:sz w:val="21"/>
                      <w:szCs w:val="21"/>
                      <w:highlight w:val="none"/>
                      <w:vertAlign w:val="superscript"/>
                      <w:lang w:val="en-US" w:eastAsia="zh-CN"/>
                    </w:rPr>
                    <w:t>L</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5" w:type="pct"/>
                  <w:noWrap w:val="0"/>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粪大肠菌</w:t>
                  </w:r>
                  <w:r>
                    <w:rPr>
                      <w:rFonts w:hint="default" w:ascii="Times New Roman" w:hAnsi="Times New Roman" w:eastAsia="宋体" w:cs="Times New Roman"/>
                      <w:color w:val="auto"/>
                      <w:sz w:val="21"/>
                      <w:szCs w:val="21"/>
                      <w:highlight w:val="none"/>
                      <w:lang w:eastAsia="zh-CN"/>
                    </w:rPr>
                    <w:t>群（</w:t>
                  </w:r>
                  <w:r>
                    <w:rPr>
                      <w:rFonts w:hint="default" w:ascii="Times New Roman" w:hAnsi="Times New Roman" w:eastAsia="宋体" w:cs="Times New Roman"/>
                      <w:color w:val="auto"/>
                      <w:sz w:val="21"/>
                      <w:szCs w:val="21"/>
                      <w:highlight w:val="none"/>
                      <w:lang w:val="en-US" w:eastAsia="zh-CN"/>
                    </w:rPr>
                    <w:t>MPN/L</w:t>
                  </w:r>
                  <w:r>
                    <w:rPr>
                      <w:rFonts w:hint="default" w:ascii="Times New Roman" w:hAnsi="Times New Roman" w:eastAsia="宋体" w:cs="Times New Roman"/>
                      <w:color w:val="auto"/>
                      <w:sz w:val="21"/>
                      <w:szCs w:val="21"/>
                      <w:highlight w:val="none"/>
                      <w:lang w:eastAsia="zh-CN"/>
                    </w:rPr>
                    <w:t>）</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w w:val="100"/>
                      <w:kern w:val="2"/>
                      <w:sz w:val="21"/>
                      <w:szCs w:val="21"/>
                      <w:highlight w:val="none"/>
                      <w:lang w:val="en-US" w:eastAsia="zh-CN" w:bidi="ar-SA"/>
                    </w:rPr>
                  </w:pPr>
                  <w:r>
                    <w:rPr>
                      <w:rFonts w:hint="default" w:ascii="Times New Roman" w:hAnsi="Times New Roman" w:eastAsia="宋体" w:cs="Times New Roman"/>
                      <w:color w:val="auto"/>
                      <w:w w:val="100"/>
                      <w:kern w:val="2"/>
                      <w:sz w:val="21"/>
                      <w:szCs w:val="21"/>
                      <w:highlight w:val="none"/>
                      <w:lang w:val="en-US" w:eastAsia="zh-CN" w:bidi="ar-SA"/>
                    </w:rPr>
                    <w:t>8.4</w:t>
                  </w:r>
                  <w:r>
                    <w:rPr>
                      <w:rFonts w:hint="default" w:ascii="Times New Roman" w:hAnsi="Times New Roman" w:eastAsia="宋体" w:cs="Times New Roman"/>
                      <w:i w:val="0"/>
                      <w:color w:val="auto"/>
                      <w:kern w:val="0"/>
                      <w:sz w:val="21"/>
                      <w:szCs w:val="21"/>
                      <w:highlight w:val="none"/>
                      <w:u w:val="none"/>
                      <w:lang w:val="en-US" w:eastAsia="zh-CN" w:bidi="ar"/>
                    </w:rPr>
                    <w:t>×10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2</w:t>
                  </w:r>
                </w:p>
              </w:tc>
              <w:tc>
                <w:tcPr>
                  <w:tcW w:w="1409" w:type="pct"/>
                  <w:noWrap w:val="0"/>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7.6</w:t>
                  </w:r>
                  <w:r>
                    <w:rPr>
                      <w:rFonts w:hint="default" w:ascii="Times New Roman" w:hAnsi="Times New Roman" w:eastAsia="宋体" w:cs="Times New Roman"/>
                      <w:i w:val="0"/>
                      <w:color w:val="auto"/>
                      <w:kern w:val="0"/>
                      <w:sz w:val="21"/>
                      <w:szCs w:val="21"/>
                      <w:highlight w:val="none"/>
                      <w:u w:val="none"/>
                      <w:lang w:val="en-US" w:eastAsia="zh-CN" w:bidi="ar"/>
                    </w:rPr>
                    <w:t>×10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544" w:type="pct"/>
                  <w:noWrap w:val="0"/>
                  <w:vAlign w:val="center"/>
                </w:tcPr>
                <w:p>
                  <w:pPr>
                    <w:keepNext w:val="0"/>
                    <w:keepLines w:val="0"/>
                    <w:pageBreakBefore w:val="0"/>
                    <w:widowControl w:val="0"/>
                    <w:kinsoku/>
                    <w:wordWrap/>
                    <w:overflowPunct/>
                    <w:topLinePunct w:val="0"/>
                    <w:autoSpaceDE/>
                    <w:autoSpaceDN/>
                    <w:bidi w:val="0"/>
                    <w:adjustRightIn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≤10000</w:t>
                  </w:r>
                </w:p>
              </w:tc>
            </w:tr>
          </w:tbl>
          <w:p>
            <w:pPr>
              <w:keepNext w:val="0"/>
              <w:keepLines w:val="0"/>
              <w:pageBreakBefore w:val="0"/>
              <w:kinsoku/>
              <w:wordWrap/>
              <w:topLinePunct w:val="0"/>
              <w:bidi w:val="0"/>
              <w:spacing w:line="360" w:lineRule="auto"/>
              <w:ind w:left="0" w:leftChars="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bCs/>
                <w:color w:val="auto"/>
                <w:sz w:val="24"/>
                <w:szCs w:val="24"/>
                <w:highlight w:val="none"/>
              </w:rPr>
              <w:t>（</w:t>
            </w:r>
            <w:r>
              <w:rPr>
                <w:rFonts w:hint="default" w:ascii="Times New Roman" w:hAnsi="Times New Roman" w:cs="Times New Roman"/>
                <w:b/>
                <w:color w:val="auto"/>
                <w:sz w:val="24"/>
                <w:szCs w:val="24"/>
                <w:highlight w:val="none"/>
              </w:rPr>
              <w:t>2）地表水环境质量现状评价</w:t>
            </w:r>
          </w:p>
          <w:p>
            <w:pPr>
              <w:keepNext w:val="0"/>
              <w:keepLines w:val="0"/>
              <w:pageBreakBefore w:val="0"/>
              <w:widowControl w:val="0"/>
              <w:tabs>
                <w:tab w:val="left" w:pos="748"/>
              </w:tabs>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b/>
                <w:bCs/>
                <w:color w:val="auto"/>
                <w:sz w:val="24"/>
                <w:szCs w:val="24"/>
                <w:highlight w:val="none"/>
              </w:rPr>
              <w:t>①评价因子</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cs="Times New Roman"/>
                <w:color w:val="auto"/>
                <w:sz w:val="24"/>
                <w:szCs w:val="24"/>
                <w:highlight w:val="none"/>
              </w:rPr>
              <w:t>pH、溶解氧、高锰酸盐指数、五日生化需氧量、化学需氧量、氨氮、总磷、铜、锌、氟化物、硒、砷、汞、镉、六价铬、铅、氰化物、挥发酚、石油类、阴离子表面活性剂、硫化物、粪大肠菌群、硫酸盐、氯化物、硝酸盐、铁、锰</w:t>
            </w:r>
            <w:r>
              <w:rPr>
                <w:rFonts w:hint="default" w:ascii="Times New Roman" w:hAnsi="Times New Roman" w:cs="Times New Roman"/>
                <w:color w:val="auto"/>
                <w:sz w:val="24"/>
                <w:szCs w:val="24"/>
                <w:highlight w:val="none"/>
                <w:lang w:eastAsia="zh-CN"/>
              </w:rPr>
              <w:t>。</w:t>
            </w:r>
          </w:p>
          <w:p>
            <w:pPr>
              <w:keepNext w:val="0"/>
              <w:keepLines w:val="0"/>
              <w:pageBreakBefore w:val="0"/>
              <w:kinsoku/>
              <w:wordWrap/>
              <w:topLinePunct w:val="0"/>
              <w:bidi w:val="0"/>
              <w:spacing w:line="360" w:lineRule="auto"/>
              <w:ind w:left="0" w:leftChars="0" w:right="0" w:firstLine="482"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②评价标准</w:t>
            </w:r>
          </w:p>
          <w:p>
            <w:pPr>
              <w:keepNext w:val="0"/>
              <w:keepLines w:val="0"/>
              <w:pageBreakBefore w:val="0"/>
              <w:kinsoku/>
              <w:wordWrap/>
              <w:topLinePunct w:val="0"/>
              <w:bidi w:val="0"/>
              <w:spacing w:line="360" w:lineRule="auto"/>
              <w:ind w:left="0" w:leftChars="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执行《地表水环境质量标准》（GB3838-2002）中</w:t>
            </w:r>
            <w:r>
              <w:rPr>
                <w:rFonts w:hint="default" w:ascii="Times New Roman" w:hAnsi="Times New Roman" w:cs="Times New Roman"/>
                <w:color w:val="auto"/>
                <w:sz w:val="24"/>
                <w:highlight w:val="none"/>
                <w:lang w:val="en-US" w:eastAsia="zh-CN"/>
              </w:rPr>
              <w:t>Ⅲ</w:t>
            </w:r>
            <w:r>
              <w:rPr>
                <w:rFonts w:hint="default" w:ascii="Times New Roman" w:hAnsi="Times New Roman" w:cs="Times New Roman"/>
                <w:color w:val="auto"/>
                <w:sz w:val="24"/>
                <w:highlight w:val="none"/>
              </w:rPr>
              <w:t>类标准。</w:t>
            </w:r>
          </w:p>
          <w:p>
            <w:pPr>
              <w:keepNext w:val="0"/>
              <w:keepLines w:val="0"/>
              <w:pageBreakBefore w:val="0"/>
              <w:kinsoku/>
              <w:wordWrap/>
              <w:topLinePunct w:val="0"/>
              <w:bidi w:val="0"/>
              <w:spacing w:line="360" w:lineRule="auto"/>
              <w:ind w:left="0" w:leftChars="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③评价方法</w:t>
            </w:r>
          </w:p>
          <w:p>
            <w:pPr>
              <w:keepNext w:val="0"/>
              <w:keepLines w:val="0"/>
              <w:pageBreakBefore w:val="0"/>
              <w:kinsoku/>
              <w:wordWrap/>
              <w:topLinePunct w:val="0"/>
              <w:bidi w:val="0"/>
              <w:spacing w:line="360" w:lineRule="auto"/>
              <w:ind w:left="0" w:leftChars="0" w:right="0" w:firstLine="48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本次评价采用单项水质指数评价法</w:t>
            </w:r>
            <w:r>
              <w:rPr>
                <w:rFonts w:hint="default" w:ascii="Times New Roman" w:hAnsi="Times New Roman" w:cs="Times New Roman"/>
                <w:color w:val="auto"/>
                <w:sz w:val="24"/>
                <w:highlight w:val="none"/>
                <w:lang w:eastAsia="zh-CN"/>
              </w:rPr>
              <w:t>。</w:t>
            </w:r>
          </w:p>
          <w:p>
            <w:pPr>
              <w:keepNext w:val="0"/>
              <w:keepLines w:val="0"/>
              <w:pageBreakBefore w:val="0"/>
              <w:kinsoku/>
              <w:wordWrap/>
              <w:topLinePunct w:val="0"/>
              <w:bidi w:val="0"/>
              <w:spacing w:line="360" w:lineRule="auto"/>
              <w:ind w:left="0" w:leftChars="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a.一般污染物公式为：</w:t>
            </w:r>
          </w:p>
          <w:p>
            <w:pPr>
              <w:keepNext w:val="0"/>
              <w:keepLines w:val="0"/>
              <w:pageBreakBefore w:val="0"/>
              <w:kinsoku/>
              <w:wordWrap/>
              <w:topLinePunct w:val="0"/>
              <w:bidi w:val="0"/>
              <w:spacing w:line="360" w:lineRule="auto"/>
              <w:ind w:left="0" w:leftChars="0" w:right="0"/>
              <w:jc w:val="center"/>
              <w:rPr>
                <w:rFonts w:hint="default" w:ascii="Times New Roman" w:hAnsi="Times New Roman" w:cs="Times New Roman"/>
                <w:i/>
                <w:color w:val="auto"/>
                <w:sz w:val="24"/>
                <w:highlight w:val="none"/>
              </w:rPr>
            </w:pPr>
            <w:r>
              <w:rPr>
                <w:rFonts w:hint="default" w:ascii="Times New Roman" w:hAnsi="Times New Roman" w:cs="Times New Roman"/>
                <w:i/>
                <w:color w:val="auto"/>
                <w:sz w:val="24"/>
                <w:highlight w:val="none"/>
              </w:rPr>
              <w:t>S</w:t>
            </w:r>
            <w:r>
              <w:rPr>
                <w:rFonts w:hint="default" w:ascii="Times New Roman" w:hAnsi="Times New Roman" w:cs="Times New Roman"/>
                <w:i/>
                <w:color w:val="auto"/>
                <w:sz w:val="24"/>
                <w:highlight w:val="none"/>
                <w:vertAlign w:val="subscript"/>
              </w:rPr>
              <w:t>i，j</w:t>
            </w:r>
            <w:r>
              <w:rPr>
                <w:rFonts w:hint="default" w:ascii="Times New Roman" w:hAnsi="Times New Roman" w:cs="Times New Roman"/>
                <w:i/>
                <w:color w:val="auto"/>
                <w:sz w:val="24"/>
                <w:highlight w:val="none"/>
              </w:rPr>
              <w:t>=C</w:t>
            </w:r>
            <w:r>
              <w:rPr>
                <w:rFonts w:hint="default" w:ascii="Times New Roman" w:hAnsi="Times New Roman" w:cs="Times New Roman"/>
                <w:i/>
                <w:color w:val="auto"/>
                <w:sz w:val="24"/>
                <w:highlight w:val="none"/>
                <w:vertAlign w:val="subscript"/>
              </w:rPr>
              <w:t>i，j</w:t>
            </w:r>
            <w:r>
              <w:rPr>
                <w:rFonts w:hint="default" w:ascii="Times New Roman" w:hAnsi="Times New Roman" w:cs="Times New Roman"/>
                <w:i/>
                <w:color w:val="auto"/>
                <w:sz w:val="24"/>
                <w:highlight w:val="none"/>
              </w:rPr>
              <w:t>/C</w:t>
            </w:r>
            <w:r>
              <w:rPr>
                <w:rFonts w:hint="default" w:ascii="Times New Roman" w:hAnsi="Times New Roman" w:cs="Times New Roman"/>
                <w:i/>
                <w:color w:val="auto"/>
                <w:sz w:val="24"/>
                <w:highlight w:val="none"/>
                <w:vertAlign w:val="subscript"/>
              </w:rPr>
              <w:t>si</w:t>
            </w:r>
          </w:p>
          <w:p>
            <w:pPr>
              <w:keepNext w:val="0"/>
              <w:keepLines w:val="0"/>
              <w:pageBreakBefore w:val="0"/>
              <w:kinsoku/>
              <w:wordWrap/>
              <w:topLinePunct w:val="0"/>
              <w:bidi w:val="0"/>
              <w:spacing w:line="360" w:lineRule="auto"/>
              <w:ind w:left="0" w:leftChars="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i/>
                <w:color w:val="auto"/>
                <w:sz w:val="24"/>
                <w:highlight w:val="none"/>
              </w:rPr>
              <w:t>S</w:t>
            </w:r>
            <w:r>
              <w:rPr>
                <w:rFonts w:hint="default" w:ascii="Times New Roman" w:hAnsi="Times New Roman" w:cs="Times New Roman"/>
                <w:i/>
                <w:color w:val="auto"/>
                <w:sz w:val="24"/>
                <w:highlight w:val="none"/>
                <w:vertAlign w:val="subscript"/>
              </w:rPr>
              <w:t>i，j</w:t>
            </w:r>
            <w:r>
              <w:rPr>
                <w:rFonts w:hint="default" w:ascii="Times New Roman" w:hAnsi="Times New Roman" w:cs="Times New Roman"/>
                <w:color w:val="auto"/>
                <w:sz w:val="24"/>
                <w:highlight w:val="none"/>
              </w:rPr>
              <w:t>——单项水质因子</w:t>
            </w:r>
            <w:r>
              <w:rPr>
                <w:rFonts w:hint="default" w:ascii="Times New Roman" w:hAnsi="Times New Roman" w:cs="Times New Roman"/>
                <w:i/>
                <w:color w:val="auto"/>
                <w:sz w:val="24"/>
                <w:highlight w:val="none"/>
              </w:rPr>
              <w:t>i</w:t>
            </w:r>
            <w:r>
              <w:rPr>
                <w:rFonts w:hint="default" w:ascii="Times New Roman" w:hAnsi="Times New Roman" w:cs="Times New Roman"/>
                <w:color w:val="auto"/>
                <w:sz w:val="24"/>
                <w:highlight w:val="none"/>
              </w:rPr>
              <w:t>在第</w:t>
            </w:r>
            <w:r>
              <w:rPr>
                <w:rFonts w:hint="default" w:ascii="Times New Roman" w:hAnsi="Times New Roman" w:cs="Times New Roman"/>
                <w:i/>
                <w:color w:val="auto"/>
                <w:sz w:val="24"/>
                <w:highlight w:val="none"/>
              </w:rPr>
              <w:t>j</w:t>
            </w:r>
            <w:r>
              <w:rPr>
                <w:rFonts w:hint="default" w:ascii="Times New Roman" w:hAnsi="Times New Roman" w:cs="Times New Roman"/>
                <w:color w:val="auto"/>
                <w:sz w:val="24"/>
                <w:highlight w:val="none"/>
              </w:rPr>
              <w:t>点的标准指数；</w:t>
            </w:r>
          </w:p>
          <w:p>
            <w:pPr>
              <w:keepNext w:val="0"/>
              <w:keepLines w:val="0"/>
              <w:pageBreakBefore w:val="0"/>
              <w:kinsoku/>
              <w:wordWrap/>
              <w:topLinePunct w:val="0"/>
              <w:bidi w:val="0"/>
              <w:spacing w:line="360" w:lineRule="auto"/>
              <w:ind w:left="0" w:leftChars="0" w:right="0" w:firstLine="1200" w:firstLineChars="500"/>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C</w:t>
            </w:r>
            <w:r>
              <w:rPr>
                <w:rFonts w:hint="default" w:ascii="Times New Roman" w:hAnsi="Times New Roman" w:cs="Times New Roman"/>
                <w:i/>
                <w:color w:val="auto"/>
                <w:sz w:val="24"/>
                <w:highlight w:val="none"/>
                <w:vertAlign w:val="subscript"/>
              </w:rPr>
              <w:t>i，j</w:t>
            </w:r>
            <w:r>
              <w:rPr>
                <w:rFonts w:hint="default" w:ascii="Times New Roman" w:hAnsi="Times New Roman" w:cs="Times New Roman"/>
                <w:color w:val="auto"/>
                <w:sz w:val="24"/>
                <w:highlight w:val="none"/>
              </w:rPr>
              <w:t>——（</w:t>
            </w:r>
            <w:r>
              <w:rPr>
                <w:rFonts w:hint="default" w:ascii="Times New Roman" w:hAnsi="Times New Roman" w:cs="Times New Roman"/>
                <w:i/>
                <w:color w:val="auto"/>
                <w:sz w:val="24"/>
                <w:highlight w:val="none"/>
              </w:rPr>
              <w:t>i</w:t>
            </w:r>
            <w:r>
              <w:rPr>
                <w:rFonts w:hint="default" w:ascii="Times New Roman" w:hAnsi="Times New Roman" w:cs="Times New Roman"/>
                <w:color w:val="auto"/>
                <w:sz w:val="24"/>
                <w:highlight w:val="none"/>
              </w:rPr>
              <w:t>，</w:t>
            </w:r>
            <w:r>
              <w:rPr>
                <w:rFonts w:hint="default" w:ascii="Times New Roman" w:hAnsi="Times New Roman" w:cs="Times New Roman"/>
                <w:i/>
                <w:color w:val="auto"/>
                <w:sz w:val="24"/>
                <w:highlight w:val="none"/>
              </w:rPr>
              <w:t>j</w:t>
            </w:r>
            <w:r>
              <w:rPr>
                <w:rFonts w:hint="default" w:ascii="Times New Roman" w:hAnsi="Times New Roman" w:cs="Times New Roman"/>
                <w:color w:val="auto"/>
                <w:sz w:val="24"/>
                <w:highlight w:val="none"/>
              </w:rPr>
              <w:t>）点的评价因子水质浓度或水质因子</w:t>
            </w:r>
            <w:r>
              <w:rPr>
                <w:rFonts w:hint="default" w:ascii="Times New Roman" w:hAnsi="Times New Roman" w:cs="Times New Roman"/>
                <w:i/>
                <w:color w:val="auto"/>
                <w:sz w:val="24"/>
                <w:highlight w:val="none"/>
              </w:rPr>
              <w:t>i</w:t>
            </w:r>
            <w:r>
              <w:rPr>
                <w:rFonts w:hint="default" w:ascii="Times New Roman" w:hAnsi="Times New Roman" w:cs="Times New Roman"/>
                <w:color w:val="auto"/>
                <w:sz w:val="24"/>
                <w:highlight w:val="none"/>
              </w:rPr>
              <w:t>在监测点（或预测点）</w:t>
            </w:r>
            <w:r>
              <w:rPr>
                <w:rFonts w:hint="default" w:ascii="Times New Roman" w:hAnsi="Times New Roman" w:cs="Times New Roman"/>
                <w:i/>
                <w:color w:val="auto"/>
                <w:sz w:val="24"/>
                <w:highlight w:val="none"/>
              </w:rPr>
              <w:t>j</w:t>
            </w:r>
            <w:r>
              <w:rPr>
                <w:rFonts w:hint="default" w:ascii="Times New Roman" w:hAnsi="Times New Roman" w:cs="Times New Roman"/>
                <w:color w:val="auto"/>
                <w:sz w:val="24"/>
                <w:highlight w:val="none"/>
              </w:rPr>
              <w:t>的水质浓度，mg/L；</w:t>
            </w:r>
          </w:p>
          <w:p>
            <w:pPr>
              <w:keepNext w:val="0"/>
              <w:keepLines w:val="0"/>
              <w:pageBreakBefore w:val="0"/>
              <w:kinsoku/>
              <w:wordWrap/>
              <w:topLinePunct w:val="0"/>
              <w:bidi w:val="0"/>
              <w:spacing w:line="360" w:lineRule="auto"/>
              <w:ind w:left="0" w:leftChars="0" w:right="0" w:firstLine="1200" w:firstLineChars="500"/>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C</w:t>
            </w:r>
            <w:r>
              <w:rPr>
                <w:rFonts w:hint="default" w:ascii="Times New Roman" w:hAnsi="Times New Roman" w:cs="Times New Roman"/>
                <w:i/>
                <w:color w:val="auto"/>
                <w:sz w:val="24"/>
                <w:highlight w:val="none"/>
                <w:vertAlign w:val="subscript"/>
              </w:rPr>
              <w:t>sj</w:t>
            </w:r>
            <w:r>
              <w:rPr>
                <w:rFonts w:hint="default" w:ascii="Times New Roman" w:hAnsi="Times New Roman" w:cs="Times New Roman"/>
                <w:color w:val="auto"/>
                <w:sz w:val="24"/>
                <w:highlight w:val="none"/>
              </w:rPr>
              <w:t>——水质评价因子</w:t>
            </w:r>
            <w:r>
              <w:rPr>
                <w:rFonts w:hint="default" w:ascii="Times New Roman" w:hAnsi="Times New Roman" w:cs="Times New Roman"/>
                <w:i/>
                <w:color w:val="auto"/>
                <w:sz w:val="24"/>
                <w:highlight w:val="none"/>
              </w:rPr>
              <w:t>i</w:t>
            </w:r>
            <w:r>
              <w:rPr>
                <w:rFonts w:hint="default" w:ascii="Times New Roman" w:hAnsi="Times New Roman" w:cs="Times New Roman"/>
                <w:color w:val="auto"/>
                <w:sz w:val="24"/>
                <w:highlight w:val="none"/>
              </w:rPr>
              <w:t>的水质评价标准限值，mg/L。</w:t>
            </w:r>
          </w:p>
          <w:p>
            <w:pPr>
              <w:keepNext w:val="0"/>
              <w:keepLines w:val="0"/>
              <w:pageBreakBefore w:val="0"/>
              <w:kinsoku/>
              <w:wordWrap/>
              <w:topLinePunct w:val="0"/>
              <w:bidi w:val="0"/>
              <w:spacing w:line="360" w:lineRule="auto"/>
              <w:ind w:left="0" w:leftChars="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rPr>
              <w:t>b.</w:t>
            </w:r>
            <w:r>
              <w:rPr>
                <w:rFonts w:hint="default" w:ascii="Times New Roman" w:hAnsi="Times New Roman" w:cs="Times New Roman"/>
                <w:color w:val="auto"/>
                <w:sz w:val="24"/>
                <w:highlight w:val="none"/>
              </w:rPr>
              <w:t>对具有上、下限标准值的指标pH，公式为：</w:t>
            </w:r>
          </w:p>
          <w:p>
            <w:pPr>
              <w:keepNext w:val="0"/>
              <w:keepLines w:val="0"/>
              <w:pageBreakBefore w:val="0"/>
              <w:kinsoku/>
              <w:wordWrap/>
              <w:topLinePunct w:val="0"/>
              <w:bidi w:val="0"/>
              <w:spacing w:line="360" w:lineRule="auto"/>
              <w:ind w:left="0" w:leftChars="0" w:right="0"/>
              <w:jc w:val="center"/>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S</w:t>
            </w:r>
            <w:r>
              <w:rPr>
                <w:rFonts w:hint="default" w:ascii="Times New Roman" w:hAnsi="Times New Roman" w:cs="Times New Roman"/>
                <w:color w:val="auto"/>
                <w:sz w:val="24"/>
                <w:highlight w:val="none"/>
                <w:vertAlign w:val="subscript"/>
              </w:rPr>
              <w:t>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=（7.0-pH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）/（7.0-pH</w:t>
            </w:r>
            <w:r>
              <w:rPr>
                <w:rFonts w:hint="default" w:ascii="Times New Roman" w:hAnsi="Times New Roman" w:cs="Times New Roman"/>
                <w:color w:val="auto"/>
                <w:sz w:val="24"/>
                <w:highlight w:val="none"/>
                <w:vertAlign w:val="subscript"/>
              </w:rPr>
              <w:t>sd</w:t>
            </w:r>
            <w:r>
              <w:rPr>
                <w:rFonts w:hint="default" w:ascii="Times New Roman" w:hAnsi="Times New Roman" w:cs="Times New Roman"/>
                <w:color w:val="auto"/>
                <w:sz w:val="24"/>
                <w:highlight w:val="none"/>
              </w:rPr>
              <w:t>）pH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≤7.0</w:t>
            </w:r>
          </w:p>
          <w:p>
            <w:pPr>
              <w:keepNext w:val="0"/>
              <w:keepLines w:val="0"/>
              <w:pageBreakBefore w:val="0"/>
              <w:kinsoku/>
              <w:wordWrap/>
              <w:topLinePunct w:val="0"/>
              <w:bidi w:val="0"/>
              <w:spacing w:line="360" w:lineRule="auto"/>
              <w:ind w:left="0" w:leftChars="0" w:right="0"/>
              <w:jc w:val="center"/>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S</w:t>
            </w:r>
            <w:r>
              <w:rPr>
                <w:rFonts w:hint="default" w:ascii="Times New Roman" w:hAnsi="Times New Roman" w:cs="Times New Roman"/>
                <w:color w:val="auto"/>
                <w:sz w:val="24"/>
                <w:highlight w:val="none"/>
                <w:vertAlign w:val="subscript"/>
              </w:rPr>
              <w:t>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-7.0）/（pH</w:t>
            </w:r>
            <w:r>
              <w:rPr>
                <w:rFonts w:hint="default" w:ascii="Times New Roman" w:hAnsi="Times New Roman" w:cs="Times New Roman"/>
                <w:color w:val="auto"/>
                <w:sz w:val="24"/>
                <w:highlight w:val="none"/>
                <w:vertAlign w:val="subscript"/>
              </w:rPr>
              <w:t>su</w:t>
            </w:r>
            <w:r>
              <w:rPr>
                <w:rFonts w:hint="default" w:ascii="Times New Roman" w:hAnsi="Times New Roman" w:cs="Times New Roman"/>
                <w:color w:val="auto"/>
                <w:sz w:val="24"/>
                <w:highlight w:val="none"/>
              </w:rPr>
              <w:t>-7.0）pH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＞7.0</w:t>
            </w:r>
          </w:p>
          <w:p>
            <w:pPr>
              <w:keepNext w:val="0"/>
              <w:keepLines w:val="0"/>
              <w:pageBreakBefore w:val="0"/>
              <w:kinsoku/>
              <w:wordWrap/>
              <w:topLinePunct w:val="0"/>
              <w:bidi w:val="0"/>
              <w:spacing w:line="360" w:lineRule="auto"/>
              <w:ind w:left="0" w:leftChars="0" w:right="0" w:firstLine="960" w:firstLineChars="4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i/>
                <w:color w:val="auto"/>
                <w:sz w:val="24"/>
                <w:highlight w:val="none"/>
              </w:rPr>
              <w:t>S</w:t>
            </w:r>
            <w:r>
              <w:rPr>
                <w:rFonts w:hint="default" w:ascii="Times New Roman" w:hAnsi="Times New Roman" w:cs="Times New Roman"/>
                <w:color w:val="auto"/>
                <w:sz w:val="24"/>
                <w:highlight w:val="none"/>
                <w:vertAlign w:val="subscript"/>
              </w:rPr>
              <w:t>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——pH值的标准指数；</w:t>
            </w:r>
          </w:p>
          <w:p>
            <w:pPr>
              <w:keepNext w:val="0"/>
              <w:keepLines w:val="0"/>
              <w:pageBreakBefore w:val="0"/>
              <w:kinsoku/>
              <w:wordWrap/>
              <w:topLinePunct w:val="0"/>
              <w:bidi w:val="0"/>
              <w:spacing w:line="360" w:lineRule="auto"/>
              <w:ind w:left="0" w:leftChars="0" w:right="0" w:firstLine="960" w:firstLineChars="4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——pH值实测值；</w:t>
            </w:r>
          </w:p>
          <w:p>
            <w:pPr>
              <w:keepNext w:val="0"/>
              <w:keepLines w:val="0"/>
              <w:pageBreakBefore w:val="0"/>
              <w:kinsoku/>
              <w:wordWrap/>
              <w:topLinePunct w:val="0"/>
              <w:bidi w:val="0"/>
              <w:spacing w:line="360" w:lineRule="auto"/>
              <w:ind w:left="0" w:leftChars="0" w:right="0" w:firstLine="1680" w:firstLineChars="7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pH</w:t>
            </w:r>
            <w:r>
              <w:rPr>
                <w:rFonts w:hint="default" w:ascii="Times New Roman" w:hAnsi="Times New Roman" w:cs="Times New Roman"/>
                <w:color w:val="auto"/>
                <w:sz w:val="24"/>
                <w:highlight w:val="none"/>
                <w:vertAlign w:val="subscript"/>
              </w:rPr>
              <w:t>sd</w:t>
            </w:r>
            <w:r>
              <w:rPr>
                <w:rFonts w:hint="default" w:ascii="Times New Roman" w:hAnsi="Times New Roman" w:cs="Times New Roman"/>
                <w:color w:val="auto"/>
                <w:sz w:val="24"/>
                <w:highlight w:val="none"/>
              </w:rPr>
              <w:t>——水质标准中规定的pH值下限值；</w:t>
            </w:r>
          </w:p>
          <w:p>
            <w:pPr>
              <w:keepNext w:val="0"/>
              <w:keepLines w:val="0"/>
              <w:pageBreakBefore w:val="0"/>
              <w:kinsoku/>
              <w:wordWrap/>
              <w:topLinePunct w:val="0"/>
              <w:bidi w:val="0"/>
              <w:spacing w:line="360" w:lineRule="auto"/>
              <w:ind w:left="0" w:leftChars="0" w:right="0" w:firstLine="1680" w:firstLineChars="7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pH</w:t>
            </w:r>
            <w:r>
              <w:rPr>
                <w:rFonts w:hint="default" w:ascii="Times New Roman" w:hAnsi="Times New Roman" w:cs="Times New Roman"/>
                <w:color w:val="auto"/>
                <w:sz w:val="24"/>
                <w:highlight w:val="none"/>
                <w:vertAlign w:val="subscript"/>
              </w:rPr>
              <w:t>su</w:t>
            </w:r>
            <w:r>
              <w:rPr>
                <w:rFonts w:hint="default" w:ascii="Times New Roman" w:hAnsi="Times New Roman" w:cs="Times New Roman"/>
                <w:color w:val="auto"/>
                <w:sz w:val="24"/>
                <w:highlight w:val="none"/>
              </w:rPr>
              <w:t>——水质标准中规定的pH值上限值。</w:t>
            </w:r>
          </w:p>
          <w:p>
            <w:pPr>
              <w:keepNext w:val="0"/>
              <w:keepLines w:val="0"/>
              <w:pageBreakBefore w:val="0"/>
              <w:kinsoku/>
              <w:wordWrap/>
              <w:topLinePunct w:val="0"/>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c.溶解氧污染指数计算公式：</w:t>
            </w:r>
          </w:p>
          <w:p>
            <w:pPr>
              <w:keepNext w:val="0"/>
              <w:keepLines w:val="0"/>
              <w:pageBreakBefore w:val="0"/>
              <w:kinsoku/>
              <w:wordWrap/>
              <w:topLinePunct w:val="0"/>
              <w:bidi w:val="0"/>
              <w:spacing w:line="360" w:lineRule="auto"/>
              <w:ind w:left="0" w:leftChars="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position w:val="-56"/>
                <w:highlight w:val="none"/>
              </w:rPr>
              <w:object>
                <v:shape id="_x0000_i1029" o:spt="75" type="#_x0000_t75" style="height:62.85pt;width:169.15pt;" o:ole="t" filled="f" o:preferrelative="t" stroked="f" coordsize="21600,21600">
                  <v:path/>
                  <v:fill on="f" focussize="0,0"/>
                  <v:stroke on="f" joinstyle="miter"/>
                  <v:imagedata r:id="rId21" o:title=""/>
                  <o:lock v:ext="edit" aspectratio="t"/>
                  <w10:wrap type="none"/>
                  <w10:anchorlock/>
                </v:shape>
                <o:OLEObject Type="Embed" ProgID="Equation.KSEE3" ShapeID="_x0000_i1029" DrawAspect="Content" ObjectID="_1468075729" r:id="rId20">
                  <o:LockedField>false</o:LockedField>
                </o:OLEObject>
              </w:object>
            </w:r>
          </w:p>
          <w:p>
            <w:pPr>
              <w:keepNext w:val="0"/>
              <w:keepLines w:val="0"/>
              <w:pageBreakBefore w:val="0"/>
              <w:kinsoku/>
              <w:wordWrap/>
              <w:topLinePunct w:val="0"/>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式中：S</w:t>
            </w:r>
            <w:r>
              <w:rPr>
                <w:rFonts w:hint="default" w:ascii="Times New Roman" w:hAnsi="Times New Roman" w:cs="Times New Roman"/>
                <w:color w:val="auto"/>
                <w:sz w:val="24"/>
                <w:szCs w:val="24"/>
                <w:highlight w:val="none"/>
                <w:vertAlign w:val="subscript"/>
              </w:rPr>
              <w:t>DO·j</w:t>
            </w:r>
            <w:r>
              <w:rPr>
                <w:rFonts w:hint="default" w:ascii="Times New Roman" w:hAnsi="Times New Roman" w:cs="Times New Roman"/>
                <w:color w:val="auto"/>
                <w:sz w:val="24"/>
                <w:szCs w:val="24"/>
                <w:highlight w:val="none"/>
              </w:rPr>
              <w:t>——溶解氧的标准指数，大于1表明该水质超标；</w:t>
            </w:r>
          </w:p>
          <w:p>
            <w:pPr>
              <w:keepNext w:val="0"/>
              <w:keepLines w:val="0"/>
              <w:pageBreakBefore w:val="0"/>
              <w:kinsoku/>
              <w:wordWrap/>
              <w:topLinePunct w:val="0"/>
              <w:bidi w:val="0"/>
              <w:spacing w:line="360" w:lineRule="auto"/>
              <w:ind w:left="0" w:leftChars="0" w:right="0"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DOj——溶解氧在j点的实测统计代表值，mg/L；</w:t>
            </w:r>
          </w:p>
          <w:p>
            <w:pPr>
              <w:keepNext w:val="0"/>
              <w:keepLines w:val="0"/>
              <w:pageBreakBefore w:val="0"/>
              <w:kinsoku/>
              <w:wordWrap/>
              <w:topLinePunct w:val="0"/>
              <w:bidi w:val="0"/>
              <w:spacing w:line="360" w:lineRule="auto"/>
              <w:ind w:left="0" w:leftChars="0" w:right="0"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DOs——溶解氧的水质评价标准限值，mg/L；</w:t>
            </w:r>
          </w:p>
          <w:p>
            <w:pPr>
              <w:keepNext w:val="0"/>
              <w:keepLines w:val="0"/>
              <w:pageBreakBefore w:val="0"/>
              <w:kinsoku/>
              <w:wordWrap/>
              <w:topLinePunct w:val="0"/>
              <w:bidi w:val="0"/>
              <w:spacing w:line="360" w:lineRule="auto"/>
              <w:ind w:left="0" w:leftChars="0" w:right="0"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DOf——饱和溶解氧浓度，mg/L，对于河流，DOf=468/（31.6+T）。</w:t>
            </w:r>
          </w:p>
          <w:p>
            <w:pPr>
              <w:keepNext w:val="0"/>
              <w:keepLines w:val="0"/>
              <w:pageBreakBefore w:val="0"/>
              <w:kinsoku/>
              <w:wordWrap/>
              <w:topLinePunct w:val="0"/>
              <w:bidi w:val="0"/>
              <w:spacing w:line="360" w:lineRule="auto"/>
              <w:ind w:left="0" w:leftChars="0" w:right="0" w:firstLine="1200" w:firstLineChars="500"/>
              <w:rPr>
                <w:rFonts w:hint="default" w:ascii="Times New Roman" w:hAnsi="Times New Roman" w:eastAsia="黑体" w:cs="Times New Roman"/>
                <w:color w:val="auto"/>
                <w:szCs w:val="21"/>
                <w:highlight w:val="none"/>
              </w:rPr>
            </w:pPr>
            <w:r>
              <w:rPr>
                <w:rFonts w:hint="default" w:ascii="Times New Roman" w:hAnsi="Times New Roman" w:cs="Times New Roman"/>
                <w:color w:val="auto"/>
                <w:sz w:val="24"/>
                <w:highlight w:val="none"/>
              </w:rPr>
              <w:t>水质评价因子的标准指数大于1时，表明该评价因子的水质超过了规定的水质标准，已经不能满足相应的水域功能要求。</w:t>
            </w:r>
          </w:p>
          <w:p>
            <w:pPr>
              <w:keepNext w:val="0"/>
              <w:keepLines w:val="0"/>
              <w:pageBreakBefore w:val="0"/>
              <w:kinsoku/>
              <w:wordWrap/>
              <w:topLinePunct w:val="0"/>
              <w:bidi w:val="0"/>
              <w:spacing w:line="360" w:lineRule="auto"/>
              <w:ind w:left="0" w:leftChars="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④评价结果</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color w:val="auto"/>
                <w:sz w:val="24"/>
                <w:szCs w:val="24"/>
                <w:highlight w:val="none"/>
              </w:rPr>
              <w:t>采用上述评价方法，各水质评价因子的标准指数见</w:t>
            </w:r>
            <w:r>
              <w:rPr>
                <w:rFonts w:hint="default" w:ascii="Times New Roman" w:hAnsi="Times New Roman" w:cs="Times New Roman"/>
                <w:color w:val="auto"/>
                <w:sz w:val="24"/>
                <w:szCs w:val="24"/>
                <w:highlight w:val="none"/>
                <w:lang w:val="en-US" w:eastAsia="zh-CN"/>
              </w:rPr>
              <w:t>下表</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szCs w:val="21"/>
                <w:highlight w:val="none"/>
                <w:lang w:val="en-US" w:eastAsia="zh-CN"/>
              </w:rPr>
              <w:t>3-3</w:t>
            </w:r>
            <w:r>
              <w:rPr>
                <w:rFonts w:hint="eastAsia" w:ascii="Times New Roman" w:hAnsi="Times New Roman" w:eastAsia="黑体" w:cs="Times New Roman"/>
                <w:color w:val="auto"/>
                <w:szCs w:val="21"/>
                <w:highlight w:val="none"/>
                <w:lang w:val="en-US" w:eastAsia="zh-CN"/>
              </w:rPr>
              <w:t xml:space="preserve"> </w:t>
            </w:r>
            <w:r>
              <w:rPr>
                <w:rFonts w:hint="default" w:ascii="Times New Roman" w:hAnsi="Times New Roman" w:eastAsia="黑体" w:cs="Times New Roman"/>
                <w:color w:val="auto"/>
                <w:szCs w:val="21"/>
                <w:highlight w:val="none"/>
              </w:rPr>
              <w:t>地表水水质评价因子标准指数统计表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1"/>
              <w:gridCol w:w="1570"/>
              <w:gridCol w:w="1570"/>
              <w:gridCol w:w="1570"/>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Merge w:val="restar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color w:val="auto"/>
                      <w:szCs w:val="21"/>
                      <w:highlight w:val="none"/>
                    </w:rPr>
                    <w:t>监测指标</w:t>
                  </w:r>
                </w:p>
              </w:tc>
              <w:tc>
                <w:tcPr>
                  <w:tcW w:w="1812" w:type="pct"/>
                  <w:gridSpan w:val="2"/>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Ⅰ</w:t>
                  </w:r>
                </w:p>
              </w:tc>
              <w:tc>
                <w:tcPr>
                  <w:tcW w:w="1813" w:type="pct"/>
                  <w:gridSpan w:val="2"/>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eastAsia="宋体" w:cs="Times New Roman"/>
                      <w:b/>
                      <w:bCs/>
                      <w:color w:val="auto"/>
                      <w:szCs w:val="21"/>
                      <w:highlight w:val="none"/>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Merge w:val="continue"/>
                  <w:tcBorders>
                    <w:tl2br w:val="nil"/>
                    <w:tr2bl w:val="nil"/>
                  </w:tcBorders>
                  <w:vAlign w:val="center"/>
                </w:tcPr>
                <w:p>
                  <w:pPr>
                    <w:keepNext w:val="0"/>
                    <w:keepLines w:val="0"/>
                    <w:pageBreakBefore w:val="0"/>
                    <w:widowControl/>
                    <w:kinsoku/>
                    <w:wordWrap/>
                    <w:topLinePunct w:val="0"/>
                    <w:bidi w:val="0"/>
                    <w:ind w:left="0" w:leftChars="0" w:right="0"/>
                    <w:jc w:val="center"/>
                    <w:textAlignment w:val="center"/>
                    <w:rPr>
                      <w:rFonts w:hint="default" w:ascii="Times New Roman" w:hAnsi="Times New Roman" w:cs="Times New Roman"/>
                      <w:b/>
                      <w:color w:val="auto"/>
                      <w:szCs w:val="21"/>
                      <w:highlight w:val="none"/>
                    </w:rPr>
                  </w:pPr>
                </w:p>
              </w:tc>
              <w:tc>
                <w:tcPr>
                  <w:tcW w:w="906" w:type="pct"/>
                  <w:tcBorders>
                    <w:tl2br w:val="nil"/>
                    <w:tr2bl w:val="nil"/>
                  </w:tcBorders>
                  <w:vAlign w:val="center"/>
                </w:tcPr>
                <w:p>
                  <w:pPr>
                    <w:pStyle w:val="30"/>
                    <w:keepNext w:val="0"/>
                    <w:keepLines w:val="0"/>
                    <w:pageBreakBefore w:val="0"/>
                    <w:kinsoku/>
                    <w:wordWrap/>
                    <w:overflowPunct w:val="0"/>
                    <w:topLinePunct w:val="0"/>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浓度范围</w:t>
                  </w:r>
                </w:p>
              </w:tc>
              <w:tc>
                <w:tcPr>
                  <w:tcW w:w="906" w:type="pct"/>
                  <w:tcBorders>
                    <w:tl2br w:val="nil"/>
                    <w:tr2bl w:val="nil"/>
                  </w:tcBorders>
                  <w:vAlign w:val="center"/>
                </w:tcPr>
                <w:p>
                  <w:pPr>
                    <w:pStyle w:val="30"/>
                    <w:keepNext w:val="0"/>
                    <w:keepLines w:val="0"/>
                    <w:pageBreakBefore w:val="0"/>
                    <w:kinsoku/>
                    <w:wordWrap/>
                    <w:overflowPunct w:val="0"/>
                    <w:topLinePunct w:val="0"/>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position w:val="1"/>
                      <w:szCs w:val="21"/>
                      <w:highlight w:val="none"/>
                    </w:rPr>
                    <w:t>S</w:t>
                  </w:r>
                  <w:r>
                    <w:rPr>
                      <w:rFonts w:hint="default" w:ascii="Times New Roman" w:hAnsi="Times New Roman" w:cs="Times New Roman"/>
                      <w:b/>
                      <w:bCs/>
                      <w:color w:val="auto"/>
                      <w:position w:val="-2"/>
                      <w:szCs w:val="21"/>
                      <w:highlight w:val="none"/>
                    </w:rPr>
                    <w:t>i</w:t>
                  </w:r>
                  <w:r>
                    <w:rPr>
                      <w:rFonts w:hint="default" w:ascii="Times New Roman" w:hAnsi="Times New Roman" w:cs="Times New Roman"/>
                      <w:b/>
                      <w:bCs/>
                      <w:color w:val="auto"/>
                      <w:szCs w:val="21"/>
                      <w:highlight w:val="none"/>
                    </w:rPr>
                    <w:t>最大</w:t>
                  </w:r>
                </w:p>
              </w:tc>
              <w:tc>
                <w:tcPr>
                  <w:tcW w:w="906" w:type="pct"/>
                  <w:tcBorders>
                    <w:tl2br w:val="nil"/>
                    <w:tr2bl w:val="nil"/>
                  </w:tcBorders>
                  <w:vAlign w:val="center"/>
                </w:tcPr>
                <w:p>
                  <w:pPr>
                    <w:pStyle w:val="30"/>
                    <w:keepNext w:val="0"/>
                    <w:keepLines w:val="0"/>
                    <w:pageBreakBefore w:val="0"/>
                    <w:kinsoku/>
                    <w:wordWrap/>
                    <w:overflowPunct w:val="0"/>
                    <w:topLinePunct w:val="0"/>
                    <w:bidi w:val="0"/>
                    <w:ind w:left="0" w:leftChars="0" w:right="0" w:righ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b/>
                      <w:bCs/>
                      <w:color w:val="auto"/>
                      <w:szCs w:val="21"/>
                      <w:highlight w:val="none"/>
                    </w:rPr>
                    <w:t>浓度范围</w:t>
                  </w:r>
                </w:p>
              </w:tc>
              <w:tc>
                <w:tcPr>
                  <w:tcW w:w="907" w:type="pct"/>
                  <w:tcBorders>
                    <w:tl2br w:val="nil"/>
                    <w:tr2bl w:val="nil"/>
                  </w:tcBorders>
                  <w:vAlign w:val="center"/>
                </w:tcPr>
                <w:p>
                  <w:pPr>
                    <w:pStyle w:val="30"/>
                    <w:keepNext w:val="0"/>
                    <w:keepLines w:val="0"/>
                    <w:pageBreakBefore w:val="0"/>
                    <w:kinsoku/>
                    <w:wordWrap/>
                    <w:overflowPunct w:val="0"/>
                    <w:topLinePunct w:val="0"/>
                    <w:bidi w:val="0"/>
                    <w:ind w:left="0" w:leftChars="0" w:right="0" w:righ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b/>
                      <w:bCs/>
                      <w:color w:val="auto"/>
                      <w:position w:val="1"/>
                      <w:szCs w:val="21"/>
                      <w:highlight w:val="none"/>
                    </w:rPr>
                    <w:t>S</w:t>
                  </w:r>
                  <w:r>
                    <w:rPr>
                      <w:rFonts w:hint="default" w:ascii="Times New Roman" w:hAnsi="Times New Roman" w:cs="Times New Roman"/>
                      <w:b/>
                      <w:bCs/>
                      <w:color w:val="auto"/>
                      <w:position w:val="-2"/>
                      <w:szCs w:val="21"/>
                      <w:highlight w:val="none"/>
                    </w:rPr>
                    <w:t>i</w:t>
                  </w:r>
                  <w:r>
                    <w:rPr>
                      <w:rFonts w:hint="default" w:ascii="Times New Roman" w:hAnsi="Times New Roman" w:cs="Times New Roman"/>
                      <w:b/>
                      <w:bCs/>
                      <w:color w:val="auto"/>
                      <w:szCs w:val="21"/>
                      <w:highlight w:val="none"/>
                    </w:rPr>
                    <w:t>最大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tcBorders>
                    <w:tl2br w:val="nil"/>
                    <w:tr2bl w:val="nil"/>
                  </w:tcBorders>
                  <w:vAlign w:val="center"/>
                </w:tcPr>
                <w:p>
                  <w:pPr>
                    <w:pStyle w:val="33"/>
                    <w:keepNext w:val="0"/>
                    <w:keepLines w:val="0"/>
                    <w:pageBreakBefore w:val="0"/>
                    <w:kinsoku/>
                    <w:wordWrap/>
                    <w:topLinePunct w:val="0"/>
                    <w:bidi w:val="0"/>
                    <w:snapToGrid w:val="0"/>
                    <w:spacing w:before="0" w:after="0"/>
                    <w:ind w:left="0" w:lef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pH（无量纲）</w:t>
                  </w:r>
                </w:p>
              </w:tc>
              <w:tc>
                <w:tcPr>
                  <w:tcW w:w="1570" w:type="dxa"/>
                  <w:tcBorders>
                    <w:tl2br w:val="nil"/>
                    <w:tr2bl w:val="nil"/>
                  </w:tcBorders>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7.3</w:t>
                  </w:r>
                </w:p>
              </w:tc>
              <w:tc>
                <w:tcPr>
                  <w:tcW w:w="1570" w:type="dxa"/>
                  <w:tcBorders>
                    <w:tl2br w:val="nil"/>
                    <w:tr2bl w:val="nil"/>
                  </w:tcBorders>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0.15</w:t>
                  </w:r>
                </w:p>
              </w:tc>
              <w:tc>
                <w:tcPr>
                  <w:tcW w:w="1570" w:type="dxa"/>
                  <w:tcBorders>
                    <w:tl2br w:val="nil"/>
                    <w:tr2bl w:val="nil"/>
                  </w:tcBorders>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7.4</w:t>
                  </w:r>
                </w:p>
              </w:tc>
              <w:tc>
                <w:tcPr>
                  <w:tcW w:w="1573" w:type="dxa"/>
                  <w:tcBorders>
                    <w:tl2br w:val="nil"/>
                    <w:tr2bl w:val="nil"/>
                  </w:tcBorders>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溶解氧</w:t>
                  </w:r>
                </w:p>
              </w:tc>
              <w:tc>
                <w:tcPr>
                  <w:tcW w:w="1570" w:type="dxa"/>
                  <w:tcBorders>
                    <w:tl2br w:val="nil"/>
                    <w:tr2bl w:val="nil"/>
                  </w:tcBorders>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570" w:type="dxa"/>
                  <w:tcBorders>
                    <w:tl2br w:val="nil"/>
                    <w:tr2bl w:val="nil"/>
                  </w:tcBorders>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0.833</w:t>
                  </w:r>
                </w:p>
              </w:tc>
              <w:tc>
                <w:tcPr>
                  <w:tcW w:w="1570" w:type="dxa"/>
                  <w:tcBorders>
                    <w:tl2br w:val="nil"/>
                    <w:tr2bl w:val="nil"/>
                  </w:tcBorders>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6.000</w:t>
                  </w:r>
                </w:p>
              </w:tc>
              <w:tc>
                <w:tcPr>
                  <w:tcW w:w="1573" w:type="dxa"/>
                  <w:tcBorders>
                    <w:tl2br w:val="nil"/>
                    <w:tr2bl w:val="nil"/>
                  </w:tcBorders>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keepNext w:val="0"/>
                    <w:keepLines w:val="0"/>
                    <w:pageBreakBefore w:val="0"/>
                    <w:kinsoku/>
                    <w:wordWrap/>
                    <w:topLinePunct w:val="0"/>
                    <w:autoSpaceDE w:val="0"/>
                    <w:autoSpaceDN w:val="0"/>
                    <w:bidi w:val="0"/>
                    <w:adjustRightIn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高锰酸盐指数</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1.87</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0.312</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1.660</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keepNext w:val="0"/>
                    <w:keepLines w:val="0"/>
                    <w:pageBreakBefore w:val="0"/>
                    <w:kinsoku/>
                    <w:wordWrap/>
                    <w:topLinePunct w:val="0"/>
                    <w:autoSpaceDE w:val="0"/>
                    <w:autoSpaceDN w:val="0"/>
                    <w:bidi w:val="0"/>
                    <w:adjustRightIn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化学需氧量</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0.450</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5.000</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五日生化需氧量</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0.500</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1.300</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氨氮</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0.191</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0.191</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0.164</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总磷</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0.050</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0.010</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铜</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0.006</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Style w:val="35"/>
                      <w:rFonts w:hint="default" w:ascii="Times New Roman" w:hAnsi="Times New Roman" w:eastAsia="宋体" w:cs="Times New Roman"/>
                      <w:color w:val="auto"/>
                      <w:highlight w:val="none"/>
                      <w:lang w:val="en-US" w:eastAsia="zh-CN" w:bidi="ar"/>
                    </w:rPr>
                    <w:t>0.006</w:t>
                  </w:r>
                  <w:r>
                    <w:rPr>
                      <w:rStyle w:val="36"/>
                      <w:rFonts w:hint="default" w:ascii="Times New Roman" w:hAnsi="Times New Roman" w:eastAsia="宋体" w:cs="Times New Roman"/>
                      <w:color w:val="auto"/>
                      <w:highlight w:val="none"/>
                      <w:lang w:val="en-US" w:eastAsia="zh-CN" w:bidi="ar"/>
                    </w:rPr>
                    <w:t>L</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锌</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0.017</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0.017</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Style w:val="35"/>
                      <w:rFonts w:hint="default" w:ascii="Times New Roman" w:hAnsi="Times New Roman" w:eastAsia="宋体" w:cs="Times New Roman"/>
                      <w:color w:val="auto"/>
                      <w:highlight w:val="none"/>
                      <w:lang w:val="en-US" w:eastAsia="zh-CN" w:bidi="ar"/>
                    </w:rPr>
                    <w:t>0.004</w:t>
                  </w:r>
                  <w:r>
                    <w:rPr>
                      <w:rStyle w:val="36"/>
                      <w:rFonts w:hint="default" w:ascii="Times New Roman" w:hAnsi="Times New Roman" w:eastAsia="宋体" w:cs="Times New Roman"/>
                      <w:color w:val="auto"/>
                      <w:highlight w:val="none"/>
                      <w:lang w:val="en-US" w:eastAsia="zh-CN" w:bidi="ar"/>
                    </w:rPr>
                    <w:t>L</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铁</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Style w:val="35"/>
                      <w:rFonts w:hint="default" w:ascii="Times New Roman" w:hAnsi="Times New Roman" w:eastAsia="宋体" w:cs="Times New Roman"/>
                      <w:color w:val="auto"/>
                      <w:highlight w:val="none"/>
                      <w:lang w:val="en-US" w:eastAsia="zh-CN" w:bidi="ar"/>
                    </w:rPr>
                    <w:t>0.02</w:t>
                  </w:r>
                  <w:r>
                    <w:rPr>
                      <w:rStyle w:val="36"/>
                      <w:rFonts w:hint="default" w:ascii="Times New Roman" w:hAnsi="Times New Roman" w:eastAsia="宋体" w:cs="Times New Roman"/>
                      <w:color w:val="auto"/>
                      <w:highlight w:val="none"/>
                      <w:lang w:val="en-US" w:eastAsia="zh-CN" w:bidi="ar"/>
                    </w:rPr>
                    <w:t>L</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Style w:val="35"/>
                      <w:rFonts w:hint="default" w:ascii="Times New Roman" w:hAnsi="Times New Roman" w:eastAsia="宋体" w:cs="Times New Roman"/>
                      <w:color w:val="auto"/>
                      <w:highlight w:val="none"/>
                      <w:lang w:val="en-US" w:eastAsia="zh-CN" w:bidi="ar"/>
                    </w:rPr>
                    <w:t>0.02</w:t>
                  </w:r>
                  <w:r>
                    <w:rPr>
                      <w:rStyle w:val="36"/>
                      <w:rFonts w:hint="default" w:ascii="Times New Roman" w:hAnsi="Times New Roman" w:eastAsia="宋体" w:cs="Times New Roman"/>
                      <w:color w:val="auto"/>
                      <w:highlight w:val="none"/>
                      <w:lang w:val="en-US" w:eastAsia="zh-CN" w:bidi="ar"/>
                    </w:rPr>
                    <w:t>L</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锰</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Style w:val="35"/>
                      <w:rFonts w:hint="default" w:ascii="Times New Roman" w:hAnsi="Times New Roman" w:eastAsia="宋体" w:cs="Times New Roman"/>
                      <w:color w:val="auto"/>
                      <w:highlight w:val="none"/>
                      <w:lang w:val="en-US" w:eastAsia="zh-CN" w:bidi="ar"/>
                    </w:rPr>
                    <w:t>0.004</w:t>
                  </w:r>
                  <w:r>
                    <w:rPr>
                      <w:rStyle w:val="36"/>
                      <w:rFonts w:hint="default" w:ascii="Times New Roman" w:hAnsi="Times New Roman" w:eastAsia="宋体" w:cs="Times New Roman"/>
                      <w:color w:val="auto"/>
                      <w:highlight w:val="none"/>
                      <w:lang w:val="en-US" w:eastAsia="zh-CN" w:bidi="ar"/>
                    </w:rPr>
                    <w:t>L</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Style w:val="35"/>
                      <w:rFonts w:hint="default" w:ascii="Times New Roman" w:hAnsi="Times New Roman" w:eastAsia="宋体" w:cs="Times New Roman"/>
                      <w:color w:val="auto"/>
                      <w:highlight w:val="none"/>
                      <w:lang w:val="en-US" w:eastAsia="zh-CN" w:bidi="ar"/>
                    </w:rPr>
                    <w:t>0.004</w:t>
                  </w:r>
                  <w:r>
                    <w:rPr>
                      <w:rStyle w:val="36"/>
                      <w:rFonts w:hint="default" w:ascii="Times New Roman" w:hAnsi="Times New Roman" w:eastAsia="宋体" w:cs="Times New Roman"/>
                      <w:color w:val="auto"/>
                      <w:highlight w:val="none"/>
                      <w:lang w:val="en-US" w:eastAsia="zh-CN" w:bidi="ar"/>
                    </w:rPr>
                    <w:t>L</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六价铬</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Style w:val="35"/>
                      <w:rFonts w:hint="default" w:ascii="Times New Roman" w:hAnsi="Times New Roman" w:eastAsia="宋体" w:cs="Times New Roman"/>
                      <w:color w:val="auto"/>
                      <w:highlight w:val="none"/>
                      <w:lang w:val="en-US" w:eastAsia="zh-CN" w:bidi="ar"/>
                    </w:rPr>
                    <w:t>0.004</w:t>
                  </w:r>
                  <w:r>
                    <w:rPr>
                      <w:rStyle w:val="36"/>
                      <w:rFonts w:hint="default" w:ascii="Times New Roman" w:hAnsi="Times New Roman" w:eastAsia="宋体" w:cs="Times New Roman"/>
                      <w:color w:val="auto"/>
                      <w:highlight w:val="none"/>
                      <w:lang w:val="en-US" w:eastAsia="zh-CN" w:bidi="ar"/>
                    </w:rPr>
                    <w:t>L</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Style w:val="35"/>
                      <w:rFonts w:hint="default" w:ascii="Times New Roman" w:hAnsi="Times New Roman" w:eastAsia="宋体" w:cs="Times New Roman"/>
                      <w:color w:val="auto"/>
                      <w:highlight w:val="none"/>
                      <w:lang w:val="en-US" w:eastAsia="zh-CN" w:bidi="ar"/>
                    </w:rPr>
                    <w:t>0.004</w:t>
                  </w:r>
                  <w:r>
                    <w:rPr>
                      <w:rStyle w:val="36"/>
                      <w:rFonts w:hint="default" w:ascii="Times New Roman" w:hAnsi="Times New Roman" w:eastAsia="宋体" w:cs="Times New Roman"/>
                      <w:color w:val="auto"/>
                      <w:highlight w:val="none"/>
                      <w:lang w:val="en-US" w:eastAsia="zh-CN" w:bidi="ar"/>
                    </w:rPr>
                    <w:t>L</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硒</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Style w:val="35"/>
                      <w:rFonts w:hint="default" w:ascii="Times New Roman" w:hAnsi="Times New Roman" w:eastAsia="宋体" w:cs="Times New Roman"/>
                      <w:color w:val="auto"/>
                      <w:highlight w:val="none"/>
                      <w:lang w:val="en-US" w:eastAsia="zh-CN" w:bidi="ar"/>
                    </w:rPr>
                    <w:t>0.0004</w:t>
                  </w:r>
                  <w:r>
                    <w:rPr>
                      <w:rStyle w:val="36"/>
                      <w:rFonts w:hint="default" w:ascii="Times New Roman" w:hAnsi="Times New Roman" w:eastAsia="宋体" w:cs="Times New Roman"/>
                      <w:color w:val="auto"/>
                      <w:highlight w:val="none"/>
                      <w:lang w:val="en-US" w:eastAsia="zh-CN" w:bidi="ar"/>
                    </w:rPr>
                    <w:t>L</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Style w:val="35"/>
                      <w:rFonts w:hint="default" w:ascii="Times New Roman" w:hAnsi="Times New Roman" w:eastAsia="宋体" w:cs="Times New Roman"/>
                      <w:color w:val="auto"/>
                      <w:highlight w:val="none"/>
                      <w:lang w:val="en-US" w:eastAsia="zh-CN" w:bidi="ar"/>
                    </w:rPr>
                    <w:t>0.0004</w:t>
                  </w:r>
                  <w:r>
                    <w:rPr>
                      <w:rStyle w:val="36"/>
                      <w:rFonts w:hint="default" w:ascii="Times New Roman" w:hAnsi="Times New Roman" w:eastAsia="宋体" w:cs="Times New Roman"/>
                      <w:color w:val="auto"/>
                      <w:highlight w:val="none"/>
                      <w:lang w:val="en-US" w:eastAsia="zh-CN" w:bidi="ar"/>
                    </w:rPr>
                    <w:t>L</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砷</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Style w:val="35"/>
                      <w:rFonts w:hint="default" w:ascii="Times New Roman" w:hAnsi="Times New Roman" w:eastAsia="宋体" w:cs="Times New Roman"/>
                      <w:color w:val="auto"/>
                      <w:highlight w:val="none"/>
                      <w:lang w:val="en-US" w:eastAsia="zh-CN" w:bidi="ar"/>
                    </w:rPr>
                    <w:t>0.0003</w:t>
                  </w:r>
                  <w:r>
                    <w:rPr>
                      <w:rStyle w:val="36"/>
                      <w:rFonts w:hint="default" w:ascii="Times New Roman" w:hAnsi="Times New Roman" w:eastAsia="宋体" w:cs="Times New Roman"/>
                      <w:color w:val="auto"/>
                      <w:highlight w:val="none"/>
                      <w:lang w:val="en-US" w:eastAsia="zh-CN" w:bidi="ar"/>
                    </w:rPr>
                    <w:t>L</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Style w:val="35"/>
                      <w:rFonts w:hint="default" w:ascii="Times New Roman" w:hAnsi="Times New Roman" w:eastAsia="宋体" w:cs="Times New Roman"/>
                      <w:color w:val="auto"/>
                      <w:highlight w:val="none"/>
                      <w:lang w:val="en-US" w:eastAsia="zh-CN" w:bidi="ar"/>
                    </w:rPr>
                    <w:t>0.0003</w:t>
                  </w:r>
                  <w:r>
                    <w:rPr>
                      <w:rStyle w:val="36"/>
                      <w:rFonts w:hint="default" w:ascii="Times New Roman" w:hAnsi="Times New Roman" w:eastAsia="宋体" w:cs="Times New Roman"/>
                      <w:color w:val="auto"/>
                      <w:highlight w:val="none"/>
                      <w:lang w:val="en-US" w:eastAsia="zh-CN" w:bidi="ar"/>
                    </w:rPr>
                    <w:t>L</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汞</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Style w:val="35"/>
                      <w:rFonts w:hint="default" w:ascii="Times New Roman" w:hAnsi="Times New Roman" w:eastAsia="宋体" w:cs="Times New Roman"/>
                      <w:color w:val="auto"/>
                      <w:highlight w:val="none"/>
                      <w:lang w:val="en-US" w:eastAsia="zh-CN" w:bidi="ar"/>
                    </w:rPr>
                    <w:t>0.0000015</w:t>
                  </w:r>
                  <w:r>
                    <w:rPr>
                      <w:rStyle w:val="36"/>
                      <w:rFonts w:hint="default" w:ascii="Times New Roman" w:hAnsi="Times New Roman" w:eastAsia="宋体" w:cs="Times New Roman"/>
                      <w:color w:val="auto"/>
                      <w:highlight w:val="none"/>
                      <w:lang w:val="en-US" w:eastAsia="zh-CN" w:bidi="ar"/>
                    </w:rPr>
                    <w:t>L</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Style w:val="35"/>
                      <w:rFonts w:hint="default" w:ascii="Times New Roman" w:hAnsi="Times New Roman" w:eastAsia="宋体" w:cs="Times New Roman"/>
                      <w:color w:val="auto"/>
                      <w:highlight w:val="none"/>
                      <w:lang w:val="en-US" w:eastAsia="zh-CN" w:bidi="ar"/>
                    </w:rPr>
                    <w:t>0.0000015</w:t>
                  </w:r>
                  <w:r>
                    <w:rPr>
                      <w:rStyle w:val="36"/>
                      <w:rFonts w:hint="default" w:ascii="Times New Roman" w:hAnsi="Times New Roman" w:eastAsia="宋体" w:cs="Times New Roman"/>
                      <w:color w:val="auto"/>
                      <w:highlight w:val="none"/>
                      <w:lang w:val="en-US" w:eastAsia="zh-CN" w:bidi="ar"/>
                    </w:rPr>
                    <w:t>L</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氰化物</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Style w:val="35"/>
                      <w:rFonts w:hint="default" w:ascii="Times New Roman" w:hAnsi="Times New Roman" w:eastAsia="宋体" w:cs="Times New Roman"/>
                      <w:color w:val="auto"/>
                      <w:highlight w:val="none"/>
                      <w:lang w:val="en-US" w:eastAsia="zh-CN" w:bidi="ar"/>
                    </w:rPr>
                    <w:t>0.001</w:t>
                  </w:r>
                  <w:r>
                    <w:rPr>
                      <w:rStyle w:val="36"/>
                      <w:rFonts w:hint="default" w:ascii="Times New Roman" w:hAnsi="Times New Roman" w:eastAsia="宋体" w:cs="Times New Roman"/>
                      <w:color w:val="auto"/>
                      <w:highlight w:val="none"/>
                      <w:lang w:val="en-US" w:eastAsia="zh-CN" w:bidi="ar"/>
                    </w:rPr>
                    <w:t>L</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Style w:val="35"/>
                      <w:rFonts w:hint="default" w:ascii="Times New Roman" w:hAnsi="Times New Roman" w:eastAsia="宋体" w:cs="Times New Roman"/>
                      <w:color w:val="auto"/>
                      <w:highlight w:val="none"/>
                      <w:lang w:val="en-US" w:eastAsia="zh-CN" w:bidi="ar"/>
                    </w:rPr>
                    <w:t>0.001</w:t>
                  </w:r>
                  <w:r>
                    <w:rPr>
                      <w:rStyle w:val="36"/>
                      <w:rFonts w:hint="default" w:ascii="Times New Roman" w:hAnsi="Times New Roman" w:eastAsia="宋体" w:cs="Times New Roman"/>
                      <w:color w:val="auto"/>
                      <w:highlight w:val="none"/>
                      <w:lang w:val="en-US" w:eastAsia="zh-CN" w:bidi="ar"/>
                    </w:rPr>
                    <w:t>L</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挥发酚</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Style w:val="35"/>
                      <w:rFonts w:hint="default" w:ascii="Times New Roman" w:hAnsi="Times New Roman" w:eastAsia="宋体" w:cs="Times New Roman"/>
                      <w:color w:val="auto"/>
                      <w:highlight w:val="none"/>
                      <w:lang w:val="en-US" w:eastAsia="zh-CN" w:bidi="ar"/>
                    </w:rPr>
                    <w:t>0.0003</w:t>
                  </w:r>
                  <w:r>
                    <w:rPr>
                      <w:rStyle w:val="36"/>
                      <w:rFonts w:hint="default" w:ascii="Times New Roman" w:hAnsi="Times New Roman" w:eastAsia="宋体" w:cs="Times New Roman"/>
                      <w:color w:val="auto"/>
                      <w:highlight w:val="none"/>
                      <w:lang w:val="en-US" w:eastAsia="zh-CN" w:bidi="ar"/>
                    </w:rPr>
                    <w:t>L</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Style w:val="35"/>
                      <w:rFonts w:hint="default" w:ascii="Times New Roman" w:hAnsi="Times New Roman" w:eastAsia="宋体" w:cs="Times New Roman"/>
                      <w:color w:val="auto"/>
                      <w:highlight w:val="none"/>
                      <w:lang w:val="en-US" w:eastAsia="zh-CN" w:bidi="ar"/>
                    </w:rPr>
                    <w:t>0.0003</w:t>
                  </w:r>
                  <w:r>
                    <w:rPr>
                      <w:rStyle w:val="36"/>
                      <w:rFonts w:hint="default" w:ascii="Times New Roman" w:hAnsi="Times New Roman" w:eastAsia="宋体" w:cs="Times New Roman"/>
                      <w:color w:val="auto"/>
                      <w:highlight w:val="none"/>
                      <w:lang w:val="en-US" w:eastAsia="zh-CN" w:bidi="ar"/>
                    </w:rPr>
                    <w:t>L</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阴离子表面活性剂</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Style w:val="35"/>
                      <w:rFonts w:hint="default" w:ascii="Times New Roman" w:hAnsi="Times New Roman" w:eastAsia="宋体" w:cs="Times New Roman"/>
                      <w:color w:val="auto"/>
                      <w:highlight w:val="none"/>
                      <w:lang w:val="en-US" w:eastAsia="zh-CN" w:bidi="ar"/>
                    </w:rPr>
                    <w:t>0.05</w:t>
                  </w:r>
                  <w:r>
                    <w:rPr>
                      <w:rStyle w:val="36"/>
                      <w:rFonts w:hint="default" w:ascii="Times New Roman" w:hAnsi="Times New Roman" w:eastAsia="宋体" w:cs="Times New Roman"/>
                      <w:color w:val="auto"/>
                      <w:highlight w:val="none"/>
                      <w:lang w:val="en-US" w:eastAsia="zh-CN" w:bidi="ar"/>
                    </w:rPr>
                    <w:t>L</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Style w:val="35"/>
                      <w:rFonts w:hint="default" w:ascii="Times New Roman" w:hAnsi="Times New Roman" w:eastAsia="宋体" w:cs="Times New Roman"/>
                      <w:color w:val="auto"/>
                      <w:highlight w:val="none"/>
                      <w:lang w:val="en-US" w:eastAsia="zh-CN" w:bidi="ar"/>
                    </w:rPr>
                    <w:t>0.05</w:t>
                  </w:r>
                  <w:r>
                    <w:rPr>
                      <w:rStyle w:val="36"/>
                      <w:rFonts w:hint="default" w:ascii="Times New Roman" w:hAnsi="Times New Roman" w:eastAsia="宋体" w:cs="Times New Roman"/>
                      <w:color w:val="auto"/>
                      <w:highlight w:val="none"/>
                      <w:lang w:val="en-US" w:eastAsia="zh-CN" w:bidi="ar"/>
                    </w:rPr>
                    <w:t>L</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硫化物</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Style w:val="35"/>
                      <w:rFonts w:hint="default" w:ascii="Times New Roman" w:hAnsi="Times New Roman" w:eastAsia="宋体" w:cs="Times New Roman"/>
                      <w:color w:val="auto"/>
                      <w:highlight w:val="none"/>
                      <w:lang w:val="en-US" w:eastAsia="zh-CN" w:bidi="ar"/>
                    </w:rPr>
                    <w:t>0.01</w:t>
                  </w:r>
                  <w:r>
                    <w:rPr>
                      <w:rStyle w:val="36"/>
                      <w:rFonts w:hint="default" w:ascii="Times New Roman" w:hAnsi="Times New Roman" w:eastAsia="宋体" w:cs="Times New Roman"/>
                      <w:color w:val="auto"/>
                      <w:highlight w:val="none"/>
                      <w:lang w:val="en-US" w:eastAsia="zh-CN" w:bidi="ar"/>
                    </w:rPr>
                    <w:t>L</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Style w:val="35"/>
                      <w:rFonts w:hint="default" w:ascii="Times New Roman" w:hAnsi="Times New Roman" w:eastAsia="宋体" w:cs="Times New Roman"/>
                      <w:color w:val="auto"/>
                      <w:highlight w:val="none"/>
                      <w:lang w:val="en-US" w:eastAsia="zh-CN" w:bidi="ar"/>
                    </w:rPr>
                    <w:t>0.01</w:t>
                  </w:r>
                  <w:r>
                    <w:rPr>
                      <w:rStyle w:val="36"/>
                      <w:rFonts w:hint="default" w:ascii="Times New Roman" w:hAnsi="Times New Roman" w:eastAsia="宋体" w:cs="Times New Roman"/>
                      <w:color w:val="auto"/>
                      <w:highlight w:val="none"/>
                      <w:lang w:val="en-US" w:eastAsia="zh-CN" w:bidi="ar"/>
                    </w:rPr>
                    <w:t>L</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硫酸盐</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42.7</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0.171</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53.700</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氯化物</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3.3</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0.013</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2.960</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硝酸盐</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0.262</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0.026</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0.520</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氟化物</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0.129</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0.129</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0.138</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石油类</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Style w:val="35"/>
                      <w:rFonts w:hint="default" w:ascii="Times New Roman" w:hAnsi="Times New Roman" w:eastAsia="宋体" w:cs="Times New Roman"/>
                      <w:color w:val="auto"/>
                      <w:highlight w:val="none"/>
                      <w:lang w:val="en-US" w:eastAsia="zh-CN" w:bidi="ar"/>
                    </w:rPr>
                    <w:t>0.01</w:t>
                  </w:r>
                  <w:r>
                    <w:rPr>
                      <w:rStyle w:val="36"/>
                      <w:rFonts w:hint="default" w:ascii="Times New Roman" w:hAnsi="Times New Roman" w:eastAsia="宋体" w:cs="Times New Roman"/>
                      <w:color w:val="auto"/>
                      <w:highlight w:val="none"/>
                      <w:lang w:val="en-US" w:eastAsia="zh-CN" w:bidi="ar"/>
                    </w:rPr>
                    <w:t>L</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Style w:val="35"/>
                      <w:rFonts w:hint="default" w:ascii="Times New Roman" w:hAnsi="Times New Roman" w:eastAsia="宋体" w:cs="Times New Roman"/>
                      <w:color w:val="auto"/>
                      <w:highlight w:val="none"/>
                      <w:lang w:val="en-US" w:eastAsia="zh-CN" w:bidi="ar"/>
                    </w:rPr>
                    <w:t>0.01</w:t>
                  </w:r>
                  <w:r>
                    <w:rPr>
                      <w:rStyle w:val="36"/>
                      <w:rFonts w:hint="default" w:ascii="Times New Roman" w:hAnsi="Times New Roman" w:eastAsia="宋体" w:cs="Times New Roman"/>
                      <w:color w:val="auto"/>
                      <w:highlight w:val="none"/>
                      <w:lang w:val="en-US" w:eastAsia="zh-CN" w:bidi="ar"/>
                    </w:rPr>
                    <w:t>L</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铅</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Style w:val="35"/>
                      <w:rFonts w:hint="default" w:ascii="Times New Roman" w:hAnsi="Times New Roman" w:eastAsia="宋体" w:cs="Times New Roman"/>
                      <w:color w:val="auto"/>
                      <w:highlight w:val="none"/>
                      <w:lang w:val="en-US" w:eastAsia="zh-CN" w:bidi="ar"/>
                    </w:rPr>
                    <w:t>0.001</w:t>
                  </w:r>
                  <w:r>
                    <w:rPr>
                      <w:rStyle w:val="36"/>
                      <w:rFonts w:hint="default" w:ascii="Times New Roman" w:hAnsi="Times New Roman" w:eastAsia="宋体" w:cs="Times New Roman"/>
                      <w:color w:val="auto"/>
                      <w:highlight w:val="none"/>
                      <w:lang w:val="en-US" w:eastAsia="zh-CN" w:bidi="ar"/>
                    </w:rPr>
                    <w:t>L</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Style w:val="35"/>
                      <w:rFonts w:hint="default" w:ascii="Times New Roman" w:hAnsi="Times New Roman" w:eastAsia="宋体" w:cs="Times New Roman"/>
                      <w:color w:val="auto"/>
                      <w:highlight w:val="none"/>
                      <w:lang w:val="en-US" w:eastAsia="zh-CN" w:bidi="ar"/>
                    </w:rPr>
                    <w:t>0.001</w:t>
                  </w:r>
                  <w:r>
                    <w:rPr>
                      <w:rStyle w:val="36"/>
                      <w:rFonts w:hint="default" w:ascii="Times New Roman" w:hAnsi="Times New Roman" w:eastAsia="宋体" w:cs="Times New Roman"/>
                      <w:color w:val="auto"/>
                      <w:highlight w:val="none"/>
                      <w:lang w:val="en-US" w:eastAsia="zh-CN" w:bidi="ar"/>
                    </w:rPr>
                    <w:t>L</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镉</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Style w:val="35"/>
                      <w:rFonts w:hint="default" w:ascii="Times New Roman" w:hAnsi="Times New Roman" w:eastAsia="宋体" w:cs="Times New Roman"/>
                      <w:color w:val="auto"/>
                      <w:highlight w:val="none"/>
                      <w:lang w:val="en-US" w:eastAsia="zh-CN" w:bidi="ar"/>
                    </w:rPr>
                    <w:t>0.0001</w:t>
                  </w:r>
                  <w:r>
                    <w:rPr>
                      <w:rStyle w:val="36"/>
                      <w:rFonts w:hint="default" w:ascii="Times New Roman" w:hAnsi="Times New Roman" w:eastAsia="宋体" w:cs="Times New Roman"/>
                      <w:color w:val="auto"/>
                      <w:highlight w:val="none"/>
                      <w:lang w:val="en-US" w:eastAsia="zh-CN" w:bidi="ar"/>
                    </w:rPr>
                    <w:t>L</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Style w:val="35"/>
                      <w:rFonts w:hint="default" w:ascii="Times New Roman" w:hAnsi="Times New Roman" w:eastAsia="宋体" w:cs="Times New Roman"/>
                      <w:color w:val="auto"/>
                      <w:highlight w:val="none"/>
                      <w:lang w:val="en-US" w:eastAsia="zh-CN" w:bidi="ar"/>
                    </w:rPr>
                    <w:t>0.0001</w:t>
                  </w:r>
                  <w:r>
                    <w:rPr>
                      <w:rStyle w:val="36"/>
                      <w:rFonts w:hint="default" w:ascii="Times New Roman" w:hAnsi="Times New Roman" w:eastAsia="宋体" w:cs="Times New Roman"/>
                      <w:color w:val="auto"/>
                      <w:highlight w:val="none"/>
                      <w:lang w:val="en-US" w:eastAsia="zh-CN" w:bidi="ar"/>
                    </w:rPr>
                    <w:t>L</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4" w:type="pct"/>
                  <w:vAlign w:val="center"/>
                </w:tcPr>
                <w:p>
                  <w:pPr>
                    <w:pStyle w:val="33"/>
                    <w:keepNext w:val="0"/>
                    <w:keepLines w:val="0"/>
                    <w:pageBreakBefore w:val="0"/>
                    <w:kinsoku/>
                    <w:wordWrap/>
                    <w:topLinePunct w:val="0"/>
                    <w:bidi w:val="0"/>
                    <w:snapToGrid w:val="0"/>
                    <w:spacing w:before="0" w:after="0"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粪大肠菌</w:t>
                  </w:r>
                  <w:r>
                    <w:rPr>
                      <w:rFonts w:hint="default" w:ascii="Times New Roman" w:hAnsi="Times New Roman" w:eastAsia="宋体" w:cs="Times New Roman"/>
                      <w:color w:val="auto"/>
                      <w:sz w:val="21"/>
                      <w:szCs w:val="21"/>
                      <w:highlight w:val="none"/>
                      <w:lang w:eastAsia="zh-CN"/>
                    </w:rPr>
                    <w:t>群（</w:t>
                  </w:r>
                  <w:r>
                    <w:rPr>
                      <w:rFonts w:hint="default" w:ascii="Times New Roman" w:hAnsi="Times New Roman" w:eastAsia="宋体" w:cs="Times New Roman"/>
                      <w:color w:val="auto"/>
                      <w:sz w:val="21"/>
                      <w:szCs w:val="21"/>
                      <w:highlight w:val="none"/>
                      <w:lang w:val="en-US" w:eastAsia="zh-CN"/>
                    </w:rPr>
                    <w:t>MPN/L</w:t>
                  </w:r>
                  <w:r>
                    <w:rPr>
                      <w:rFonts w:hint="default" w:ascii="Times New Roman" w:hAnsi="Times New Roman" w:eastAsia="宋体" w:cs="Times New Roman"/>
                      <w:color w:val="auto"/>
                      <w:sz w:val="21"/>
                      <w:szCs w:val="21"/>
                      <w:highlight w:val="none"/>
                      <w:lang w:eastAsia="zh-CN"/>
                    </w:rPr>
                    <w:t>）</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Style w:val="35"/>
                      <w:rFonts w:hint="default" w:ascii="Times New Roman" w:hAnsi="Times New Roman" w:eastAsia="宋体" w:cs="Times New Roman"/>
                      <w:color w:val="auto"/>
                      <w:highlight w:val="none"/>
                      <w:lang w:val="en-US" w:eastAsia="zh-CN" w:bidi="ar"/>
                    </w:rPr>
                    <w:t>8.4</w:t>
                  </w:r>
                  <w:r>
                    <w:rPr>
                      <w:rStyle w:val="37"/>
                      <w:rFonts w:hint="default" w:ascii="Times New Roman" w:hAnsi="Times New Roman" w:eastAsia="宋体" w:cs="Times New Roman"/>
                      <w:color w:val="auto"/>
                      <w:highlight w:val="none"/>
                      <w:lang w:val="en-US" w:eastAsia="zh-CN" w:bidi="ar"/>
                    </w:rPr>
                    <w:t>×10</w:t>
                  </w:r>
                  <w:r>
                    <w:rPr>
                      <w:rStyle w:val="38"/>
                      <w:rFonts w:hint="default" w:ascii="Times New Roman" w:hAnsi="Times New Roman" w:eastAsia="宋体" w:cs="Times New Roman"/>
                      <w:color w:val="auto"/>
                      <w:highlight w:val="none"/>
                      <w:lang w:val="en-US" w:eastAsia="zh-CN" w:bidi="ar"/>
                    </w:rPr>
                    <w:t>2</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0.084</w:t>
                  </w:r>
                </w:p>
              </w:tc>
              <w:tc>
                <w:tcPr>
                  <w:tcW w:w="1570"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Style w:val="35"/>
                      <w:rFonts w:hint="default" w:ascii="Times New Roman" w:hAnsi="Times New Roman" w:eastAsia="宋体" w:cs="Times New Roman"/>
                      <w:color w:val="auto"/>
                      <w:highlight w:val="none"/>
                      <w:lang w:val="en-US" w:eastAsia="zh-CN" w:bidi="ar"/>
                    </w:rPr>
                    <w:t>7.6</w:t>
                  </w:r>
                  <w:r>
                    <w:rPr>
                      <w:rStyle w:val="37"/>
                      <w:rFonts w:hint="default" w:ascii="Times New Roman" w:hAnsi="Times New Roman" w:eastAsia="宋体" w:cs="Times New Roman"/>
                      <w:color w:val="auto"/>
                      <w:highlight w:val="none"/>
                      <w:lang w:val="en-US" w:eastAsia="zh-CN" w:bidi="ar"/>
                    </w:rPr>
                    <w:t>×10</w:t>
                  </w:r>
                  <w:r>
                    <w:rPr>
                      <w:rStyle w:val="38"/>
                      <w:rFonts w:hint="default" w:ascii="Times New Roman" w:hAnsi="Times New Roman" w:eastAsia="宋体" w:cs="Times New Roman"/>
                      <w:color w:val="auto"/>
                      <w:highlight w:val="none"/>
                      <w:lang w:val="en-US" w:eastAsia="zh-CN" w:bidi="ar"/>
                    </w:rPr>
                    <w:t>3</w:t>
                  </w:r>
                </w:p>
              </w:tc>
              <w:tc>
                <w:tcPr>
                  <w:tcW w:w="1573" w:type="dxa"/>
                  <w:vAlign w:val="center"/>
                </w:tcPr>
                <w:p>
                  <w:pPr>
                    <w:keepNext w:val="0"/>
                    <w:keepLines w:val="0"/>
                    <w:pageBreakBefore w:val="0"/>
                    <w:widowControl/>
                    <w:suppressLineNumbers w:val="0"/>
                    <w:kinsoku/>
                    <w:wordWrap/>
                    <w:topLinePunct w:val="0"/>
                    <w:bidi w:val="0"/>
                    <w:ind w:left="0" w:leftChars="0"/>
                    <w:jc w:val="center"/>
                    <w:textAlignment w:val="center"/>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0.760</w:t>
                  </w:r>
                </w:p>
              </w:tc>
            </w:tr>
          </w:tbl>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val="0"/>
                <w:bCs/>
                <w:color w:val="auto"/>
                <w:sz w:val="24"/>
                <w:szCs w:val="24"/>
                <w:highlight w:val="none"/>
                <w:lang w:eastAsia="zh-CN"/>
              </w:rPr>
            </w:pPr>
            <w:r>
              <w:rPr>
                <w:rFonts w:hint="default" w:ascii="Times New Roman" w:hAnsi="Times New Roman" w:cs="Times New Roman"/>
                <w:b w:val="0"/>
                <w:bCs/>
                <w:color w:val="auto"/>
                <w:sz w:val="24"/>
                <w:szCs w:val="24"/>
                <w:highlight w:val="none"/>
              </w:rPr>
              <w:t>结果表明，现状监测期间，</w:t>
            </w:r>
            <w:r>
              <w:rPr>
                <w:rFonts w:hint="default" w:ascii="Times New Roman" w:hAnsi="Times New Roman" w:cs="Times New Roman"/>
                <w:b w:val="0"/>
                <w:bCs/>
                <w:color w:val="auto"/>
                <w:sz w:val="24"/>
                <w:szCs w:val="24"/>
                <w:highlight w:val="none"/>
                <w:lang w:val="en-US" w:eastAsia="zh-CN"/>
              </w:rPr>
              <w:t>中河、泥溪沟</w:t>
            </w:r>
            <w:r>
              <w:rPr>
                <w:rFonts w:hint="default" w:ascii="Times New Roman" w:hAnsi="Times New Roman" w:cs="Times New Roman"/>
                <w:b w:val="0"/>
                <w:bCs/>
                <w:color w:val="auto"/>
                <w:sz w:val="24"/>
                <w:szCs w:val="24"/>
                <w:highlight w:val="none"/>
              </w:rPr>
              <w:t>各监测指标均能满足《地表水环境质量标准》（GB3838-2002）</w:t>
            </w:r>
            <w:r>
              <w:rPr>
                <w:rFonts w:hint="default" w:ascii="Times New Roman" w:hAnsi="Times New Roman" w:cs="Times New Roman"/>
                <w:b w:val="0"/>
                <w:bCs/>
                <w:color w:val="auto"/>
                <w:sz w:val="24"/>
                <w:szCs w:val="24"/>
                <w:highlight w:val="none"/>
                <w:lang w:eastAsia="zh-CN"/>
              </w:rPr>
              <w:t>Ⅲ</w:t>
            </w:r>
            <w:r>
              <w:rPr>
                <w:rFonts w:hint="default" w:ascii="Times New Roman" w:hAnsi="Times New Roman" w:cs="Times New Roman"/>
                <w:b w:val="0"/>
                <w:bCs/>
                <w:color w:val="auto"/>
                <w:sz w:val="24"/>
                <w:szCs w:val="24"/>
                <w:highlight w:val="none"/>
              </w:rPr>
              <w:t>类标准。</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3、声环境质量现状</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为了解区域声环境质量现状，本次环评</w:t>
            </w:r>
            <w:r>
              <w:rPr>
                <w:rFonts w:hint="default" w:ascii="Times New Roman" w:hAnsi="Times New Roman" w:cs="Times New Roman"/>
                <w:color w:val="auto"/>
                <w:sz w:val="24"/>
                <w:szCs w:val="24"/>
                <w:highlight w:val="none"/>
                <w:lang w:val="en-US" w:eastAsia="zh-CN"/>
              </w:rPr>
              <w:t>区域噪声委托</w:t>
            </w:r>
            <w:r>
              <w:rPr>
                <w:rFonts w:hint="default" w:ascii="Times New Roman" w:hAnsi="Times New Roman" w:cs="Times New Roman"/>
                <w:color w:val="auto"/>
                <w:sz w:val="24"/>
                <w:szCs w:val="24"/>
                <w:highlight w:val="none"/>
                <w:lang w:eastAsia="zh-CN"/>
              </w:rPr>
              <w:t>达州恒福环境监测服务有限公司</w:t>
            </w:r>
            <w:r>
              <w:rPr>
                <w:rFonts w:hint="default" w:ascii="Times New Roman" w:hAnsi="Times New Roman" w:cs="Times New Roman"/>
                <w:color w:val="auto"/>
                <w:sz w:val="24"/>
                <w:szCs w:val="24"/>
                <w:highlight w:val="none"/>
                <w:lang w:val="en-US" w:eastAsia="zh-CN"/>
              </w:rPr>
              <w:t>于2023年4月21日对区域声质量现状进行监测。</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①监测点位</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本次环评共设噪声监测点</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eastAsia="zh-CN"/>
              </w:rPr>
              <w:t>个，监测点位置见表3-</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szCs w:val="21"/>
                <w:highlight w:val="none"/>
                <w:lang w:val="en-US" w:eastAsia="zh-CN"/>
              </w:rPr>
              <w:t>3-4</w:t>
            </w:r>
            <w:r>
              <w:rPr>
                <w:rFonts w:hint="eastAsia" w:ascii="Times New Roman" w:hAnsi="Times New Roman" w:eastAsia="黑体" w:cs="Times New Roman"/>
                <w:color w:val="auto"/>
                <w:szCs w:val="21"/>
                <w:highlight w:val="none"/>
                <w:lang w:val="en-US" w:eastAsia="zh-CN"/>
              </w:rPr>
              <w:t xml:space="preserve"> </w:t>
            </w:r>
            <w:r>
              <w:rPr>
                <w:rFonts w:hint="default" w:ascii="Times New Roman" w:hAnsi="Times New Roman" w:eastAsia="黑体" w:cs="Times New Roman"/>
                <w:color w:val="auto"/>
                <w:szCs w:val="21"/>
                <w:highlight w:val="none"/>
                <w:lang w:val="en-US" w:eastAsia="zh-CN"/>
              </w:rPr>
              <w:t>噪声监测点位表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2"/>
              <w:gridCol w:w="6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1" w:type="pct"/>
                  <w:vAlign w:val="center"/>
                </w:tcPr>
                <w:p>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b/>
                      <w:bCs/>
                      <w:color w:val="auto"/>
                      <w:sz w:val="21"/>
                      <w:szCs w:val="21"/>
                      <w:highlight w:val="none"/>
                    </w:rPr>
                    <w:t>编号</w:t>
                  </w:r>
                </w:p>
              </w:tc>
              <w:tc>
                <w:tcPr>
                  <w:tcW w:w="3948" w:type="pct"/>
                  <w:vAlign w:val="center"/>
                </w:tcPr>
                <w:p>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b/>
                      <w:bCs/>
                      <w:color w:val="auto"/>
                      <w:sz w:val="21"/>
                      <w:szCs w:val="21"/>
                      <w:highlight w:val="none"/>
                    </w:rPr>
                    <w:t>监测点名称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1" w:type="pct"/>
                  <w:vAlign w:val="center"/>
                </w:tcPr>
                <w:p>
                  <w:pPr>
                    <w:keepNext w:val="0"/>
                    <w:keepLines w:val="0"/>
                    <w:pageBreakBefore w:val="0"/>
                    <w:kinsoku/>
                    <w:wordWrap/>
                    <w:topLinePunct w:val="0"/>
                    <w:bidi w:val="0"/>
                    <w:spacing w:line="300" w:lineRule="exact"/>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p>
              </w:tc>
              <w:tc>
                <w:tcPr>
                  <w:tcW w:w="3948" w:type="pct"/>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净水厂西北厂界外1m处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1" w:type="pct"/>
                  <w:vAlign w:val="center"/>
                </w:tcPr>
                <w:p>
                  <w:pPr>
                    <w:keepNext w:val="0"/>
                    <w:keepLines w:val="0"/>
                    <w:pageBreakBefore w:val="0"/>
                    <w:kinsoku/>
                    <w:wordWrap/>
                    <w:topLinePunct w:val="0"/>
                    <w:bidi w:val="0"/>
                    <w:spacing w:line="300" w:lineRule="exact"/>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w:t>
                  </w:r>
                </w:p>
              </w:tc>
              <w:tc>
                <w:tcPr>
                  <w:tcW w:w="3948" w:type="pct"/>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净水厂东北厂界外1m处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1" w:type="pct"/>
                  <w:vAlign w:val="center"/>
                </w:tcPr>
                <w:p>
                  <w:pPr>
                    <w:keepNext w:val="0"/>
                    <w:keepLines w:val="0"/>
                    <w:pageBreakBefore w:val="0"/>
                    <w:kinsoku/>
                    <w:wordWrap/>
                    <w:topLinePunct w:val="0"/>
                    <w:bidi w:val="0"/>
                    <w:spacing w:line="300" w:lineRule="exact"/>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p>
              </w:tc>
              <w:tc>
                <w:tcPr>
                  <w:tcW w:w="3948" w:type="pct"/>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净水厂东南厂界外1m处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1" w:type="pct"/>
                  <w:vAlign w:val="center"/>
                </w:tcPr>
                <w:p>
                  <w:pPr>
                    <w:keepNext w:val="0"/>
                    <w:keepLines w:val="0"/>
                    <w:pageBreakBefore w:val="0"/>
                    <w:kinsoku/>
                    <w:wordWrap/>
                    <w:topLinePunct w:val="0"/>
                    <w:bidi w:val="0"/>
                    <w:spacing w:line="300" w:lineRule="exact"/>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w:t>
                  </w:r>
                </w:p>
              </w:tc>
              <w:tc>
                <w:tcPr>
                  <w:tcW w:w="3948" w:type="pct"/>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净水厂西南厂界外1m处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1" w:type="pct"/>
                  <w:vAlign w:val="center"/>
                </w:tcPr>
                <w:p>
                  <w:pPr>
                    <w:keepNext w:val="0"/>
                    <w:keepLines w:val="0"/>
                    <w:pageBreakBefore w:val="0"/>
                    <w:kinsoku/>
                    <w:wordWrap/>
                    <w:topLinePunct w:val="0"/>
                    <w:bidi w:val="0"/>
                    <w:spacing w:line="300" w:lineRule="exact"/>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w:t>
                  </w:r>
                </w:p>
              </w:tc>
              <w:tc>
                <w:tcPr>
                  <w:tcW w:w="3948" w:type="pct"/>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中河取水泵房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1" w:type="pct"/>
                  <w:vAlign w:val="center"/>
                </w:tcPr>
                <w:p>
                  <w:pPr>
                    <w:keepNext w:val="0"/>
                    <w:keepLines w:val="0"/>
                    <w:pageBreakBefore w:val="0"/>
                    <w:kinsoku/>
                    <w:wordWrap/>
                    <w:topLinePunct w:val="0"/>
                    <w:bidi w:val="0"/>
                    <w:spacing w:line="300" w:lineRule="exact"/>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w:t>
                  </w:r>
                </w:p>
              </w:tc>
              <w:tc>
                <w:tcPr>
                  <w:tcW w:w="3948" w:type="pct"/>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厂溪镇中心校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1" w:type="pct"/>
                  <w:vAlign w:val="center"/>
                </w:tcPr>
                <w:p>
                  <w:pPr>
                    <w:keepNext w:val="0"/>
                    <w:keepLines w:val="0"/>
                    <w:pageBreakBefore w:val="0"/>
                    <w:kinsoku/>
                    <w:wordWrap/>
                    <w:topLinePunct w:val="0"/>
                    <w:bidi w:val="0"/>
                    <w:spacing w:line="300" w:lineRule="exact"/>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7#</w:t>
                  </w:r>
                </w:p>
              </w:tc>
              <w:tc>
                <w:tcPr>
                  <w:tcW w:w="3948" w:type="pct"/>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新华镇中心校处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1" w:type="pct"/>
                  <w:vAlign w:val="center"/>
                </w:tcPr>
                <w:p>
                  <w:pPr>
                    <w:keepNext w:val="0"/>
                    <w:keepLines w:val="0"/>
                    <w:pageBreakBefore w:val="0"/>
                    <w:kinsoku/>
                    <w:wordWrap/>
                    <w:topLinePunct w:val="0"/>
                    <w:bidi w:val="0"/>
                    <w:spacing w:line="300" w:lineRule="exact"/>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8#</w:t>
                  </w:r>
                </w:p>
              </w:tc>
              <w:tc>
                <w:tcPr>
                  <w:tcW w:w="3948" w:type="pct"/>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宣汉县新华中学处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1" w:type="pct"/>
                  <w:vAlign w:val="center"/>
                </w:tcPr>
                <w:p>
                  <w:pPr>
                    <w:keepNext w:val="0"/>
                    <w:keepLines w:val="0"/>
                    <w:pageBreakBefore w:val="0"/>
                    <w:kinsoku/>
                    <w:wordWrap/>
                    <w:topLinePunct w:val="0"/>
                    <w:bidi w:val="0"/>
                    <w:spacing w:line="300" w:lineRule="exact"/>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9#</w:t>
                  </w:r>
                </w:p>
              </w:tc>
              <w:tc>
                <w:tcPr>
                  <w:tcW w:w="3948" w:type="pct"/>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石铁乡财政所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1" w:type="pct"/>
                  <w:vAlign w:val="center"/>
                </w:tcPr>
                <w:p>
                  <w:pPr>
                    <w:keepNext w:val="0"/>
                    <w:keepLines w:val="0"/>
                    <w:pageBreakBefore w:val="0"/>
                    <w:kinsoku/>
                    <w:wordWrap/>
                    <w:topLinePunct w:val="0"/>
                    <w:bidi w:val="0"/>
                    <w:spacing w:line="300" w:lineRule="exact"/>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p>
              </w:tc>
              <w:tc>
                <w:tcPr>
                  <w:tcW w:w="3948" w:type="pct"/>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取水点原水管网居民处</w:t>
                  </w:r>
                </w:p>
              </w:tc>
            </w:tr>
          </w:tbl>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②监测时间</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2023年4月21日</w:t>
            </w:r>
            <w:r>
              <w:rPr>
                <w:rFonts w:hint="default" w:ascii="Times New Roman" w:hAnsi="Times New Roman" w:cs="Times New Roman"/>
                <w:color w:val="auto"/>
                <w:sz w:val="24"/>
                <w:szCs w:val="24"/>
                <w:highlight w:val="none"/>
                <w:lang w:eastAsia="zh-CN"/>
              </w:rPr>
              <w:t>，共监测</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天，昼</w:t>
            </w:r>
            <w:r>
              <w:rPr>
                <w:rFonts w:hint="default" w:ascii="Times New Roman" w:hAnsi="Times New Roman" w:cs="Times New Roman"/>
                <w:color w:val="auto"/>
                <w:sz w:val="24"/>
                <w:szCs w:val="24"/>
                <w:highlight w:val="none"/>
                <w:lang w:val="en-US" w:eastAsia="zh-CN"/>
              </w:rPr>
              <w:t>夜各</w:t>
            </w:r>
            <w:r>
              <w:rPr>
                <w:rFonts w:hint="default" w:ascii="Times New Roman" w:hAnsi="Times New Roman" w:cs="Times New Roman"/>
                <w:color w:val="auto"/>
                <w:sz w:val="24"/>
                <w:szCs w:val="24"/>
                <w:highlight w:val="none"/>
                <w:lang w:eastAsia="zh-CN"/>
              </w:rPr>
              <w:t>监测</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次。</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③评价标准</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zh-CN" w:eastAsia="zh-CN"/>
              </w:rPr>
              <w:t>执行《声环境质量标准》（GB3096-2008）</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zh-CN" w:eastAsia="zh-CN"/>
              </w:rPr>
              <w:t>类标准</w:t>
            </w:r>
            <w:r>
              <w:rPr>
                <w:rFonts w:hint="default" w:ascii="Times New Roman" w:hAnsi="Times New Roman" w:cs="Times New Roman"/>
                <w:color w:val="auto"/>
                <w:sz w:val="24"/>
                <w:szCs w:val="24"/>
                <w:highlight w:val="none"/>
                <w:lang w:eastAsia="zh-CN"/>
              </w:rPr>
              <w:t>。</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④评价结果</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区域声环境质量现状</w:t>
            </w:r>
            <w:r>
              <w:rPr>
                <w:rFonts w:hint="default" w:ascii="Times New Roman" w:hAnsi="Times New Roman" w:cs="Times New Roman"/>
                <w:color w:val="auto"/>
                <w:sz w:val="24"/>
                <w:szCs w:val="24"/>
                <w:highlight w:val="none"/>
                <w:lang w:val="en-US" w:eastAsia="zh-CN"/>
              </w:rPr>
              <w:t>监测</w:t>
            </w:r>
            <w:r>
              <w:rPr>
                <w:rFonts w:hint="default" w:ascii="Times New Roman" w:hAnsi="Times New Roman" w:cs="Times New Roman"/>
                <w:color w:val="auto"/>
                <w:sz w:val="24"/>
                <w:szCs w:val="24"/>
                <w:highlight w:val="none"/>
                <w:lang w:eastAsia="zh-CN"/>
              </w:rPr>
              <w:t>结果见表3-</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eastAsia="zh-CN"/>
              </w:rPr>
              <w:t>。</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szCs w:val="21"/>
                <w:highlight w:val="none"/>
                <w:lang w:val="en-US" w:eastAsia="zh-CN"/>
              </w:rPr>
              <w:t>3-5</w:t>
            </w:r>
            <w:r>
              <w:rPr>
                <w:rFonts w:hint="eastAsia" w:ascii="Times New Roman" w:hAnsi="Times New Roman" w:eastAsia="黑体" w:cs="Times New Roman"/>
                <w:color w:val="auto"/>
                <w:szCs w:val="21"/>
                <w:highlight w:val="none"/>
                <w:lang w:val="en-US" w:eastAsia="zh-CN"/>
              </w:rPr>
              <w:t xml:space="preserve"> </w:t>
            </w:r>
            <w:r>
              <w:rPr>
                <w:rFonts w:hint="default" w:ascii="Times New Roman" w:hAnsi="Times New Roman" w:eastAsia="黑体" w:cs="Times New Roman"/>
                <w:color w:val="auto"/>
                <w:szCs w:val="21"/>
                <w:highlight w:val="none"/>
                <w:lang w:val="en-US" w:eastAsia="zh-CN"/>
              </w:rPr>
              <w:t>声环境质量现状评价结果</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3180"/>
              <w:gridCol w:w="1548"/>
              <w:gridCol w:w="817"/>
              <w:gridCol w:w="1493"/>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467" w:type="pct"/>
                  <w:vMerge w:val="restart"/>
                  <w:noWrap w:val="0"/>
                  <w:vAlign w:val="center"/>
                </w:tcPr>
                <w:p>
                  <w:pPr>
                    <w:pStyle w:val="33"/>
                    <w:keepNext w:val="0"/>
                    <w:keepLines w:val="0"/>
                    <w:pageBreakBefore w:val="0"/>
                    <w:kinsoku/>
                    <w:wordWrap/>
                    <w:overflowPunct/>
                    <w:topLinePunct w:val="0"/>
                    <w:autoSpaceDE/>
                    <w:autoSpaceDN/>
                    <w:bidi w:val="0"/>
                    <w:adjustRightInd/>
                    <w:snapToGrid w:val="0"/>
                    <w:spacing w:before="0" w:after="0" w:line="240" w:lineRule="auto"/>
                    <w:ind w:left="0" w:leftChars="0" w:right="0" w:rightChars="0"/>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检测因子</w:t>
                  </w:r>
                </w:p>
              </w:tc>
              <w:tc>
                <w:tcPr>
                  <w:tcW w:w="1834" w:type="pct"/>
                  <w:vMerge w:val="restar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检测点编号及位置</w:t>
                  </w:r>
                </w:p>
              </w:tc>
              <w:tc>
                <w:tcPr>
                  <w:tcW w:w="1364" w:type="pct"/>
                  <w:gridSpan w:val="2"/>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昼间</w:t>
                  </w:r>
                </w:p>
              </w:tc>
              <w:tc>
                <w:tcPr>
                  <w:tcW w:w="1332" w:type="pct"/>
                  <w:gridSpan w:val="2"/>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67" w:type="pct"/>
                  <w:vMerge w:val="continue"/>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b/>
                      <w:color w:val="auto"/>
                      <w:sz w:val="21"/>
                      <w:szCs w:val="21"/>
                      <w:highlight w:val="none"/>
                    </w:rPr>
                  </w:pPr>
                </w:p>
              </w:tc>
              <w:tc>
                <w:tcPr>
                  <w:tcW w:w="1834" w:type="pct"/>
                  <w:vMerge w:val="continue"/>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b/>
                      <w:color w:val="auto"/>
                      <w:sz w:val="21"/>
                      <w:szCs w:val="21"/>
                      <w:highlight w:val="none"/>
                    </w:rPr>
                  </w:pPr>
                </w:p>
              </w:tc>
              <w:tc>
                <w:tcPr>
                  <w:tcW w:w="893"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检测时段</w:t>
                  </w:r>
                </w:p>
              </w:tc>
              <w:tc>
                <w:tcPr>
                  <w:tcW w:w="470"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检测结果</w:t>
                  </w:r>
                </w:p>
              </w:tc>
              <w:tc>
                <w:tcPr>
                  <w:tcW w:w="861"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检测时段</w:t>
                  </w:r>
                </w:p>
              </w:tc>
              <w:tc>
                <w:tcPr>
                  <w:tcW w:w="471"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7" w:type="pct"/>
                  <w:vMerge w:val="restar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snapToGrid w:val="0"/>
                      <w:color w:val="auto"/>
                      <w:sz w:val="21"/>
                      <w:szCs w:val="21"/>
                      <w:highlight w:val="none"/>
                    </w:rPr>
                    <w:t>L</w:t>
                  </w:r>
                  <w:r>
                    <w:rPr>
                      <w:rFonts w:hint="default" w:ascii="Times New Roman" w:hAnsi="Times New Roman" w:cs="Times New Roman"/>
                      <w:snapToGrid w:val="0"/>
                      <w:color w:val="auto"/>
                      <w:sz w:val="21"/>
                      <w:szCs w:val="21"/>
                      <w:highlight w:val="none"/>
                      <w:vertAlign w:val="subscript"/>
                    </w:rPr>
                    <w:t>eq</w:t>
                  </w:r>
                </w:p>
              </w:tc>
              <w:tc>
                <w:tcPr>
                  <w:tcW w:w="1834"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净水厂西北厂界外1m处</w:t>
                  </w:r>
                </w:p>
              </w:tc>
              <w:tc>
                <w:tcPr>
                  <w:tcW w:w="893" w:type="pct"/>
                  <w:noWrap w:val="0"/>
                  <w:vAlign w:val="center"/>
                </w:tcPr>
                <w:p>
                  <w:pPr>
                    <w:pStyle w:val="33"/>
                    <w:keepNext w:val="0"/>
                    <w:keepLines w:val="0"/>
                    <w:pageBreakBefore w:val="0"/>
                    <w:kinsoku/>
                    <w:wordWrap/>
                    <w:overflowPunct/>
                    <w:topLinePunct w:val="0"/>
                    <w:autoSpaceDE/>
                    <w:autoSpaceDN/>
                    <w:bidi w:val="0"/>
                    <w:adjustRightInd/>
                    <w:snapToGrid w:val="0"/>
                    <w:spacing w:before="0" w:after="0"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0</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57</w:t>
                  </w: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07</w:t>
                  </w:r>
                </w:p>
              </w:tc>
              <w:tc>
                <w:tcPr>
                  <w:tcW w:w="470"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w:t>
                  </w:r>
                </w:p>
              </w:tc>
              <w:tc>
                <w:tcPr>
                  <w:tcW w:w="861" w:type="pct"/>
                  <w:noWrap w:val="0"/>
                  <w:vAlign w:val="center"/>
                </w:tcPr>
                <w:p>
                  <w:pPr>
                    <w:pStyle w:val="33"/>
                    <w:keepNext w:val="0"/>
                    <w:keepLines w:val="0"/>
                    <w:pageBreakBefore w:val="0"/>
                    <w:kinsoku/>
                    <w:wordWrap/>
                    <w:overflowPunct/>
                    <w:topLinePunct w:val="0"/>
                    <w:autoSpaceDE/>
                    <w:autoSpaceDN/>
                    <w:bidi w:val="0"/>
                    <w:adjustRightInd/>
                    <w:snapToGrid w:val="0"/>
                    <w:spacing w:before="0" w:after="0" w:line="240" w:lineRule="auto"/>
                    <w:ind w:left="0" w:leftChars="0" w:right="0" w:right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bCs/>
                      <w:color w:val="auto"/>
                      <w:sz w:val="21"/>
                      <w:szCs w:val="21"/>
                      <w:highlight w:val="none"/>
                    </w:rPr>
                    <w:t>22:0</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-22:1</w:t>
                  </w:r>
                  <w:r>
                    <w:rPr>
                      <w:rFonts w:hint="default" w:ascii="Times New Roman" w:hAnsi="Times New Roman" w:cs="Times New Roman"/>
                      <w:bCs/>
                      <w:color w:val="auto"/>
                      <w:sz w:val="21"/>
                      <w:szCs w:val="21"/>
                      <w:highlight w:val="none"/>
                      <w:lang w:val="en-US" w:eastAsia="zh-CN"/>
                    </w:rPr>
                    <w:t>1</w:t>
                  </w:r>
                </w:p>
              </w:tc>
              <w:tc>
                <w:tcPr>
                  <w:tcW w:w="471"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7" w:type="pct"/>
                  <w:vMerge w:val="continue"/>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snapToGrid w:val="0"/>
                      <w:color w:val="auto"/>
                      <w:sz w:val="21"/>
                      <w:szCs w:val="21"/>
                      <w:highlight w:val="none"/>
                    </w:rPr>
                  </w:pPr>
                </w:p>
              </w:tc>
              <w:tc>
                <w:tcPr>
                  <w:tcW w:w="1834"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净水厂东北厂界外1m处</w:t>
                  </w:r>
                </w:p>
              </w:tc>
              <w:tc>
                <w:tcPr>
                  <w:tcW w:w="893"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11</w:t>
                  </w: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21</w:t>
                  </w:r>
                </w:p>
              </w:tc>
              <w:tc>
                <w:tcPr>
                  <w:tcW w:w="470"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53</w:t>
                  </w:r>
                </w:p>
              </w:tc>
              <w:tc>
                <w:tcPr>
                  <w:tcW w:w="861" w:type="pct"/>
                  <w:noWrap w:val="0"/>
                  <w:vAlign w:val="center"/>
                </w:tcPr>
                <w:p>
                  <w:pPr>
                    <w:pStyle w:val="33"/>
                    <w:keepNext w:val="0"/>
                    <w:keepLines w:val="0"/>
                    <w:pageBreakBefore w:val="0"/>
                    <w:kinsoku/>
                    <w:wordWrap/>
                    <w:overflowPunct/>
                    <w:topLinePunct w:val="0"/>
                    <w:autoSpaceDE/>
                    <w:autoSpaceDN/>
                    <w:bidi w:val="0"/>
                    <w:adjustRightInd/>
                    <w:snapToGrid w:val="0"/>
                    <w:spacing w:before="0" w:after="0"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color w:val="auto"/>
                      <w:sz w:val="21"/>
                      <w:szCs w:val="21"/>
                      <w:highlight w:val="none"/>
                    </w:rPr>
                    <w:t>22:</w:t>
                  </w:r>
                  <w:r>
                    <w:rPr>
                      <w:rFonts w:hint="default" w:ascii="Times New Roman" w:hAnsi="Times New Roman" w:cs="Times New Roman"/>
                      <w:bCs/>
                      <w:color w:val="auto"/>
                      <w:sz w:val="21"/>
                      <w:szCs w:val="21"/>
                      <w:highlight w:val="none"/>
                      <w:lang w:val="en-US" w:eastAsia="zh-CN"/>
                    </w:rPr>
                    <w:t>15</w:t>
                  </w:r>
                  <w:r>
                    <w:rPr>
                      <w:rFonts w:hint="default" w:ascii="Times New Roman" w:hAnsi="Times New Roman" w:cs="Times New Roman"/>
                      <w:bCs/>
                      <w:color w:val="auto"/>
                      <w:sz w:val="21"/>
                      <w:szCs w:val="21"/>
                      <w:highlight w:val="none"/>
                    </w:rPr>
                    <w:t>-22:</w:t>
                  </w:r>
                  <w:r>
                    <w:rPr>
                      <w:rFonts w:hint="default" w:ascii="Times New Roman" w:hAnsi="Times New Roman" w:cs="Times New Roman"/>
                      <w:bCs/>
                      <w:color w:val="auto"/>
                      <w:sz w:val="21"/>
                      <w:szCs w:val="21"/>
                      <w:highlight w:val="none"/>
                      <w:lang w:val="en-US" w:eastAsia="zh-CN"/>
                    </w:rPr>
                    <w:t>25</w:t>
                  </w:r>
                </w:p>
              </w:tc>
              <w:tc>
                <w:tcPr>
                  <w:tcW w:w="471"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7" w:type="pct"/>
                  <w:vMerge w:val="continue"/>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snapToGrid w:val="0"/>
                      <w:color w:val="auto"/>
                      <w:sz w:val="21"/>
                      <w:szCs w:val="21"/>
                      <w:highlight w:val="none"/>
                    </w:rPr>
                  </w:pPr>
                </w:p>
              </w:tc>
              <w:tc>
                <w:tcPr>
                  <w:tcW w:w="1834"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净水厂东南厂界外1m处</w:t>
                  </w:r>
                </w:p>
              </w:tc>
              <w:tc>
                <w:tcPr>
                  <w:tcW w:w="893"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27</w:t>
                  </w: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37</w:t>
                  </w:r>
                </w:p>
              </w:tc>
              <w:tc>
                <w:tcPr>
                  <w:tcW w:w="470"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54</w:t>
                  </w:r>
                </w:p>
              </w:tc>
              <w:tc>
                <w:tcPr>
                  <w:tcW w:w="861" w:type="pct"/>
                  <w:noWrap w:val="0"/>
                  <w:vAlign w:val="center"/>
                </w:tcPr>
                <w:p>
                  <w:pPr>
                    <w:pStyle w:val="33"/>
                    <w:keepNext w:val="0"/>
                    <w:keepLines w:val="0"/>
                    <w:pageBreakBefore w:val="0"/>
                    <w:kinsoku/>
                    <w:wordWrap/>
                    <w:overflowPunct/>
                    <w:topLinePunct w:val="0"/>
                    <w:autoSpaceDE/>
                    <w:autoSpaceDN/>
                    <w:bidi w:val="0"/>
                    <w:adjustRightInd/>
                    <w:snapToGrid w:val="0"/>
                    <w:spacing w:before="0" w:after="0"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color w:val="auto"/>
                      <w:sz w:val="21"/>
                      <w:szCs w:val="21"/>
                      <w:highlight w:val="none"/>
                    </w:rPr>
                    <w:t>22:</w:t>
                  </w:r>
                  <w:r>
                    <w:rPr>
                      <w:rFonts w:hint="default" w:ascii="Times New Roman" w:hAnsi="Times New Roman" w:cs="Times New Roman"/>
                      <w:bCs/>
                      <w:color w:val="auto"/>
                      <w:sz w:val="21"/>
                      <w:szCs w:val="21"/>
                      <w:highlight w:val="none"/>
                      <w:lang w:val="en-US" w:eastAsia="zh-CN"/>
                    </w:rPr>
                    <w:t>30</w:t>
                  </w:r>
                  <w:r>
                    <w:rPr>
                      <w:rFonts w:hint="default" w:ascii="Times New Roman" w:hAnsi="Times New Roman" w:cs="Times New Roman"/>
                      <w:bCs/>
                      <w:color w:val="auto"/>
                      <w:sz w:val="21"/>
                      <w:szCs w:val="21"/>
                      <w:highlight w:val="none"/>
                    </w:rPr>
                    <w:t>-22:</w:t>
                  </w:r>
                  <w:r>
                    <w:rPr>
                      <w:rFonts w:hint="default" w:ascii="Times New Roman" w:hAnsi="Times New Roman" w:cs="Times New Roman"/>
                      <w:bCs/>
                      <w:color w:val="auto"/>
                      <w:sz w:val="21"/>
                      <w:szCs w:val="21"/>
                      <w:highlight w:val="none"/>
                      <w:lang w:val="en-US" w:eastAsia="zh-CN"/>
                    </w:rPr>
                    <w:t>40</w:t>
                  </w:r>
                </w:p>
              </w:tc>
              <w:tc>
                <w:tcPr>
                  <w:tcW w:w="471"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7" w:type="pct"/>
                  <w:vMerge w:val="continue"/>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snapToGrid w:val="0"/>
                      <w:color w:val="auto"/>
                      <w:sz w:val="21"/>
                      <w:szCs w:val="21"/>
                      <w:highlight w:val="none"/>
                    </w:rPr>
                  </w:pPr>
                </w:p>
              </w:tc>
              <w:tc>
                <w:tcPr>
                  <w:tcW w:w="1834"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净水厂西南厂界外1m处</w:t>
                  </w:r>
                </w:p>
              </w:tc>
              <w:tc>
                <w:tcPr>
                  <w:tcW w:w="893"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41</w:t>
                  </w: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51</w:t>
                  </w:r>
                </w:p>
              </w:tc>
              <w:tc>
                <w:tcPr>
                  <w:tcW w:w="470"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53</w:t>
                  </w:r>
                </w:p>
              </w:tc>
              <w:tc>
                <w:tcPr>
                  <w:tcW w:w="861" w:type="pct"/>
                  <w:noWrap w:val="0"/>
                  <w:vAlign w:val="center"/>
                </w:tcPr>
                <w:p>
                  <w:pPr>
                    <w:pStyle w:val="33"/>
                    <w:keepNext w:val="0"/>
                    <w:keepLines w:val="0"/>
                    <w:pageBreakBefore w:val="0"/>
                    <w:kinsoku/>
                    <w:wordWrap/>
                    <w:overflowPunct/>
                    <w:topLinePunct w:val="0"/>
                    <w:autoSpaceDE/>
                    <w:autoSpaceDN/>
                    <w:bidi w:val="0"/>
                    <w:adjustRightInd/>
                    <w:snapToGrid w:val="0"/>
                    <w:spacing w:before="0" w:after="0"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color w:val="auto"/>
                      <w:sz w:val="21"/>
                      <w:szCs w:val="21"/>
                      <w:highlight w:val="none"/>
                    </w:rPr>
                    <w:t>22:</w:t>
                  </w:r>
                  <w:r>
                    <w:rPr>
                      <w:rFonts w:hint="default" w:ascii="Times New Roman" w:hAnsi="Times New Roman" w:cs="Times New Roman"/>
                      <w:bCs/>
                      <w:color w:val="auto"/>
                      <w:sz w:val="21"/>
                      <w:szCs w:val="21"/>
                      <w:highlight w:val="none"/>
                      <w:lang w:val="en-US" w:eastAsia="zh-CN"/>
                    </w:rPr>
                    <w:t>44</w:t>
                  </w:r>
                  <w:r>
                    <w:rPr>
                      <w:rFonts w:hint="default" w:ascii="Times New Roman" w:hAnsi="Times New Roman" w:cs="Times New Roman"/>
                      <w:bCs/>
                      <w:color w:val="auto"/>
                      <w:sz w:val="21"/>
                      <w:szCs w:val="21"/>
                      <w:highlight w:val="none"/>
                    </w:rPr>
                    <w:t>-22:</w:t>
                  </w:r>
                  <w:r>
                    <w:rPr>
                      <w:rFonts w:hint="default" w:ascii="Times New Roman" w:hAnsi="Times New Roman" w:cs="Times New Roman"/>
                      <w:bCs/>
                      <w:color w:val="auto"/>
                      <w:sz w:val="21"/>
                      <w:szCs w:val="21"/>
                      <w:highlight w:val="none"/>
                      <w:lang w:val="en-US" w:eastAsia="zh-CN"/>
                    </w:rPr>
                    <w:t>54</w:t>
                  </w:r>
                </w:p>
              </w:tc>
              <w:tc>
                <w:tcPr>
                  <w:tcW w:w="471"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7" w:type="pct"/>
                  <w:vMerge w:val="continue"/>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snapToGrid w:val="0"/>
                      <w:color w:val="auto"/>
                      <w:sz w:val="21"/>
                      <w:szCs w:val="21"/>
                      <w:highlight w:val="none"/>
                    </w:rPr>
                  </w:pPr>
                </w:p>
              </w:tc>
              <w:tc>
                <w:tcPr>
                  <w:tcW w:w="1834"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中河取水泵房</w:t>
                  </w:r>
                </w:p>
              </w:tc>
              <w:tc>
                <w:tcPr>
                  <w:tcW w:w="893"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03</w:t>
                  </w: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13</w:t>
                  </w:r>
                </w:p>
              </w:tc>
              <w:tc>
                <w:tcPr>
                  <w:tcW w:w="470"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w:t>
                  </w:r>
                </w:p>
              </w:tc>
              <w:tc>
                <w:tcPr>
                  <w:tcW w:w="861" w:type="pct"/>
                  <w:noWrap w:val="0"/>
                  <w:vAlign w:val="center"/>
                </w:tcPr>
                <w:p>
                  <w:pPr>
                    <w:pStyle w:val="33"/>
                    <w:keepNext w:val="0"/>
                    <w:keepLines w:val="0"/>
                    <w:pageBreakBefore w:val="0"/>
                    <w:kinsoku/>
                    <w:wordWrap/>
                    <w:overflowPunct/>
                    <w:topLinePunct w:val="0"/>
                    <w:autoSpaceDE/>
                    <w:autoSpaceDN/>
                    <w:bidi w:val="0"/>
                    <w:adjustRightInd/>
                    <w:snapToGrid w:val="0"/>
                    <w:spacing w:before="0" w:after="0" w:line="240" w:lineRule="auto"/>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bCs/>
                      <w:color w:val="auto"/>
                      <w:sz w:val="21"/>
                      <w:szCs w:val="21"/>
                      <w:highlight w:val="none"/>
                    </w:rPr>
                    <w:t>2</w:t>
                  </w:r>
                  <w:r>
                    <w:rPr>
                      <w:rFonts w:hint="default" w:ascii="Times New Roman" w:hAnsi="Times New Roman"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04</w:t>
                  </w:r>
                  <w:r>
                    <w:rPr>
                      <w:rFonts w:hint="default" w:ascii="Times New Roman" w:hAnsi="Times New Roman" w:cs="Times New Roman"/>
                      <w:bCs/>
                      <w:color w:val="auto"/>
                      <w:sz w:val="21"/>
                      <w:szCs w:val="21"/>
                      <w:highlight w:val="none"/>
                    </w:rPr>
                    <w:t>-2</w:t>
                  </w:r>
                  <w:r>
                    <w:rPr>
                      <w:rFonts w:hint="default" w:ascii="Times New Roman" w:hAnsi="Times New Roman"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14</w:t>
                  </w:r>
                </w:p>
              </w:tc>
              <w:tc>
                <w:tcPr>
                  <w:tcW w:w="471"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7" w:type="pct"/>
                  <w:vMerge w:val="continue"/>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snapToGrid w:val="0"/>
                      <w:color w:val="auto"/>
                      <w:sz w:val="21"/>
                      <w:szCs w:val="21"/>
                      <w:highlight w:val="none"/>
                    </w:rPr>
                  </w:pPr>
                </w:p>
              </w:tc>
              <w:tc>
                <w:tcPr>
                  <w:tcW w:w="1834"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厂溪镇中心校</w:t>
                  </w:r>
                </w:p>
              </w:tc>
              <w:tc>
                <w:tcPr>
                  <w:tcW w:w="893"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0</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54</w:t>
                  </w: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04</w:t>
                  </w:r>
                </w:p>
              </w:tc>
              <w:tc>
                <w:tcPr>
                  <w:tcW w:w="470"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54</w:t>
                  </w:r>
                </w:p>
              </w:tc>
              <w:tc>
                <w:tcPr>
                  <w:tcW w:w="861" w:type="pct"/>
                  <w:noWrap w:val="0"/>
                  <w:vAlign w:val="center"/>
                </w:tcPr>
                <w:p>
                  <w:pPr>
                    <w:pStyle w:val="33"/>
                    <w:keepNext w:val="0"/>
                    <w:keepLines w:val="0"/>
                    <w:pageBreakBefore w:val="0"/>
                    <w:kinsoku/>
                    <w:wordWrap/>
                    <w:overflowPunct/>
                    <w:topLinePunct w:val="0"/>
                    <w:autoSpaceDE/>
                    <w:autoSpaceDN/>
                    <w:bidi w:val="0"/>
                    <w:adjustRightInd/>
                    <w:snapToGrid w:val="0"/>
                    <w:spacing w:before="0" w:after="0" w:line="240" w:lineRule="auto"/>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bCs/>
                      <w:color w:val="auto"/>
                      <w:sz w:val="21"/>
                      <w:szCs w:val="21"/>
                      <w:highlight w:val="none"/>
                    </w:rPr>
                    <w:t>2</w:t>
                  </w:r>
                  <w:r>
                    <w:rPr>
                      <w:rFonts w:hint="default" w:ascii="Times New Roman" w:hAnsi="Times New Roman"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01</w:t>
                  </w:r>
                  <w:r>
                    <w:rPr>
                      <w:rFonts w:hint="default" w:ascii="Times New Roman" w:hAnsi="Times New Roman" w:cs="Times New Roman"/>
                      <w:bCs/>
                      <w:color w:val="auto"/>
                      <w:sz w:val="21"/>
                      <w:szCs w:val="21"/>
                      <w:highlight w:val="none"/>
                    </w:rPr>
                    <w:t>-2</w:t>
                  </w:r>
                  <w:r>
                    <w:rPr>
                      <w:rFonts w:hint="default" w:ascii="Times New Roman" w:hAnsi="Times New Roman"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11</w:t>
                  </w:r>
                </w:p>
              </w:tc>
              <w:tc>
                <w:tcPr>
                  <w:tcW w:w="471"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7" w:type="pct"/>
                  <w:vMerge w:val="continue"/>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snapToGrid w:val="0"/>
                      <w:color w:val="auto"/>
                      <w:sz w:val="21"/>
                      <w:szCs w:val="21"/>
                      <w:highlight w:val="none"/>
                    </w:rPr>
                  </w:pPr>
                </w:p>
              </w:tc>
              <w:tc>
                <w:tcPr>
                  <w:tcW w:w="1834"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新华镇中心校处</w:t>
                  </w:r>
                </w:p>
              </w:tc>
              <w:tc>
                <w:tcPr>
                  <w:tcW w:w="893"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29</w:t>
                  </w: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39</w:t>
                  </w:r>
                </w:p>
              </w:tc>
              <w:tc>
                <w:tcPr>
                  <w:tcW w:w="470"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53</w:t>
                  </w:r>
                </w:p>
              </w:tc>
              <w:tc>
                <w:tcPr>
                  <w:tcW w:w="861"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jc w:val="center"/>
                    <w:rPr>
                      <w:rFonts w:hint="default" w:ascii="Times New Roman" w:hAnsi="Times New Roman" w:cs="Times New Roman"/>
                      <w:bCs/>
                      <w:color w:val="auto"/>
                      <w:sz w:val="21"/>
                      <w:szCs w:val="21"/>
                      <w:highlight w:val="none"/>
                      <w:lang w:val="en-US"/>
                    </w:rPr>
                  </w:pPr>
                  <w:r>
                    <w:rPr>
                      <w:rFonts w:hint="default" w:ascii="Times New Roman" w:hAnsi="Times New Roman" w:cs="Times New Roman"/>
                      <w:bCs/>
                      <w:color w:val="auto"/>
                      <w:sz w:val="21"/>
                      <w:szCs w:val="21"/>
                      <w:highlight w:val="none"/>
                    </w:rPr>
                    <w:t>2</w:t>
                  </w:r>
                  <w:r>
                    <w:rPr>
                      <w:rFonts w:hint="default" w:ascii="Times New Roman" w:hAnsi="Times New Roman"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22</w:t>
                  </w:r>
                  <w:r>
                    <w:rPr>
                      <w:rFonts w:hint="default" w:ascii="Times New Roman" w:hAnsi="Times New Roman" w:cs="Times New Roman"/>
                      <w:bCs/>
                      <w:color w:val="auto"/>
                      <w:sz w:val="21"/>
                      <w:szCs w:val="21"/>
                      <w:highlight w:val="none"/>
                    </w:rPr>
                    <w:t>-2</w:t>
                  </w:r>
                  <w:r>
                    <w:rPr>
                      <w:rFonts w:hint="default" w:ascii="Times New Roman" w:hAnsi="Times New Roman"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32</w:t>
                  </w:r>
                </w:p>
              </w:tc>
              <w:tc>
                <w:tcPr>
                  <w:tcW w:w="471"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7" w:type="pct"/>
                  <w:vMerge w:val="continue"/>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snapToGrid w:val="0"/>
                      <w:color w:val="auto"/>
                      <w:sz w:val="21"/>
                      <w:szCs w:val="21"/>
                      <w:highlight w:val="none"/>
                    </w:rPr>
                  </w:pPr>
                </w:p>
              </w:tc>
              <w:tc>
                <w:tcPr>
                  <w:tcW w:w="1834"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宣汉县新华中学处</w:t>
                  </w:r>
                </w:p>
              </w:tc>
              <w:tc>
                <w:tcPr>
                  <w:tcW w:w="893"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bCs/>
                      <w:color w:val="auto"/>
                      <w:sz w:val="21"/>
                      <w:szCs w:val="21"/>
                      <w:highlight w:val="none"/>
                      <w:lang w:val="en-US"/>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13</w:t>
                  </w: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23</w:t>
                  </w:r>
                </w:p>
              </w:tc>
              <w:tc>
                <w:tcPr>
                  <w:tcW w:w="470"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52</w:t>
                  </w:r>
                </w:p>
              </w:tc>
              <w:tc>
                <w:tcPr>
                  <w:tcW w:w="861"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jc w:val="center"/>
                    <w:rPr>
                      <w:rFonts w:hint="default" w:ascii="Times New Roman" w:hAnsi="Times New Roman" w:cs="Times New Roman"/>
                      <w:bCs/>
                      <w:color w:val="auto"/>
                      <w:sz w:val="21"/>
                      <w:szCs w:val="21"/>
                      <w:highlight w:val="none"/>
                      <w:lang w:val="en-US"/>
                    </w:rPr>
                  </w:pPr>
                  <w:r>
                    <w:rPr>
                      <w:rFonts w:hint="default" w:ascii="Times New Roman" w:hAnsi="Times New Roman" w:cs="Times New Roman"/>
                      <w:bCs/>
                      <w:color w:val="auto"/>
                      <w:sz w:val="21"/>
                      <w:szCs w:val="21"/>
                      <w:highlight w:val="none"/>
                    </w:rPr>
                    <w:t>2</w:t>
                  </w:r>
                  <w:r>
                    <w:rPr>
                      <w:rFonts w:hint="default" w:ascii="Times New Roman" w:hAnsi="Times New Roman"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38</w:t>
                  </w:r>
                  <w:r>
                    <w:rPr>
                      <w:rFonts w:hint="default" w:ascii="Times New Roman" w:hAnsi="Times New Roman" w:cs="Times New Roman"/>
                      <w:bCs/>
                      <w:color w:val="auto"/>
                      <w:sz w:val="21"/>
                      <w:szCs w:val="21"/>
                      <w:highlight w:val="none"/>
                    </w:rPr>
                    <w:t>-2</w:t>
                  </w:r>
                  <w:r>
                    <w:rPr>
                      <w:rFonts w:hint="default" w:ascii="Times New Roman" w:hAnsi="Times New Roman"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48</w:t>
                  </w:r>
                </w:p>
              </w:tc>
              <w:tc>
                <w:tcPr>
                  <w:tcW w:w="471"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7" w:type="pct"/>
                  <w:vMerge w:val="continue"/>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snapToGrid w:val="0"/>
                      <w:color w:val="auto"/>
                      <w:sz w:val="21"/>
                      <w:szCs w:val="21"/>
                      <w:highlight w:val="none"/>
                    </w:rPr>
                  </w:pPr>
                </w:p>
              </w:tc>
              <w:tc>
                <w:tcPr>
                  <w:tcW w:w="1834"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石铁乡财政所</w:t>
                  </w:r>
                </w:p>
              </w:tc>
              <w:tc>
                <w:tcPr>
                  <w:tcW w:w="893"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bCs/>
                      <w:color w:val="auto"/>
                      <w:sz w:val="21"/>
                      <w:szCs w:val="21"/>
                      <w:highlight w:val="none"/>
                      <w:lang w:val="en-US"/>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55</w:t>
                  </w: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05</w:t>
                  </w:r>
                </w:p>
              </w:tc>
              <w:tc>
                <w:tcPr>
                  <w:tcW w:w="470"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51</w:t>
                  </w:r>
                </w:p>
              </w:tc>
              <w:tc>
                <w:tcPr>
                  <w:tcW w:w="861"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jc w:val="center"/>
                    <w:rPr>
                      <w:rFonts w:hint="default" w:ascii="Times New Roman" w:hAnsi="Times New Roman" w:cs="Times New Roman"/>
                      <w:bCs/>
                      <w:color w:val="auto"/>
                      <w:sz w:val="21"/>
                      <w:szCs w:val="21"/>
                      <w:highlight w:val="none"/>
                      <w:lang w:val="en-US"/>
                    </w:rPr>
                  </w:pPr>
                  <w:r>
                    <w:rPr>
                      <w:rFonts w:hint="default" w:ascii="Times New Roman" w:hAnsi="Times New Roman" w:cs="Times New Roman"/>
                      <w:bCs/>
                      <w:color w:val="auto"/>
                      <w:sz w:val="21"/>
                      <w:szCs w:val="21"/>
                      <w:highlight w:val="none"/>
                    </w:rPr>
                    <w:t>2</w:t>
                  </w:r>
                  <w:r>
                    <w:rPr>
                      <w:rFonts w:hint="default" w:ascii="Times New Roman" w:hAnsi="Times New Roman"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00</w:t>
                  </w:r>
                  <w:r>
                    <w:rPr>
                      <w:rFonts w:hint="default" w:ascii="Times New Roman" w:hAnsi="Times New Roman" w:cs="Times New Roman"/>
                      <w:bCs/>
                      <w:color w:val="auto"/>
                      <w:sz w:val="21"/>
                      <w:szCs w:val="21"/>
                      <w:highlight w:val="none"/>
                    </w:rPr>
                    <w:t>-2</w:t>
                  </w:r>
                  <w:r>
                    <w:rPr>
                      <w:rFonts w:hint="default" w:ascii="Times New Roman" w:hAnsi="Times New Roman"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00</w:t>
                  </w:r>
                </w:p>
              </w:tc>
              <w:tc>
                <w:tcPr>
                  <w:tcW w:w="471"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7" w:type="pct"/>
                  <w:vMerge w:val="continue"/>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snapToGrid w:val="0"/>
                      <w:color w:val="auto"/>
                      <w:sz w:val="21"/>
                      <w:szCs w:val="21"/>
                      <w:highlight w:val="none"/>
                    </w:rPr>
                  </w:pPr>
                </w:p>
              </w:tc>
              <w:tc>
                <w:tcPr>
                  <w:tcW w:w="1834"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取水点原水管网居民处</w:t>
                  </w:r>
                </w:p>
              </w:tc>
              <w:tc>
                <w:tcPr>
                  <w:tcW w:w="893" w:type="pct"/>
                  <w:noWrap w:val="0"/>
                  <w:vAlign w:val="center"/>
                </w:tcPr>
                <w:p>
                  <w:pPr>
                    <w:keepNext w:val="0"/>
                    <w:keepLines w:val="0"/>
                    <w:pageBreakBefore w:val="0"/>
                    <w:kinsoku/>
                    <w:wordWrap/>
                    <w:overflowPunct/>
                    <w:topLinePunct w:val="0"/>
                    <w:autoSpaceDE/>
                    <w:autoSpaceDN/>
                    <w:bidi w:val="0"/>
                    <w:adjustRightInd/>
                    <w:spacing w:line="240" w:lineRule="auto"/>
                    <w:ind w:left="0" w:leftChars="0" w:right="0" w:rightChars="0"/>
                    <w:jc w:val="center"/>
                    <w:rPr>
                      <w:rFonts w:hint="default" w:ascii="Times New Roman" w:hAnsi="Times New Roman" w:cs="Times New Roman"/>
                      <w:bCs/>
                      <w:color w:val="auto"/>
                      <w:sz w:val="21"/>
                      <w:szCs w:val="21"/>
                      <w:highlight w:val="none"/>
                      <w:lang w:val="en-US"/>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20</w:t>
                  </w: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30</w:t>
                  </w:r>
                </w:p>
              </w:tc>
              <w:tc>
                <w:tcPr>
                  <w:tcW w:w="470"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53</w:t>
                  </w:r>
                </w:p>
              </w:tc>
              <w:tc>
                <w:tcPr>
                  <w:tcW w:w="861" w:type="pct"/>
                  <w:noWrap w:val="0"/>
                  <w:vAlign w:val="center"/>
                </w:tcPr>
                <w:p>
                  <w:pPr>
                    <w:pStyle w:val="33"/>
                    <w:keepNext w:val="0"/>
                    <w:keepLines w:val="0"/>
                    <w:pageBreakBefore w:val="0"/>
                    <w:kinsoku/>
                    <w:wordWrap/>
                    <w:overflowPunct/>
                    <w:topLinePunct w:val="0"/>
                    <w:autoSpaceDE/>
                    <w:autoSpaceDN/>
                    <w:bidi w:val="0"/>
                    <w:adjustRightInd/>
                    <w:snapToGrid w:val="0"/>
                    <w:spacing w:before="0" w:after="0" w:line="240" w:lineRule="auto"/>
                    <w:ind w:left="0" w:leftChars="0" w:right="0" w:rightChars="0"/>
                    <w:rPr>
                      <w:rFonts w:hint="default" w:ascii="Times New Roman" w:hAnsi="Times New Roman" w:cs="Times New Roman"/>
                      <w:bCs/>
                      <w:color w:val="auto"/>
                      <w:sz w:val="21"/>
                      <w:szCs w:val="21"/>
                      <w:highlight w:val="none"/>
                      <w:lang w:val="en-US"/>
                    </w:rPr>
                  </w:pPr>
                  <w:r>
                    <w:rPr>
                      <w:rFonts w:hint="default" w:ascii="Times New Roman" w:hAnsi="Times New Roman" w:cs="Times New Roman"/>
                      <w:bCs/>
                      <w:color w:val="auto"/>
                      <w:sz w:val="21"/>
                      <w:szCs w:val="21"/>
                      <w:highlight w:val="none"/>
                    </w:rPr>
                    <w:t>2</w:t>
                  </w:r>
                  <w:r>
                    <w:rPr>
                      <w:rFonts w:hint="default" w:ascii="Times New Roman" w:hAnsi="Times New Roman"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18</w:t>
                  </w:r>
                  <w:r>
                    <w:rPr>
                      <w:rFonts w:hint="default" w:ascii="Times New Roman" w:hAnsi="Times New Roman" w:cs="Times New Roman"/>
                      <w:bCs/>
                      <w:color w:val="auto"/>
                      <w:sz w:val="21"/>
                      <w:szCs w:val="21"/>
                      <w:highlight w:val="none"/>
                    </w:rPr>
                    <w:t>-2</w:t>
                  </w:r>
                  <w:r>
                    <w:rPr>
                      <w:rFonts w:hint="default" w:ascii="Times New Roman" w:hAnsi="Times New Roman"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28</w:t>
                  </w:r>
                </w:p>
              </w:tc>
              <w:tc>
                <w:tcPr>
                  <w:tcW w:w="471" w:type="pct"/>
                  <w:noWrap w:val="0"/>
                  <w:vAlign w:val="center"/>
                </w:tcPr>
                <w:p>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42</w:t>
                  </w:r>
                </w:p>
              </w:tc>
            </w:tr>
          </w:tbl>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结果表明，区域各监测点噪声值均达到《声环境质量标准》（GB3096-2008）</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类标准，区域声环境质量良好。</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地下水环境现状</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根据《环境影响评价技术导则地下水环境》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HJ610-2016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附录A（规范性附录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地下水环境影响评价行业分类表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的划分，本项目对应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U城镇基础设施及房地产-143自来水生产和供应工程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全部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类别，为报告表，属于地下水环境影响评价项目类别中的</w:t>
            </w:r>
            <w:r>
              <w:rPr>
                <w:rFonts w:hint="default" w:ascii="Times New Roman" w:hAnsi="Times New Roman" w:eastAsia="宋体" w:cs="Times New Roman"/>
                <w:color w:val="auto"/>
                <w:sz w:val="24"/>
                <w:szCs w:val="24"/>
                <w:highlight w:val="none"/>
                <w:lang w:val="en-US" w:eastAsia="zh-CN"/>
              </w:rPr>
              <w:t>Ⅳ</w:t>
            </w:r>
            <w:r>
              <w:rPr>
                <w:rFonts w:hint="default" w:ascii="Times New Roman" w:hAnsi="Times New Roman" w:eastAsia="宋体" w:cs="Times New Roman"/>
                <w:color w:val="auto"/>
                <w:sz w:val="24"/>
                <w:szCs w:val="24"/>
                <w:highlight w:val="none"/>
              </w:rPr>
              <w:t>类，可不开展地下水环境影响评价工作。</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5、土壤环境现状</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根据《环境影响评价技术导则土壤环境（试行）》（HJ964-2018）附录A，本项目属于其他行业，土壤环境影响评价项目类别为Ⅳ类，可不开展土壤环境影响评价。</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6、生态环境质量现状分析</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本项目供水厂位于新华镇场镇东北侧巴山大峡谷快速通道旁，已取得合法手续；管网新增临时用地，占用道路沿线用地，主要有交通用地、耕地等。</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（1）陆生生态</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根据调查了解，项目所属区域植物以农田、灌木杂草为主，覆盖率约90%。评价区内未发现国家重点保护野生植物。同时，经收集资料和实地调查核实，评价区内无古树名木分布。项目所在区域动物主要为常见家畜。项目区未发现属国家保护的处于野生状态的濒危珍稀动植物，其他野生兽类动物也极少见。项目所属区域未发现特殊文物保护单位、风景名胜区、重点文物及名胜古迹、生态敏感与珍稀野生动植物栖息地等环境保护敏感目标。</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（2）水生生态</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本项目取水点位于</w:t>
            </w:r>
            <w:r>
              <w:rPr>
                <w:rFonts w:hint="default" w:ascii="Times New Roman" w:hAnsi="Times New Roman" w:cs="Times New Roman"/>
                <w:color w:val="auto"/>
                <w:sz w:val="24"/>
                <w:szCs w:val="24"/>
                <w:highlight w:val="none"/>
                <w:lang w:val="en-US" w:eastAsia="zh-CN"/>
              </w:rPr>
              <w:t>新华场镇东北侧上游中河右岸</w:t>
            </w:r>
            <w:r>
              <w:rPr>
                <w:rFonts w:hint="default" w:ascii="Times New Roman" w:hAnsi="Times New Roman" w:cs="Times New Roman"/>
                <w:b w:val="0"/>
                <w:bCs w:val="0"/>
                <w:color w:val="auto"/>
                <w:sz w:val="24"/>
                <w:szCs w:val="24"/>
                <w:highlight w:val="none"/>
                <w:lang w:val="en-US" w:eastAsia="zh-CN"/>
              </w:rPr>
              <w:t>，评价范围涉及的水体为</w:t>
            </w:r>
            <w:r>
              <w:rPr>
                <w:rFonts w:hint="default" w:ascii="Times New Roman" w:hAnsi="Times New Roman" w:cs="Times New Roman"/>
                <w:color w:val="auto"/>
                <w:sz w:val="24"/>
                <w:szCs w:val="24"/>
                <w:highlight w:val="none"/>
                <w:lang w:val="en-US" w:eastAsia="zh-CN"/>
              </w:rPr>
              <w:t>中河</w:t>
            </w:r>
            <w:r>
              <w:rPr>
                <w:rFonts w:hint="default" w:ascii="Times New Roman" w:hAnsi="Times New Roman" w:cs="Times New Roman"/>
                <w:b w:val="0"/>
                <w:bCs w:val="0"/>
                <w:color w:val="auto"/>
                <w:sz w:val="24"/>
                <w:szCs w:val="24"/>
                <w:highlight w:val="none"/>
                <w:lang w:val="en-US" w:eastAsia="zh-CN"/>
              </w:rPr>
              <w:t>，根据现场调查及查阅资料，取水口水生生态现状如下：</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eastAsia"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取水口水域中含有硅藻门种类较多，绿藻门、蓝藻门次之，黄藻门种类最少，浮游植物优势种类为桥弯藻属和舟形藻属，常见种类有新月桥弯藻、短小舟形藻、二头舟形藻和极细舟形藻等种类。从组成上看，硅藻类占优势，为典型的山区河流型浮油藻类群落。项目区域浮游动物共采集到3类9种，其中原生动物3种（针棘匣壳虫、普通表壳虫、大草履虫）、轮虫4种（长三肢轮虫、壶状臂尾轮虫、角突臂尾轮虫、萼花臂尾轮虫）、枝角类2种（肋纹平直溞、矩形尖额溞）。底栖动物共采集到2类10种，其中软体动物2种（中国圆田螺、折叠萝卜螺）、节肢动物8种（锯齿华溪蟹、箭蜓、扁蜉、四节蜉、石蝇、二翼蜉、内摇蚊、小裳蜉）。河流内分布的鱼类有17种和亚种，隶属于3目6科17属，鲤形目为主要类群，有2科12属12种和亚种（鳅科：副鳅属红尾副鳅、泥鳅属泥鳅，鲤科：鱲属宽鳍鱲、马口鱼属马口鱼、光唇鱼属宽口光唇鱼、红鲌属翘嘴红鲌、餐属餐、倒刺鲃属中华倒刺鲃、华鲮属华鲮、裂腹鱼属齐口裂腹鱼、鲤属鲤、鲫属鲫），鲇形目2科3属3种（鲇科：鲇属鲇、鲿科：鳠属大鳍鳠、黄颡鱼属瓦氏黄颡鱼），鲈形目2科2属2种（鲻科：鳜属斑鳜、鳢科：鳢属乌鳢）；底栖无脊椎动物分布较多，主要分布鱼类有鲤、鲫、鲇、中华倒刺鲃、宽口光唇鱼、马口鱼和宽鳍鱲等鱼类，无国家I、Ⅱ级重点保护鱼类，没有被《中国动物红皮书鱼类》收录鱼类。经现场踏勘取水口上下游1km范围内无上述</w:t>
            </w:r>
            <w:r>
              <w:rPr>
                <w:rFonts w:hint="eastAsia" w:ascii="Times New Roman" w:hAnsi="Times New Roman" w:cs="Times New Roman"/>
                <w:b w:val="0"/>
                <w:bCs w:val="0"/>
                <w:color w:val="auto"/>
                <w:sz w:val="24"/>
                <w:szCs w:val="24"/>
                <w:highlight w:val="none"/>
                <w:lang w:val="en-US" w:eastAsia="zh-CN"/>
              </w:rPr>
              <w:t>珍稀</w:t>
            </w:r>
            <w:r>
              <w:rPr>
                <w:rFonts w:hint="default" w:ascii="Times New Roman" w:hAnsi="Times New Roman" w:cs="Times New Roman"/>
                <w:b w:val="0"/>
                <w:bCs w:val="0"/>
                <w:color w:val="auto"/>
                <w:sz w:val="24"/>
                <w:szCs w:val="24"/>
                <w:highlight w:val="none"/>
                <w:lang w:val="en-US" w:eastAsia="zh-CN"/>
              </w:rPr>
              <w:t>鱼类“三场”及洄游通道和其他受保护的水生生物，不涉及水生生物敏感区</w:t>
            </w:r>
            <w:r>
              <w:rPr>
                <w:rFonts w:hint="eastAsia" w:ascii="Times New Roman" w:hAnsi="Times New Roman" w:cs="Times New Roman"/>
                <w:b w:val="0"/>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cs="Times New Roman"/>
                <w:b w:val="0"/>
                <w:bCs w:val="0"/>
                <w:color w:val="auto"/>
                <w:sz w:val="24"/>
                <w:szCs w:val="24"/>
                <w:highlight w:val="none"/>
                <w:lang w:val="en-US" w:eastAsia="zh-CN"/>
              </w:rPr>
              <w:t>综上，</w:t>
            </w:r>
            <w:r>
              <w:rPr>
                <w:rFonts w:hint="eastAsia" w:ascii="Times New Roman" w:hAnsi="Times New Roman" w:eastAsia="宋体" w:cs="Times New Roman"/>
                <w:color w:val="auto"/>
                <w:sz w:val="24"/>
                <w:szCs w:val="24"/>
                <w:highlight w:val="none"/>
                <w:lang w:val="en-US" w:eastAsia="zh-CN"/>
              </w:rPr>
              <w:t>项目取水点水域现状不具备产卵场、越冬场和索饵场的条件。取水点周围上下游1km范围内无珍稀鱼类“三场”及回游通道和其他受保护的水生生物，不涉及水生生物敏感区。</w:t>
            </w:r>
            <w:r>
              <w:rPr>
                <w:rFonts w:hint="default" w:ascii="Times New Roman" w:hAnsi="Times New Roman" w:cs="Times New Roman"/>
                <w:color w:val="auto"/>
                <w:sz w:val="24"/>
                <w:szCs w:val="24"/>
                <w:highlight w:val="none"/>
              </w:rPr>
              <w:t>项目</w:t>
            </w:r>
            <w:r>
              <w:rPr>
                <w:rFonts w:hint="eastAsia" w:cs="Times New Roman"/>
                <w:color w:val="auto"/>
                <w:sz w:val="24"/>
                <w:szCs w:val="24"/>
                <w:highlight w:val="none"/>
                <w:lang w:val="en-US" w:eastAsia="zh-CN"/>
              </w:rPr>
              <w:t>供水厂、取水泵房、输水管线等</w:t>
            </w:r>
            <w:r>
              <w:rPr>
                <w:rFonts w:hint="default" w:ascii="Times New Roman" w:hAnsi="Times New Roman" w:cs="Times New Roman"/>
                <w:color w:val="auto"/>
                <w:sz w:val="24"/>
                <w:szCs w:val="24"/>
                <w:highlight w:val="none"/>
              </w:rPr>
              <w:t>所在区域生态环境质量一般</w:t>
            </w:r>
            <w:r>
              <w:rPr>
                <w:rFonts w:hint="eastAsia" w:cs="Times New Roman"/>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6" w:type="dxa"/>
            <w:vAlign w:val="center"/>
          </w:tcPr>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环境保护目标</w:t>
            </w:r>
          </w:p>
        </w:tc>
        <w:tc>
          <w:tcPr>
            <w:tcW w:w="8893" w:type="dxa"/>
            <w:vAlign w:val="center"/>
          </w:tcPr>
          <w:p>
            <w:pPr>
              <w:keepNext w:val="0"/>
              <w:keepLines w:val="0"/>
              <w:pageBreakBefore w:val="0"/>
              <w:suppressLineNumbers w:val="0"/>
              <w:kinsoku/>
              <w:wordWrap/>
              <w:topLinePunct w:val="0"/>
              <w:bidi w:val="0"/>
              <w:spacing w:beforeAutospacing="0" w:afterAutospacing="0" w:line="360" w:lineRule="auto"/>
              <w:ind w:left="0" w:leftChars="0" w:right="0" w:firstLine="361" w:firstLineChars="15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w:t>
            </w:r>
            <w:r>
              <w:rPr>
                <w:rFonts w:hint="default" w:ascii="Times New Roman" w:hAnsi="Times New Roman" w:cs="Times New Roman"/>
                <w:b/>
                <w:color w:val="auto"/>
                <w:sz w:val="24"/>
                <w:szCs w:val="24"/>
                <w:highlight w:val="none"/>
                <w:lang w:eastAsia="zh-CN"/>
              </w:rPr>
              <w:t>、</w:t>
            </w:r>
            <w:r>
              <w:rPr>
                <w:rFonts w:hint="default" w:ascii="Times New Roman" w:hAnsi="Times New Roman" w:cs="Times New Roman"/>
                <w:b/>
                <w:color w:val="auto"/>
                <w:sz w:val="24"/>
                <w:szCs w:val="24"/>
                <w:highlight w:val="none"/>
              </w:rPr>
              <w:t>大气环境</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本项目大气环境保护目标见下表。</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表3-</w:t>
            </w:r>
            <w:r>
              <w:rPr>
                <w:rFonts w:hint="eastAsia" w:ascii="Times New Roman" w:hAnsi="Times New Roman" w:eastAsia="黑体" w:cs="Times New Roman"/>
                <w:color w:val="auto"/>
                <w:szCs w:val="21"/>
                <w:highlight w:val="none"/>
                <w:lang w:val="en-US" w:eastAsia="zh-CN"/>
              </w:rPr>
              <w:t xml:space="preserve">6 </w:t>
            </w:r>
            <w:r>
              <w:rPr>
                <w:rFonts w:hint="default" w:ascii="Times New Roman" w:hAnsi="Times New Roman" w:eastAsia="黑体" w:cs="Times New Roman"/>
                <w:color w:val="auto"/>
                <w:szCs w:val="21"/>
                <w:highlight w:val="none"/>
                <w:lang w:val="en-US" w:eastAsia="zh-CN"/>
              </w:rPr>
              <w:t>项目</w:t>
            </w:r>
            <w:r>
              <w:rPr>
                <w:rFonts w:hint="default" w:ascii="Times New Roman" w:hAnsi="Times New Roman" w:eastAsia="黑体" w:cs="Times New Roman"/>
                <w:color w:val="auto"/>
                <w:szCs w:val="21"/>
                <w:highlight w:val="none"/>
              </w:rPr>
              <w:t>大气环境保护目标</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446"/>
              <w:gridCol w:w="1063"/>
              <w:gridCol w:w="887"/>
              <w:gridCol w:w="995"/>
              <w:gridCol w:w="2032"/>
              <w:gridCol w:w="736"/>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8" w:type="dxa"/>
                  <w:gridSpan w:val="2"/>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eastAsiaTheme="minorEastAsia"/>
                      <w:b/>
                      <w:bCs/>
                      <w:color w:val="auto"/>
                      <w:szCs w:val="21"/>
                      <w:highlight w:val="none"/>
                      <w:lang w:eastAsia="zh-CN"/>
                    </w:rPr>
                  </w:pPr>
                  <w:r>
                    <w:rPr>
                      <w:rFonts w:hint="default" w:ascii="Times New Roman" w:hAnsi="Times New Roman" w:cs="Times New Roman"/>
                      <w:b/>
                      <w:bCs/>
                      <w:color w:val="auto"/>
                      <w:szCs w:val="21"/>
                      <w:highlight w:val="none"/>
                      <w:lang w:val="en-US" w:eastAsia="zh-CN"/>
                    </w:rPr>
                    <w:t>项目</w:t>
                  </w: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保护对象</w:t>
                  </w:r>
                </w:p>
              </w:tc>
              <w:tc>
                <w:tcPr>
                  <w:tcW w:w="887"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方位</w:t>
                  </w: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eastAsiaTheme="minorEastAsia"/>
                      <w:b/>
                      <w:bCs/>
                      <w:color w:val="auto"/>
                      <w:szCs w:val="21"/>
                      <w:highlight w:val="none"/>
                      <w:lang w:val="en-US" w:eastAsia="zh-CN"/>
                    </w:rPr>
                  </w:pPr>
                  <w:r>
                    <w:rPr>
                      <w:rFonts w:hint="default" w:ascii="Times New Roman" w:hAnsi="Times New Roman" w:cs="Times New Roman"/>
                      <w:b/>
                      <w:bCs/>
                      <w:color w:val="auto"/>
                      <w:szCs w:val="21"/>
                      <w:highlight w:val="none"/>
                    </w:rPr>
                    <w:t>距离</w:t>
                  </w:r>
                  <w:r>
                    <w:rPr>
                      <w:rFonts w:hint="default" w:ascii="Times New Roman" w:hAnsi="Times New Roman" w:cs="Times New Roman"/>
                      <w:b/>
                      <w:bCs/>
                      <w:color w:val="auto"/>
                      <w:szCs w:val="21"/>
                      <w:highlight w:val="none"/>
                      <w:lang w:val="en-US" w:eastAsia="zh-CN"/>
                    </w:rPr>
                    <w:t>/m</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规模</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性质</w:t>
                  </w:r>
                </w:p>
              </w:tc>
              <w:tc>
                <w:tcPr>
                  <w:tcW w:w="1086"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8" w:type="dxa"/>
                  <w:gridSpan w:val="2"/>
                  <w:vMerge w:val="restar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供水厂</w:t>
                  </w: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农户</w:t>
                  </w:r>
                </w:p>
              </w:tc>
              <w:tc>
                <w:tcPr>
                  <w:tcW w:w="887"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西北侧</w:t>
                  </w: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282~500</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13户农户（约45人）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restar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8" w:type="dxa"/>
                  <w:gridSpan w:val="2"/>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val="en-US" w:eastAsia="zh-CN"/>
                    </w:rPr>
                    <w:t>农户</w:t>
                  </w:r>
                </w:p>
              </w:tc>
              <w:tc>
                <w:tcPr>
                  <w:tcW w:w="887" w:type="dxa"/>
                  <w:vMerge w:val="restar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东北侧</w:t>
                  </w: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448</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1户农户（约3人）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8" w:type="dxa"/>
                  <w:gridSpan w:val="2"/>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val="en-US" w:eastAsia="zh-CN"/>
                    </w:rPr>
                    <w:t>农户</w:t>
                  </w:r>
                </w:p>
              </w:tc>
              <w:tc>
                <w:tcPr>
                  <w:tcW w:w="887"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eastAsia="zh-CN"/>
                    </w:rPr>
                  </w:pP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497</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1户农户（约3人）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8" w:type="dxa"/>
                  <w:gridSpan w:val="2"/>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val="en-US" w:eastAsia="zh-CN"/>
                    </w:rPr>
                    <w:t>农户</w:t>
                  </w:r>
                </w:p>
              </w:tc>
              <w:tc>
                <w:tcPr>
                  <w:tcW w:w="887"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eastAsia="zh-CN"/>
                    </w:rPr>
                  </w:pP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303~500</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25户农户（约80人）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8" w:type="dxa"/>
                  <w:gridSpan w:val="2"/>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val="en-US" w:eastAsia="zh-CN"/>
                    </w:rPr>
                    <w:t>农户</w:t>
                  </w:r>
                </w:p>
              </w:tc>
              <w:tc>
                <w:tcPr>
                  <w:tcW w:w="887" w:type="dxa"/>
                  <w:vMerge w:val="restar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东南侧</w:t>
                  </w: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274~297</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11户农户（约35人）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8" w:type="dxa"/>
                  <w:gridSpan w:val="2"/>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val="en-US" w:eastAsia="zh-CN"/>
                    </w:rPr>
                    <w:t>农户</w:t>
                  </w:r>
                </w:p>
              </w:tc>
              <w:tc>
                <w:tcPr>
                  <w:tcW w:w="887"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305</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1户农户（约4人）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8" w:type="dxa"/>
                  <w:gridSpan w:val="2"/>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val="en-US" w:eastAsia="zh-CN"/>
                    </w:rPr>
                    <w:t>农户</w:t>
                  </w:r>
                </w:p>
              </w:tc>
              <w:tc>
                <w:tcPr>
                  <w:tcW w:w="887"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西南侧</w:t>
                  </w: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422~500</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5户农户（约20人）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868" w:type="dxa"/>
                  <w:gridSpan w:val="2"/>
                  <w:vMerge w:val="restar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取水泵房</w:t>
                  </w: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val="en-US" w:eastAsia="zh-CN"/>
                    </w:rPr>
                    <w:t>农户</w:t>
                  </w:r>
                </w:p>
              </w:tc>
              <w:tc>
                <w:tcPr>
                  <w:tcW w:w="887" w:type="dxa"/>
                  <w:vMerge w:val="restar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东北侧</w:t>
                  </w: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82~157</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8户农户（约25人）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8" w:type="dxa"/>
                  <w:gridSpan w:val="2"/>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lang w:val="en-US" w:eastAsia="zh-CN"/>
                    </w:rPr>
                  </w:pP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val="en-US" w:eastAsia="zh-CN"/>
                    </w:rPr>
                    <w:t>农户</w:t>
                  </w:r>
                </w:p>
              </w:tc>
              <w:tc>
                <w:tcPr>
                  <w:tcW w:w="887"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250~410</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11户农户（约40人）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8" w:type="dxa"/>
                  <w:gridSpan w:val="2"/>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lang w:val="en-US" w:eastAsia="zh-CN"/>
                    </w:rPr>
                  </w:pP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val="en-US" w:eastAsia="zh-CN"/>
                    </w:rPr>
                    <w:t>农户</w:t>
                  </w:r>
                </w:p>
              </w:tc>
              <w:tc>
                <w:tcPr>
                  <w:tcW w:w="887"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344~384</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2户农户（约6人）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8" w:type="dxa"/>
                  <w:gridSpan w:val="2"/>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lang w:val="en-US" w:eastAsia="zh-CN"/>
                    </w:rPr>
                  </w:pP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val="en-US" w:eastAsia="zh-CN"/>
                    </w:rPr>
                    <w:t>农户</w:t>
                  </w:r>
                </w:p>
              </w:tc>
              <w:tc>
                <w:tcPr>
                  <w:tcW w:w="887"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东南侧</w:t>
                  </w: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450~470</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2户农户（约5人）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8" w:type="dxa"/>
                  <w:gridSpan w:val="2"/>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lang w:val="en-US" w:eastAsia="zh-CN"/>
                    </w:rPr>
                  </w:pP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val="en-US" w:eastAsia="zh-CN"/>
                    </w:rPr>
                    <w:t>农户</w:t>
                  </w:r>
                </w:p>
              </w:tc>
              <w:tc>
                <w:tcPr>
                  <w:tcW w:w="887"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西南侧</w:t>
                  </w: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414~500</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7户农户（约25人）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8" w:type="dxa"/>
                  <w:gridSpan w:val="2"/>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lang w:val="en-US" w:eastAsia="zh-CN"/>
                    </w:rPr>
                  </w:pP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val="en-US" w:eastAsia="zh-CN"/>
                    </w:rPr>
                    <w:t>农户</w:t>
                  </w:r>
                </w:p>
              </w:tc>
              <w:tc>
                <w:tcPr>
                  <w:tcW w:w="887"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西侧</w:t>
                  </w: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427~500</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3户农户（约10人）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8" w:type="dxa"/>
                  <w:gridSpan w:val="2"/>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lang w:val="en-US" w:eastAsia="zh-CN"/>
                    </w:rPr>
                  </w:pP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val="en-US" w:eastAsia="zh-CN"/>
                    </w:rPr>
                    <w:t>农户</w:t>
                  </w:r>
                </w:p>
              </w:tc>
              <w:tc>
                <w:tcPr>
                  <w:tcW w:w="887" w:type="dxa"/>
                  <w:vMerge w:val="restar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西北侧</w:t>
                  </w: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142~205</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8户农户（约30人）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8" w:type="dxa"/>
                  <w:gridSpan w:val="2"/>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val="en-US" w:eastAsia="zh-CN"/>
                    </w:rPr>
                    <w:t>农户</w:t>
                  </w:r>
                </w:p>
              </w:tc>
              <w:tc>
                <w:tcPr>
                  <w:tcW w:w="887"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260~303</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2户农户（约5人）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68" w:type="dxa"/>
                  <w:gridSpan w:val="2"/>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原水管道</w:t>
                  </w: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新华镇盐店村村民</w:t>
                  </w:r>
                </w:p>
              </w:tc>
              <w:tc>
                <w:tcPr>
                  <w:tcW w:w="887" w:type="dxa"/>
                  <w:vMerge w:val="restar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 w:val="21"/>
                      <w:szCs w:val="21"/>
                      <w:highlight w:val="none"/>
                      <w:lang w:val="en-US" w:eastAsia="zh-CN"/>
                    </w:rPr>
                    <w:t>管网沿线两侧</w:t>
                  </w: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16~500</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约250人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dxa"/>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配水</w:t>
                  </w:r>
                </w:p>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管道</w:t>
                  </w:r>
                </w:p>
              </w:tc>
              <w:tc>
                <w:tcPr>
                  <w:tcW w:w="144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A段管网（水厂→石铁乡）</w:t>
                  </w: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石铁乡</w:t>
                  </w:r>
                </w:p>
              </w:tc>
              <w:tc>
                <w:tcPr>
                  <w:tcW w:w="887"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2~500</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约2000人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144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w:t>
                  </w:r>
                  <w:r>
                    <w:rPr>
                      <w:rFonts w:hint="default" w:ascii="Times New Roman" w:hAnsi="Times New Roman" w:eastAsia="宋体" w:cs="Times New Roman"/>
                      <w:color w:val="auto"/>
                      <w:szCs w:val="21"/>
                      <w:highlight w:val="none"/>
                      <w:lang w:val="en-US" w:eastAsia="zh-CN"/>
                    </w:rPr>
                    <w:t>段管网（水厂→厂溪镇）</w:t>
                  </w: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厂溪镇</w:t>
                  </w:r>
                </w:p>
              </w:tc>
              <w:tc>
                <w:tcPr>
                  <w:tcW w:w="887"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2~500</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约2500人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144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C段管网（水厂→大洞村）</w:t>
                  </w: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大洞村</w:t>
                  </w:r>
                </w:p>
              </w:tc>
              <w:tc>
                <w:tcPr>
                  <w:tcW w:w="887"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2~500</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约300人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144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D段管网（水厂→泥溪村）</w:t>
                  </w: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泥溪村</w:t>
                  </w:r>
                </w:p>
              </w:tc>
              <w:tc>
                <w:tcPr>
                  <w:tcW w:w="887"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2~500</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约450人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144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E</w:t>
                  </w:r>
                  <w:r>
                    <w:rPr>
                      <w:rFonts w:hint="default" w:ascii="Times New Roman" w:hAnsi="Times New Roman" w:eastAsia="宋体" w:cs="Times New Roman"/>
                      <w:color w:val="auto"/>
                      <w:szCs w:val="21"/>
                      <w:highlight w:val="none"/>
                      <w:lang w:val="en-US" w:eastAsia="zh-CN"/>
                    </w:rPr>
                    <w:t>段管网（水厂→华尖村）</w:t>
                  </w:r>
                </w:p>
              </w:tc>
              <w:tc>
                <w:tcPr>
                  <w:tcW w:w="1063"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华尖村</w:t>
                  </w:r>
                </w:p>
              </w:tc>
              <w:tc>
                <w:tcPr>
                  <w:tcW w:w="887"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p>
              </w:tc>
              <w:tc>
                <w:tcPr>
                  <w:tcW w:w="995"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2~500</w:t>
                  </w:r>
                </w:p>
              </w:tc>
              <w:tc>
                <w:tcPr>
                  <w:tcW w:w="2032"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约450人</w:t>
                  </w:r>
                </w:p>
              </w:tc>
              <w:tc>
                <w:tcPr>
                  <w:tcW w:w="736"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086"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bl>
          <w:p>
            <w:pPr>
              <w:keepNext w:val="0"/>
              <w:keepLines w:val="0"/>
              <w:pageBreakBefore w:val="0"/>
              <w:suppressLineNumbers w:val="0"/>
              <w:kinsoku/>
              <w:wordWrap/>
              <w:topLinePunct w:val="0"/>
              <w:bidi w:val="0"/>
              <w:spacing w:beforeAutospacing="0" w:afterAutospacing="0" w:line="360" w:lineRule="auto"/>
              <w:ind w:left="0" w:leftChars="0" w:right="0" w:firstLine="361" w:firstLineChars="15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w:t>
            </w:r>
            <w:r>
              <w:rPr>
                <w:rFonts w:hint="default" w:ascii="Times New Roman" w:hAnsi="Times New Roman" w:cs="Times New Roman"/>
                <w:b/>
                <w:color w:val="auto"/>
                <w:sz w:val="24"/>
                <w:szCs w:val="24"/>
                <w:highlight w:val="none"/>
                <w:lang w:val="en-US" w:eastAsia="zh-CN"/>
              </w:rPr>
              <w:t>地表水</w:t>
            </w:r>
            <w:r>
              <w:rPr>
                <w:rFonts w:hint="default" w:ascii="Times New Roman" w:hAnsi="Times New Roman" w:cs="Times New Roman"/>
                <w:b/>
                <w:color w:val="auto"/>
                <w:sz w:val="24"/>
                <w:szCs w:val="24"/>
                <w:highlight w:val="none"/>
              </w:rPr>
              <w:t>环境</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本项目地表水环境保护目标为中河、泥溪沟</w:t>
            </w:r>
            <w:r>
              <w:rPr>
                <w:rFonts w:hint="default" w:ascii="Times New Roman" w:hAnsi="Times New Roman" w:cs="Times New Roman"/>
                <w:color w:val="auto"/>
                <w:sz w:val="24"/>
                <w:szCs w:val="24"/>
                <w:highlight w:val="none"/>
              </w:rPr>
              <w:t>。</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表3-</w:t>
            </w:r>
            <w:r>
              <w:rPr>
                <w:rFonts w:hint="eastAsia" w:ascii="Times New Roman" w:hAnsi="Times New Roman" w:eastAsia="黑体" w:cs="Times New Roman"/>
                <w:color w:val="auto"/>
                <w:szCs w:val="21"/>
                <w:highlight w:val="none"/>
                <w:lang w:val="en-US" w:eastAsia="zh-CN"/>
              </w:rPr>
              <w:t xml:space="preserve">7 </w:t>
            </w:r>
            <w:r>
              <w:rPr>
                <w:rFonts w:hint="default" w:ascii="Times New Roman" w:hAnsi="Times New Roman" w:eastAsia="黑体" w:cs="Times New Roman"/>
                <w:color w:val="auto"/>
                <w:szCs w:val="21"/>
                <w:highlight w:val="none"/>
                <w:lang w:val="en-US" w:eastAsia="zh-CN"/>
              </w:rPr>
              <w:t>地表水</w:t>
            </w:r>
            <w:r>
              <w:rPr>
                <w:rFonts w:hint="default" w:ascii="Times New Roman" w:hAnsi="Times New Roman" w:eastAsia="黑体" w:cs="Times New Roman"/>
                <w:color w:val="auto"/>
                <w:szCs w:val="21"/>
                <w:highlight w:val="none"/>
              </w:rPr>
              <w:t>环境保护目标</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343"/>
              <w:gridCol w:w="1343"/>
              <w:gridCol w:w="884"/>
              <w:gridCol w:w="808"/>
              <w:gridCol w:w="3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775" w:type="pc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保护对象</w:t>
                  </w:r>
                </w:p>
              </w:tc>
              <w:tc>
                <w:tcPr>
                  <w:tcW w:w="775" w:type="pc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方位</w:t>
                  </w:r>
                </w:p>
              </w:tc>
              <w:tc>
                <w:tcPr>
                  <w:tcW w:w="510" w:type="pc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距离</w:t>
                  </w:r>
                </w:p>
              </w:tc>
              <w:tc>
                <w:tcPr>
                  <w:tcW w:w="466" w:type="pc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规模</w:t>
                  </w:r>
                </w:p>
              </w:tc>
              <w:tc>
                <w:tcPr>
                  <w:tcW w:w="2006" w:type="pc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775" w:type="pct"/>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中河</w:t>
                  </w:r>
                </w:p>
              </w:tc>
              <w:tc>
                <w:tcPr>
                  <w:tcW w:w="775" w:type="pct"/>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水厂东南侧</w:t>
                  </w:r>
                </w:p>
              </w:tc>
              <w:tc>
                <w:tcPr>
                  <w:tcW w:w="510" w:type="pct"/>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156</w:t>
                  </w:r>
                </w:p>
              </w:tc>
              <w:tc>
                <w:tcPr>
                  <w:tcW w:w="466" w:type="pct"/>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中</w:t>
                  </w:r>
                  <w:r>
                    <w:rPr>
                      <w:rFonts w:hint="default" w:ascii="Times New Roman" w:hAnsi="Times New Roman" w:cs="Times New Roman"/>
                      <w:color w:val="auto"/>
                      <w:szCs w:val="21"/>
                      <w:highlight w:val="none"/>
                      <w:lang w:val="en-US" w:eastAsia="zh-CN"/>
                    </w:rPr>
                    <w:t>河</w:t>
                  </w:r>
                </w:p>
              </w:tc>
              <w:tc>
                <w:tcPr>
                  <w:tcW w:w="2006" w:type="pct"/>
                  <w:vMerge w:val="restar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《地表水环境质量标准》（GB3838-2002）</w:t>
                  </w:r>
                  <w:r>
                    <w:rPr>
                      <w:rFonts w:hint="default" w:ascii="Times New Roman" w:hAnsi="Times New Roman" w:cs="Times New Roman"/>
                      <w:color w:val="auto"/>
                      <w:szCs w:val="21"/>
                      <w:highlight w:val="none"/>
                      <w:lang w:eastAsia="zh-CN"/>
                    </w:rPr>
                    <w:t>Ⅲ</w:t>
                  </w:r>
                  <w:r>
                    <w:rPr>
                      <w:rFonts w:hint="default" w:ascii="Times New Roman" w:hAnsi="Times New Roman" w:cs="Times New Roman"/>
                      <w:color w:val="auto"/>
                      <w:szCs w:val="21"/>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775" w:type="pct"/>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泥溪沟</w:t>
                  </w:r>
                </w:p>
              </w:tc>
              <w:tc>
                <w:tcPr>
                  <w:tcW w:w="775" w:type="pct"/>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水厂东北侧</w:t>
                  </w:r>
                </w:p>
              </w:tc>
              <w:tc>
                <w:tcPr>
                  <w:tcW w:w="510" w:type="pct"/>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252</w:t>
                  </w:r>
                  <w:r>
                    <w:rPr>
                      <w:rFonts w:hint="default" w:ascii="Times New Roman" w:hAnsi="Times New Roman" w:cs="Times New Roman"/>
                      <w:color w:val="auto"/>
                      <w:szCs w:val="21"/>
                      <w:highlight w:val="none"/>
                    </w:rPr>
                    <w:t>m</w:t>
                  </w:r>
                </w:p>
              </w:tc>
              <w:tc>
                <w:tcPr>
                  <w:tcW w:w="466" w:type="pct"/>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小</w:t>
                  </w:r>
                  <w:r>
                    <w:rPr>
                      <w:rFonts w:hint="default" w:ascii="Times New Roman" w:hAnsi="Times New Roman" w:cs="Times New Roman"/>
                      <w:color w:val="auto"/>
                      <w:szCs w:val="21"/>
                      <w:highlight w:val="none"/>
                      <w:lang w:val="en-US" w:eastAsia="zh-CN"/>
                    </w:rPr>
                    <w:t>河</w:t>
                  </w:r>
                </w:p>
              </w:tc>
              <w:tc>
                <w:tcPr>
                  <w:tcW w:w="2006" w:type="pct"/>
                  <w:vMerge w:val="continue"/>
                  <w:vAlign w:val="center"/>
                </w:tcPr>
                <w:p>
                  <w:pPr>
                    <w:keepNext w:val="0"/>
                    <w:keepLines w:val="0"/>
                    <w:pageBreakBefore w:val="0"/>
                    <w:suppressLineNumbers w:val="0"/>
                    <w:kinsoku/>
                    <w:wordWrap/>
                    <w:topLinePunct w:val="0"/>
                    <w:bidi w:val="0"/>
                    <w:spacing w:beforeAutospacing="0" w:afterAutospacing="0"/>
                    <w:ind w:left="0" w:leftChars="0" w:right="0"/>
                    <w:rPr>
                      <w:rFonts w:hint="default" w:ascii="Times New Roman" w:hAnsi="Times New Roman" w:cs="Times New Roman"/>
                      <w:color w:val="auto"/>
                      <w:szCs w:val="21"/>
                      <w:highlight w:val="none"/>
                    </w:rPr>
                  </w:pPr>
                </w:p>
              </w:tc>
            </w:tr>
          </w:tbl>
          <w:p>
            <w:pPr>
              <w:keepNext w:val="0"/>
              <w:keepLines w:val="0"/>
              <w:pageBreakBefore w:val="0"/>
              <w:suppressLineNumbers w:val="0"/>
              <w:kinsoku/>
              <w:wordWrap/>
              <w:topLinePunct w:val="0"/>
              <w:bidi w:val="0"/>
              <w:spacing w:beforeAutospacing="0" w:afterAutospacing="0" w:line="360" w:lineRule="auto"/>
              <w:ind w:left="0" w:leftChars="0" w:right="0" w:firstLine="361" w:firstLineChars="15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w:t>
            </w:r>
            <w:r>
              <w:rPr>
                <w:rFonts w:hint="default" w:ascii="Times New Roman" w:hAnsi="Times New Roman"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rPr>
              <w:t>）声环境</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供水厂</w:t>
            </w:r>
            <w:r>
              <w:rPr>
                <w:rFonts w:hint="default" w:ascii="Times New Roman" w:hAnsi="Times New Roman" w:cs="Times New Roman"/>
                <w:color w:val="auto"/>
                <w:sz w:val="24"/>
                <w:szCs w:val="24"/>
                <w:highlight w:val="none"/>
              </w:rPr>
              <w:t>厂界</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取水泵房</w:t>
            </w:r>
            <w:r>
              <w:rPr>
                <w:rFonts w:hint="default" w:ascii="Times New Roman" w:hAnsi="Times New Roman" w:cs="Times New Roman"/>
                <w:color w:val="auto"/>
                <w:sz w:val="24"/>
                <w:szCs w:val="24"/>
                <w:highlight w:val="none"/>
              </w:rPr>
              <w:t>外50m范围内无声环境环境保护目标。</w:t>
            </w:r>
            <w:r>
              <w:rPr>
                <w:rFonts w:hint="default" w:ascii="Times New Roman" w:hAnsi="Times New Roman" w:cs="Times New Roman"/>
                <w:color w:val="auto"/>
                <w:sz w:val="24"/>
                <w:szCs w:val="24"/>
                <w:highlight w:val="none"/>
                <w:lang w:val="en-US" w:eastAsia="zh-CN"/>
              </w:rPr>
              <w:t>输水管线50m范围内声环境保护目标见下表。</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表3-</w:t>
            </w:r>
            <w:r>
              <w:rPr>
                <w:rFonts w:hint="eastAsia" w:ascii="Times New Roman" w:hAnsi="Times New Roman" w:eastAsia="黑体" w:cs="Times New Roman"/>
                <w:color w:val="auto"/>
                <w:szCs w:val="21"/>
                <w:highlight w:val="none"/>
                <w:lang w:val="en-US" w:eastAsia="zh-CN"/>
              </w:rPr>
              <w:t xml:space="preserve">8 </w:t>
            </w:r>
            <w:r>
              <w:rPr>
                <w:rFonts w:hint="default" w:ascii="Times New Roman" w:hAnsi="Times New Roman" w:eastAsia="黑体" w:cs="Times New Roman"/>
                <w:color w:val="auto"/>
                <w:szCs w:val="21"/>
                <w:highlight w:val="none"/>
                <w:lang w:val="en-US" w:eastAsia="zh-CN"/>
              </w:rPr>
              <w:t>项目声</w:t>
            </w:r>
            <w:r>
              <w:rPr>
                <w:rFonts w:hint="default" w:ascii="Times New Roman" w:hAnsi="Times New Roman" w:eastAsia="黑体" w:cs="Times New Roman"/>
                <w:color w:val="auto"/>
                <w:szCs w:val="21"/>
                <w:highlight w:val="none"/>
              </w:rPr>
              <w:t>环境保护目标</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
              <w:gridCol w:w="2577"/>
              <w:gridCol w:w="1105"/>
              <w:gridCol w:w="641"/>
              <w:gridCol w:w="954"/>
              <w:gridCol w:w="1173"/>
              <w:gridCol w:w="777"/>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4" w:type="dxa"/>
                  <w:gridSpan w:val="2"/>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eastAsiaTheme="minorEastAsia"/>
                      <w:b/>
                      <w:bCs/>
                      <w:color w:val="auto"/>
                      <w:szCs w:val="21"/>
                      <w:highlight w:val="none"/>
                      <w:lang w:eastAsia="zh-CN"/>
                    </w:rPr>
                  </w:pPr>
                  <w:r>
                    <w:rPr>
                      <w:rFonts w:hint="default" w:ascii="Times New Roman" w:hAnsi="Times New Roman" w:cs="Times New Roman"/>
                      <w:b/>
                      <w:bCs/>
                      <w:color w:val="auto"/>
                      <w:szCs w:val="21"/>
                      <w:highlight w:val="none"/>
                      <w:lang w:val="en-US" w:eastAsia="zh-CN"/>
                    </w:rPr>
                    <w:t>项目</w:t>
                  </w:r>
                </w:p>
              </w:tc>
              <w:tc>
                <w:tcPr>
                  <w:tcW w:w="1105"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保护对象</w:t>
                  </w:r>
                </w:p>
              </w:tc>
              <w:tc>
                <w:tcPr>
                  <w:tcW w:w="641"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方位</w:t>
                  </w:r>
                </w:p>
              </w:tc>
              <w:tc>
                <w:tcPr>
                  <w:tcW w:w="954"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eastAsiaTheme="minorEastAsia"/>
                      <w:b/>
                      <w:bCs/>
                      <w:color w:val="auto"/>
                      <w:szCs w:val="21"/>
                      <w:highlight w:val="none"/>
                      <w:lang w:val="en-US" w:eastAsia="zh-CN"/>
                    </w:rPr>
                  </w:pPr>
                  <w:r>
                    <w:rPr>
                      <w:rFonts w:hint="default" w:ascii="Times New Roman" w:hAnsi="Times New Roman" w:cs="Times New Roman"/>
                      <w:b/>
                      <w:bCs/>
                      <w:color w:val="auto"/>
                      <w:szCs w:val="21"/>
                      <w:highlight w:val="none"/>
                    </w:rPr>
                    <w:t>距离</w:t>
                  </w:r>
                  <w:r>
                    <w:rPr>
                      <w:rFonts w:hint="default" w:ascii="Times New Roman" w:hAnsi="Times New Roman" w:cs="Times New Roman"/>
                      <w:b/>
                      <w:bCs/>
                      <w:color w:val="auto"/>
                      <w:szCs w:val="21"/>
                      <w:highlight w:val="none"/>
                      <w:lang w:val="en-US" w:eastAsia="zh-CN"/>
                    </w:rPr>
                    <w:t>/m</w:t>
                  </w:r>
                </w:p>
              </w:tc>
              <w:tc>
                <w:tcPr>
                  <w:tcW w:w="117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规模</w:t>
                  </w:r>
                </w:p>
              </w:tc>
              <w:tc>
                <w:tcPr>
                  <w:tcW w:w="777"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性质</w:t>
                  </w:r>
                </w:p>
              </w:tc>
              <w:tc>
                <w:tcPr>
                  <w:tcW w:w="111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4" w:type="dxa"/>
                  <w:gridSpan w:val="2"/>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原水管道</w:t>
                  </w:r>
                </w:p>
              </w:tc>
              <w:tc>
                <w:tcPr>
                  <w:tcW w:w="1105"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新华镇盐店村村民</w:t>
                  </w:r>
                </w:p>
              </w:tc>
              <w:tc>
                <w:tcPr>
                  <w:tcW w:w="641" w:type="dxa"/>
                  <w:vMerge w:val="restart"/>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管网沿线两侧</w:t>
                  </w:r>
                </w:p>
              </w:tc>
              <w:tc>
                <w:tcPr>
                  <w:tcW w:w="954"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15~50</w:t>
                  </w:r>
                </w:p>
              </w:tc>
              <w:tc>
                <w:tcPr>
                  <w:tcW w:w="117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约40人</w:t>
                  </w:r>
                </w:p>
              </w:tc>
              <w:tc>
                <w:tcPr>
                  <w:tcW w:w="777"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kern w:val="2"/>
                      <w:sz w:val="21"/>
                      <w:szCs w:val="21"/>
                      <w:highlight w:val="none"/>
                      <w:lang w:val="en-US" w:eastAsia="zh-CN" w:bidi="ar-SA"/>
                    </w:rPr>
                    <w:t>住宅</w:t>
                  </w:r>
                </w:p>
              </w:tc>
              <w:tc>
                <w:tcPr>
                  <w:tcW w:w="1113" w:type="dxa"/>
                  <w:vMerge w:val="restar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《声环境质量标准》（GB3096-2008）</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dxa"/>
                  <w:vMerge w:val="restart"/>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配水</w:t>
                  </w:r>
                </w:p>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管道</w:t>
                  </w:r>
                </w:p>
              </w:tc>
              <w:tc>
                <w:tcPr>
                  <w:tcW w:w="2577"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A段管网（水厂→石铁乡）</w:t>
                  </w:r>
                </w:p>
              </w:tc>
              <w:tc>
                <w:tcPr>
                  <w:tcW w:w="1105"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石铁乡</w:t>
                  </w:r>
                </w:p>
              </w:tc>
              <w:tc>
                <w:tcPr>
                  <w:tcW w:w="641"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eastAsia="zh-CN"/>
                    </w:rPr>
                  </w:pPr>
                </w:p>
              </w:tc>
              <w:tc>
                <w:tcPr>
                  <w:tcW w:w="954"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2~50</w:t>
                  </w:r>
                </w:p>
              </w:tc>
              <w:tc>
                <w:tcPr>
                  <w:tcW w:w="117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约1500人</w:t>
                  </w:r>
                </w:p>
              </w:tc>
              <w:tc>
                <w:tcPr>
                  <w:tcW w:w="777"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kern w:val="2"/>
                      <w:sz w:val="21"/>
                      <w:szCs w:val="21"/>
                      <w:highlight w:val="none"/>
                      <w:lang w:val="en-US" w:eastAsia="zh-CN" w:bidi="ar-SA"/>
                    </w:rPr>
                    <w:t>住宅</w:t>
                  </w:r>
                </w:p>
              </w:tc>
              <w:tc>
                <w:tcPr>
                  <w:tcW w:w="1113"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2577"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w:t>
                  </w:r>
                  <w:r>
                    <w:rPr>
                      <w:rFonts w:hint="default" w:ascii="Times New Roman" w:hAnsi="Times New Roman" w:eastAsia="宋体" w:cs="Times New Roman"/>
                      <w:color w:val="auto"/>
                      <w:szCs w:val="21"/>
                      <w:highlight w:val="none"/>
                      <w:lang w:val="en-US" w:eastAsia="zh-CN"/>
                    </w:rPr>
                    <w:t>段管网（水厂→厂溪镇）</w:t>
                  </w:r>
                </w:p>
              </w:tc>
              <w:tc>
                <w:tcPr>
                  <w:tcW w:w="1105"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厂溪镇</w:t>
                  </w:r>
                </w:p>
              </w:tc>
              <w:tc>
                <w:tcPr>
                  <w:tcW w:w="641"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eastAsia="zh-CN"/>
                    </w:rPr>
                  </w:pPr>
                </w:p>
              </w:tc>
              <w:tc>
                <w:tcPr>
                  <w:tcW w:w="954"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2~50</w:t>
                  </w:r>
                </w:p>
              </w:tc>
              <w:tc>
                <w:tcPr>
                  <w:tcW w:w="117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约1900人</w:t>
                  </w:r>
                </w:p>
              </w:tc>
              <w:tc>
                <w:tcPr>
                  <w:tcW w:w="777"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113"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2577"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C段管网（水厂→大洞村）</w:t>
                  </w:r>
                </w:p>
              </w:tc>
              <w:tc>
                <w:tcPr>
                  <w:tcW w:w="1105"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大洞村</w:t>
                  </w:r>
                </w:p>
              </w:tc>
              <w:tc>
                <w:tcPr>
                  <w:tcW w:w="641"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eastAsia="zh-CN"/>
                    </w:rPr>
                  </w:pPr>
                </w:p>
              </w:tc>
              <w:tc>
                <w:tcPr>
                  <w:tcW w:w="954"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2~50</w:t>
                  </w:r>
                </w:p>
              </w:tc>
              <w:tc>
                <w:tcPr>
                  <w:tcW w:w="117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约250人</w:t>
                  </w:r>
                </w:p>
              </w:tc>
              <w:tc>
                <w:tcPr>
                  <w:tcW w:w="777"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113"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2577"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D段管网（水厂→泥溪村）</w:t>
                  </w:r>
                </w:p>
              </w:tc>
              <w:tc>
                <w:tcPr>
                  <w:tcW w:w="1105"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泥溪村</w:t>
                  </w:r>
                </w:p>
              </w:tc>
              <w:tc>
                <w:tcPr>
                  <w:tcW w:w="641"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eastAsia="zh-CN"/>
                    </w:rPr>
                  </w:pPr>
                </w:p>
              </w:tc>
              <w:tc>
                <w:tcPr>
                  <w:tcW w:w="954"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2~50</w:t>
                  </w:r>
                </w:p>
              </w:tc>
              <w:tc>
                <w:tcPr>
                  <w:tcW w:w="117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约380人</w:t>
                  </w:r>
                </w:p>
              </w:tc>
              <w:tc>
                <w:tcPr>
                  <w:tcW w:w="777"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113"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2577"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E</w:t>
                  </w:r>
                  <w:r>
                    <w:rPr>
                      <w:rFonts w:hint="default" w:ascii="Times New Roman" w:hAnsi="Times New Roman" w:eastAsia="宋体" w:cs="Times New Roman"/>
                      <w:color w:val="auto"/>
                      <w:szCs w:val="21"/>
                      <w:highlight w:val="none"/>
                      <w:lang w:val="en-US" w:eastAsia="zh-CN"/>
                    </w:rPr>
                    <w:t>段管网（水厂→华尖村）</w:t>
                  </w:r>
                </w:p>
              </w:tc>
              <w:tc>
                <w:tcPr>
                  <w:tcW w:w="1105"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华尖村</w:t>
                  </w:r>
                </w:p>
              </w:tc>
              <w:tc>
                <w:tcPr>
                  <w:tcW w:w="641"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eastAsia="宋体" w:cs="Times New Roman"/>
                      <w:color w:val="auto"/>
                      <w:szCs w:val="21"/>
                      <w:highlight w:val="none"/>
                      <w:lang w:eastAsia="zh-CN"/>
                    </w:rPr>
                  </w:pPr>
                </w:p>
              </w:tc>
              <w:tc>
                <w:tcPr>
                  <w:tcW w:w="954"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2~50</w:t>
                  </w:r>
                </w:p>
              </w:tc>
              <w:tc>
                <w:tcPr>
                  <w:tcW w:w="1173" w:type="dxa"/>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约350人</w:t>
                  </w:r>
                </w:p>
              </w:tc>
              <w:tc>
                <w:tcPr>
                  <w:tcW w:w="777" w:type="dxa"/>
                  <w:vAlign w:val="center"/>
                </w:tcPr>
                <w:p>
                  <w:pPr>
                    <w:keepNext w:val="0"/>
                    <w:keepLines w:val="0"/>
                    <w:pageBreakBefore w:val="0"/>
                    <w:suppressLineNumbers w:val="0"/>
                    <w:kinsoku/>
                    <w:wordWrap/>
                    <w:topLinePunct w:val="0"/>
                    <w:bidi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住宅</w:t>
                  </w:r>
                </w:p>
              </w:tc>
              <w:tc>
                <w:tcPr>
                  <w:tcW w:w="1113" w:type="dxa"/>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bl>
          <w:p>
            <w:pPr>
              <w:keepNext w:val="0"/>
              <w:keepLines w:val="0"/>
              <w:pageBreakBefore w:val="0"/>
              <w:suppressLineNumbers w:val="0"/>
              <w:kinsoku/>
              <w:wordWrap/>
              <w:topLinePunct w:val="0"/>
              <w:bidi w:val="0"/>
              <w:spacing w:beforeAutospacing="0" w:afterAutospacing="0" w:line="360" w:lineRule="auto"/>
              <w:ind w:left="0" w:leftChars="0" w:right="0" w:firstLine="361" w:firstLineChars="15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w:t>
            </w:r>
            <w:r>
              <w:rPr>
                <w:rFonts w:hint="default" w:ascii="Times New Roman" w:hAnsi="Times New Roman" w:cs="Times New Roman"/>
                <w:b/>
                <w:color w:val="auto"/>
                <w:sz w:val="24"/>
                <w:szCs w:val="24"/>
                <w:highlight w:val="none"/>
                <w:lang w:val="en-US" w:eastAsia="zh-CN"/>
              </w:rPr>
              <w:t>4</w:t>
            </w:r>
            <w:r>
              <w:rPr>
                <w:rFonts w:hint="default" w:ascii="Times New Roman" w:hAnsi="Times New Roman" w:cs="Times New Roman"/>
                <w:b/>
                <w:color w:val="auto"/>
                <w:sz w:val="24"/>
                <w:szCs w:val="24"/>
                <w:highlight w:val="none"/>
              </w:rPr>
              <w:t>）地下水环境</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本项目厂界外500m范围内无地下水集中式饮用水水源和热水、矿泉水、温泉等特殊地下水资源。</w:t>
            </w:r>
          </w:p>
          <w:p>
            <w:pPr>
              <w:keepNext w:val="0"/>
              <w:keepLines w:val="0"/>
              <w:pageBreakBefore w:val="0"/>
              <w:suppressLineNumbers w:val="0"/>
              <w:kinsoku/>
              <w:wordWrap/>
              <w:topLinePunct w:val="0"/>
              <w:bidi w:val="0"/>
              <w:spacing w:beforeAutospacing="0" w:afterAutospacing="0" w:line="360" w:lineRule="auto"/>
              <w:ind w:left="0" w:leftChars="0" w:right="0" w:firstLine="361" w:firstLineChars="15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w:t>
            </w:r>
            <w:r>
              <w:rPr>
                <w:rFonts w:hint="default" w:ascii="Times New Roman" w:hAnsi="Times New Roman" w:cs="Times New Roman"/>
                <w:b/>
                <w:color w:val="auto"/>
                <w:sz w:val="24"/>
                <w:szCs w:val="24"/>
                <w:highlight w:val="none"/>
                <w:lang w:val="en-US" w:eastAsia="zh-CN"/>
              </w:rPr>
              <w:t>5</w:t>
            </w:r>
            <w:r>
              <w:rPr>
                <w:rFonts w:hint="default" w:ascii="Times New Roman" w:hAnsi="Times New Roman" w:cs="Times New Roman"/>
                <w:b/>
                <w:color w:val="auto"/>
                <w:sz w:val="24"/>
                <w:szCs w:val="24"/>
                <w:highlight w:val="none"/>
              </w:rPr>
              <w:t>）生态环境</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color w:val="auto"/>
                <w:sz w:val="24"/>
                <w:szCs w:val="24"/>
                <w:highlight w:val="none"/>
              </w:rPr>
            </w:pPr>
            <w:r>
              <w:rPr>
                <w:rFonts w:hint="default" w:ascii="Times New Roman" w:hAnsi="Times New Roman" w:cs="Times New Roman"/>
                <w:color w:val="auto"/>
                <w:sz w:val="24"/>
                <w:szCs w:val="24"/>
                <w:highlight w:val="none"/>
              </w:rPr>
              <w:t>本项目用地范围内无生态环境保护目标。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6" w:type="dxa"/>
            <w:vAlign w:val="center"/>
          </w:tcPr>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污染物排放控制标准</w:t>
            </w:r>
          </w:p>
        </w:tc>
        <w:tc>
          <w:tcPr>
            <w:tcW w:w="8893" w:type="dxa"/>
            <w:vAlign w:val="center"/>
          </w:tcPr>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1、废气</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施工期执行《四川省施工场地扬尘排放标准》（DB51/2682-2020）表1中排放限值</w:t>
            </w:r>
            <w:r>
              <w:rPr>
                <w:rFonts w:hint="default" w:ascii="Times New Roman" w:hAnsi="Times New Roman" w:cs="Times New Roman"/>
                <w:color w:val="auto"/>
                <w:sz w:val="24"/>
                <w:szCs w:val="24"/>
                <w:highlight w:val="none"/>
                <w:lang w:eastAsia="zh-CN"/>
              </w:rPr>
              <w:t>；运营期食堂油烟执行《饮食业油烟排放标准》（GB18483-2001）小型规模标准</w:t>
            </w:r>
            <w:r>
              <w:rPr>
                <w:rFonts w:hint="default" w:ascii="Times New Roman" w:hAnsi="Times New Roman" w:cs="Times New Roman"/>
                <w:color w:val="auto"/>
                <w:sz w:val="24"/>
                <w:szCs w:val="24"/>
                <w:highlight w:val="none"/>
              </w:rPr>
              <w:t>。</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表3-</w:t>
            </w:r>
            <w:r>
              <w:rPr>
                <w:rFonts w:hint="eastAsia" w:ascii="Times New Roman" w:hAnsi="Times New Roman" w:eastAsia="黑体" w:cs="Times New Roman"/>
                <w:color w:val="auto"/>
                <w:szCs w:val="21"/>
                <w:highlight w:val="none"/>
                <w:lang w:val="en-US" w:eastAsia="zh-CN"/>
              </w:rPr>
              <w:t xml:space="preserve">9 </w:t>
            </w:r>
            <w:r>
              <w:rPr>
                <w:rFonts w:hint="default" w:ascii="Times New Roman" w:hAnsi="Times New Roman" w:eastAsia="黑体" w:cs="Times New Roman"/>
                <w:color w:val="auto"/>
                <w:szCs w:val="21"/>
                <w:highlight w:val="none"/>
              </w:rPr>
              <w:t>施工扬尘排放标准限值</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758"/>
              <w:gridCol w:w="1985"/>
              <w:gridCol w:w="2734"/>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55" w:type="pc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014" w:type="pc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w:t>
                  </w:r>
                </w:p>
              </w:tc>
              <w:tc>
                <w:tcPr>
                  <w:tcW w:w="1145" w:type="pc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施工阶段</w:t>
                  </w:r>
                </w:p>
              </w:tc>
              <w:tc>
                <w:tcPr>
                  <w:tcW w:w="1577" w:type="pc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监测点排放限值（mg/m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809" w:type="pc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restar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014" w:type="pct"/>
                  <w:vMerge w:val="restar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总悬浮颗粒物（TSP）</w:t>
                  </w:r>
                </w:p>
              </w:tc>
              <w:tc>
                <w:tcPr>
                  <w:tcW w:w="1145" w:type="pc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拆除过程/土方开挖/土方回填阶段</w:t>
                  </w:r>
                </w:p>
              </w:tc>
              <w:tc>
                <w:tcPr>
                  <w:tcW w:w="1577" w:type="pc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0.600</w:t>
                  </w:r>
                </w:p>
              </w:tc>
              <w:tc>
                <w:tcPr>
                  <w:tcW w:w="809" w:type="pct"/>
                  <w:vMerge w:val="restar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自监测起持续15min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1014" w:type="pct"/>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1145" w:type="pc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其他工程阶段</w:t>
                  </w:r>
                </w:p>
              </w:tc>
              <w:tc>
                <w:tcPr>
                  <w:tcW w:w="1577" w:type="pct"/>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0.250</w:t>
                  </w:r>
                </w:p>
              </w:tc>
              <w:tc>
                <w:tcPr>
                  <w:tcW w:w="809" w:type="pct"/>
                  <w:vMerge w:val="continue"/>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bl>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eastAsia="黑体" w:cs="Times New Roman"/>
                <w:color w:val="auto"/>
                <w:szCs w:val="21"/>
                <w:highlight w:val="none"/>
                <w:lang w:val="en-US"/>
              </w:rPr>
            </w:pPr>
            <w:r>
              <w:rPr>
                <w:rFonts w:hint="default" w:ascii="Times New Roman" w:hAnsi="Times New Roman" w:eastAsia="黑体" w:cs="Times New Roman"/>
                <w:color w:val="auto"/>
                <w:szCs w:val="21"/>
                <w:highlight w:val="none"/>
              </w:rPr>
              <w:t>表3-</w:t>
            </w:r>
            <w:r>
              <w:rPr>
                <w:rFonts w:hint="default" w:ascii="Times New Roman" w:hAnsi="Times New Roman" w:eastAsia="黑体" w:cs="Times New Roman"/>
                <w:color w:val="auto"/>
                <w:szCs w:val="21"/>
                <w:highlight w:val="none"/>
                <w:lang w:val="en-US" w:eastAsia="zh-CN"/>
              </w:rPr>
              <w:t>10饮食业油烟排放标准</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1"/>
              <w:gridCol w:w="1849"/>
              <w:gridCol w:w="1849"/>
              <w:gridCol w:w="1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9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规模</w:t>
                  </w:r>
                </w:p>
              </w:tc>
              <w:tc>
                <w:tcPr>
                  <w:tcW w:w="106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小型</w:t>
                  </w:r>
                </w:p>
              </w:tc>
              <w:tc>
                <w:tcPr>
                  <w:tcW w:w="106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中型</w:t>
                  </w:r>
                </w:p>
              </w:tc>
              <w:tc>
                <w:tcPr>
                  <w:tcW w:w="106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9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最高运行排放浓度（mg/m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p>
              </w:tc>
              <w:tc>
                <w:tcPr>
                  <w:tcW w:w="3204"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9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净化设施最低去除效率（%）</w:t>
                  </w:r>
                </w:p>
              </w:tc>
              <w:tc>
                <w:tcPr>
                  <w:tcW w:w="106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60</w:t>
                  </w:r>
                </w:p>
              </w:tc>
              <w:tc>
                <w:tcPr>
                  <w:tcW w:w="106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75</w:t>
                  </w:r>
                </w:p>
              </w:tc>
              <w:tc>
                <w:tcPr>
                  <w:tcW w:w="106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85</w:t>
                  </w:r>
                </w:p>
              </w:tc>
            </w:tr>
          </w:tbl>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2、废水</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本项目生活污水（食堂废水经隔油池处理）经化粪池处理后用于农肥，不外排；项目生产废水主要为</w:t>
            </w:r>
            <w:r>
              <w:rPr>
                <w:rFonts w:hint="default" w:ascii="Times New Roman" w:hAnsi="Times New Roman" w:cs="Times New Roman"/>
                <w:color w:val="auto"/>
                <w:sz w:val="24"/>
                <w:szCs w:val="24"/>
                <w:highlight w:val="none"/>
                <w:vertAlign w:val="baseline"/>
                <w:lang w:val="en-US" w:eastAsia="zh-CN"/>
              </w:rPr>
              <w:t>预沉池排泥水、一体化设备排泥水（絮凝沉淀排泥水）、V型滤池反冲洗废水、脱水滤池等，</w:t>
            </w:r>
            <w:r>
              <w:rPr>
                <w:rFonts w:hint="default" w:ascii="Times New Roman" w:hAnsi="Times New Roman" w:cs="Times New Roman"/>
                <w:color w:val="auto"/>
                <w:sz w:val="24"/>
                <w:szCs w:val="24"/>
                <w:highlight w:val="none"/>
                <w:lang w:val="en-US" w:eastAsia="zh-CN"/>
              </w:rPr>
              <w:t>项目排泥水和滤池反冲洗废水经泥水混合池收集后由泵提升至浓缩池，经浓缩池浓缩后进入贮泥池，贮泥池排泥水脱水后上清液回到泥水混合池，不外排。</w:t>
            </w:r>
          </w:p>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3、噪声</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施工期执行《建筑施工场界环境噪声排放标准》（GB12523-2011），运营期执行《工业企业厂界环境噪声排放标准》（GB12348-2008）2类标准。</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表3-</w:t>
            </w:r>
            <w:r>
              <w:rPr>
                <w:rFonts w:hint="eastAsia" w:ascii="Times New Roman" w:hAnsi="Times New Roman" w:eastAsia="黑体" w:cs="Times New Roman"/>
                <w:color w:val="auto"/>
                <w:szCs w:val="21"/>
                <w:highlight w:val="none"/>
                <w:lang w:val="en-US" w:eastAsia="zh-CN"/>
              </w:rPr>
              <w:t xml:space="preserve">11 </w:t>
            </w:r>
            <w:r>
              <w:rPr>
                <w:rFonts w:hint="default" w:ascii="Times New Roman" w:hAnsi="Times New Roman" w:eastAsia="黑体" w:cs="Times New Roman"/>
                <w:color w:val="auto"/>
                <w:szCs w:val="21"/>
                <w:highlight w:val="none"/>
              </w:rPr>
              <w:t>噪声排放标准限值</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7"/>
              <w:gridCol w:w="2990"/>
              <w:gridCol w:w="2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pct"/>
                  <w:vMerge w:val="restart"/>
                  <w:shd w:val="clear" w:color="auto" w:fill="auto"/>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w:t>
                  </w:r>
                </w:p>
              </w:tc>
              <w:tc>
                <w:tcPr>
                  <w:tcW w:w="3450" w:type="pct"/>
                  <w:gridSpan w:val="2"/>
                  <w:shd w:val="clear" w:color="auto" w:fill="auto"/>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排放限值</w:t>
                  </w:r>
                  <w:r>
                    <w:rPr>
                      <w:rFonts w:hint="default" w:ascii="Times New Roman" w:hAnsi="Times New Roman" w:eastAsia="仿宋" w:cs="Times New Roman"/>
                      <w:color w:val="auto"/>
                      <w:szCs w:val="21"/>
                      <w:highlight w:val="none"/>
                    </w:rPr>
                    <w:t>[</w:t>
                  </w:r>
                  <w:r>
                    <w:rPr>
                      <w:rFonts w:hint="default" w:ascii="Times New Roman" w:hAnsi="Times New Roman" w:cs="Times New Roman"/>
                      <w:color w:val="auto"/>
                      <w:szCs w:val="21"/>
                      <w:highlight w:val="none"/>
                    </w:rPr>
                    <w:t>dB（A）</w:t>
                  </w:r>
                  <w:r>
                    <w:rPr>
                      <w:rFonts w:hint="default" w:ascii="Times New Roman" w:hAnsi="Times New Roman" w:eastAsia="仿宋"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pct"/>
                  <w:vMerge w:val="continue"/>
                  <w:shd w:val="clear" w:color="auto" w:fill="auto"/>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1725" w:type="pct"/>
                  <w:shd w:val="clear" w:color="auto" w:fill="auto"/>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725" w:type="pct"/>
                  <w:shd w:val="clear" w:color="auto" w:fill="auto"/>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pct"/>
                  <w:shd w:val="clear" w:color="auto" w:fill="auto"/>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施工期</w:t>
                  </w:r>
                </w:p>
              </w:tc>
              <w:tc>
                <w:tcPr>
                  <w:tcW w:w="1725" w:type="pct"/>
                  <w:shd w:val="clear" w:color="auto" w:fill="auto"/>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1725" w:type="pct"/>
                  <w:shd w:val="clear" w:color="auto" w:fill="auto"/>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pct"/>
                  <w:shd w:val="clear" w:color="auto" w:fill="auto"/>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运营期</w:t>
                  </w:r>
                </w:p>
              </w:tc>
              <w:tc>
                <w:tcPr>
                  <w:tcW w:w="1725" w:type="pct"/>
                  <w:shd w:val="clear" w:color="auto" w:fill="auto"/>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1725" w:type="pct"/>
                  <w:shd w:val="clear" w:color="auto" w:fill="auto"/>
                  <w:vAlign w:val="center"/>
                </w:tcPr>
                <w:p>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w:t>
                  </w:r>
                </w:p>
              </w:tc>
            </w:tr>
          </w:tbl>
          <w:p>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4、固体废物</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一般固废按照《中华人民共和国固体废物污染环境防治法》、《一般工业固体废物贮存和填埋污染控制标准》（GB18597-2020）和《一般固废分类与代码》（GB/T39198-2020）进行分类、管理和处置。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456" w:type="dxa"/>
            <w:vAlign w:val="center"/>
          </w:tcPr>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总量控制指标</w:t>
            </w:r>
          </w:p>
        </w:tc>
        <w:tc>
          <w:tcPr>
            <w:tcW w:w="8893" w:type="dxa"/>
            <w:vAlign w:val="center"/>
          </w:tcPr>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根据国家对实施污染物排放总量控制的要求以及本项目的特点，确定此项目不涉及污染物排放总量控制，本次建设工程不新增总量，因此本项目无需申请总量。</w:t>
            </w: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rPr>
            </w:pP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rPr>
            </w:pP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rPr>
                <w:rFonts w:hint="eastAsia"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rPr>
                <w:rFonts w:hint="eastAsia"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rPr>
                <w:rFonts w:hint="eastAsia"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rPr>
                <w:rFonts w:hint="eastAsia"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rPr>
                <w:rFonts w:hint="eastAsia"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rPr>
                <w:rFonts w:hint="eastAsia"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rPr>
                <w:rFonts w:hint="eastAsia"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rPr>
                <w:rFonts w:hint="eastAsia"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rPr>
                <w:rFonts w:hint="eastAsia"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rPr>
                <w:rFonts w:hint="eastAsia"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rPr>
                <w:rFonts w:hint="eastAsia"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rPr>
                <w:rFonts w:hint="eastAsia"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rPr>
                <w:rFonts w:hint="eastAsia"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rPr>
                <w:rFonts w:hint="eastAsia"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rPr>
                <w:rFonts w:hint="eastAsia"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rPr>
                <w:rFonts w:hint="eastAsia"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rPr>
                <w:rFonts w:hint="eastAsia" w:ascii="Times New Roman" w:hAnsi="Times New Roman" w:cs="Times New Roman"/>
                <w:color w:val="auto"/>
                <w:sz w:val="24"/>
                <w:szCs w:val="24"/>
                <w:highlight w:val="none"/>
                <w:lang w:eastAsia="zh-CN"/>
              </w:rPr>
            </w:pPr>
          </w:p>
          <w:p>
            <w:pPr>
              <w:keepNext w:val="0"/>
              <w:keepLines w:val="0"/>
              <w:pageBreakBefore w:val="0"/>
              <w:suppressLineNumbers w:val="0"/>
              <w:kinsoku/>
              <w:wordWrap/>
              <w:topLinePunct w:val="0"/>
              <w:bidi w:val="0"/>
              <w:spacing w:beforeAutospacing="0" w:afterAutospacing="0" w:line="360" w:lineRule="auto"/>
              <w:ind w:left="0" w:leftChars="0" w:right="0"/>
              <w:rPr>
                <w:rFonts w:hint="default" w:ascii="Times New Roman" w:hAnsi="Times New Roman" w:cs="Times New Roman" w:eastAsiaTheme="minorEastAsia"/>
                <w:color w:val="auto"/>
                <w:sz w:val="24"/>
                <w:szCs w:val="24"/>
                <w:highlight w:val="none"/>
                <w:lang w:eastAsia="zh-CN"/>
              </w:rPr>
            </w:pPr>
          </w:p>
        </w:tc>
      </w:tr>
    </w:tbl>
    <w:p>
      <w:pPr>
        <w:pStyle w:val="18"/>
        <w:keepNext w:val="0"/>
        <w:keepLines w:val="0"/>
        <w:pageBreakBefore w:val="0"/>
        <w:kinsoku/>
        <w:wordWrap/>
        <w:topLinePunct w:val="0"/>
        <w:bidi w:val="0"/>
        <w:spacing w:after="0" w:line="360" w:lineRule="auto"/>
        <w:ind w:left="0" w:leftChars="0" w:firstLine="480" w:firstLineChars="200"/>
        <w:rPr>
          <w:rFonts w:hint="default" w:ascii="Times New Roman" w:hAnsi="Times New Roman" w:cs="Times New Roman"/>
          <w:color w:val="auto"/>
          <w:sz w:val="24"/>
          <w:szCs w:val="36"/>
          <w:highlight w:val="none"/>
          <w:lang w:eastAsia="zh-CN"/>
        </w:rPr>
        <w:sectPr>
          <w:pgSz w:w="11906" w:h="16838"/>
          <w:pgMar w:top="1440" w:right="1361" w:bottom="1440" w:left="1361"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25"/>
        <w:keepNext w:val="0"/>
        <w:keepLines w:val="0"/>
        <w:pageBreakBefore w:val="0"/>
        <w:kinsoku/>
        <w:wordWrap/>
        <w:topLinePunct w:val="0"/>
        <w:bidi w:val="0"/>
        <w:ind w:left="0" w:leftChars="0"/>
        <w:jc w:val="center"/>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b w:val="0"/>
          <w:color w:val="auto"/>
          <w:sz w:val="30"/>
          <w:szCs w:val="30"/>
          <w:highlight w:val="none"/>
        </w:rPr>
        <w:t>四、主要环境影响和保护措施</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3" w:type="pct"/>
            <w:vAlign w:val="center"/>
          </w:tcPr>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施工</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期环</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境保</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护措</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施</w:t>
            </w:r>
          </w:p>
        </w:tc>
        <w:tc>
          <w:tcPr>
            <w:tcW w:w="4766" w:type="pct"/>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1、废气</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施工期产生的大气环境污染物主要来源：施工扬尘、施工机械废气、焊接废气、</w:t>
            </w:r>
            <w:r>
              <w:rPr>
                <w:rFonts w:hint="default" w:ascii="Times New Roman" w:hAnsi="Times New Roman" w:cs="Times New Roman"/>
                <w:b w:val="0"/>
                <w:bCs w:val="0"/>
                <w:color w:val="auto"/>
                <w:sz w:val="24"/>
                <w:szCs w:val="24"/>
                <w:highlight w:val="none"/>
                <w:lang w:val="en-US" w:eastAsia="zh-CN"/>
              </w:rPr>
              <w:t>装修废气</w:t>
            </w:r>
            <w:r>
              <w:rPr>
                <w:rFonts w:hint="default" w:ascii="Times New Roman" w:hAnsi="Times New Roman" w:cs="Times New Roman"/>
                <w:b w:val="0"/>
                <w:bCs w:val="0"/>
                <w:color w:val="auto"/>
                <w:sz w:val="24"/>
                <w:szCs w:val="24"/>
                <w:highlight w:val="none"/>
                <w:lang w:eastAsia="zh-CN"/>
              </w:rPr>
              <w:t>等。本项目施工期混凝土采用商品混凝土，不在场地内进行拌和。</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（1）施工扬尘</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在施工阶段，施工扬尘主要来源于土地平整、开挖、回填、建材运输、装卸等过程，施工</w:t>
            </w:r>
            <w:r>
              <w:rPr>
                <w:rFonts w:hint="default" w:ascii="Times New Roman" w:hAnsi="Times New Roman" w:cs="Times New Roman"/>
                <w:color w:val="auto"/>
                <w:sz w:val="24"/>
                <w:szCs w:val="24"/>
                <w:highlight w:val="none"/>
                <w:lang w:val="en-US" w:eastAsia="zh-CN"/>
              </w:rPr>
              <w:t>区域</w:t>
            </w:r>
            <w:r>
              <w:rPr>
                <w:rFonts w:hint="default" w:ascii="Times New Roman" w:hAnsi="Times New Roman" w:cs="Times New Roman"/>
                <w:color w:val="auto"/>
                <w:sz w:val="24"/>
                <w:szCs w:val="24"/>
                <w:highlight w:val="none"/>
                <w:lang w:eastAsia="zh-CN"/>
              </w:rPr>
              <w:t>是典型的无组织扬尘排放源，具有很高的排放潜势，可以在短时内严重影响当地的空气质量。除了排放潜势高以外，施工扬尘的最大特点是多变性，几乎突出体现了无组织排放的所有特点，是最难以把控的无组织扬尘，污染呈现时空多变、形式多元等复杂特征，监测、评价和管理都比较困难。经类比分析，施工场地扬尘浓度一般约为3.5mg/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，会对周围环境产生一定影响。</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为减轻施工期扬尘对大气环境的影响，根据《住房和城乡建设部办公厅关于进一步加强施工工地和道路扬尘管控工作的通知》（建办质〔2019〕23号）、《四川省建筑工程扬尘污染防治技术导则（试行）》（川建发〔2019〕16号）的有关要求，施工现场应采取以下扬尘污染防治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①施工现场应沿四周连续设置不低于2.5m高的封闭围挡，围挡采用硬质一次成型板材，现场模块化整体式拼装成型；围档顶端设置雾状喷淋，喷头水平间距≤3m，应安装在低于围挡顶部200mm处的围挡内侧，喷头朝内向上，并配备符合喷雾需求的变频高压水泵。</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②施工现场出入口、主要道路以及与社会通行道路交叉通道必须采用（沥青）混凝土硬化，大门内侧应设置挡水带、排水沟（沟宽×深≥300mm×300mm）、三级沉淀池（池体容积≥4m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），门口应设高压冲洗设施，冲洗区外侧应铺设串联成片的麻袋、地毯等吸水材料，确保车辆不带泥上路。</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③施工现场裸土及施工期易起尘物料均应使用防尘网进行覆盖，覆盖要封闭严密、连接牢固；必须使用商品混凝土，施工现场禁止设置搅拌站。</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④施工期易产生扬尘的钻孔、拆除作业，建渣清运等易产生扬尘的施工作业时，应采取喷淋、喷雾等湿法降尘措施，对于固定喷淋装置无法覆盖的区域和应设置移动式雾炮进行降尘。</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⑤施工单位应当建立运输扬尘污染防治管理制度和相关措施，加强对渣土运输车辆、人员管理；运输车辆必须采取覆盖措施，采用密闭式运输车辆，装载不得冒出车辆栏板，防止道路遗撒。</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⑥风速大于4m/s时应停止施工。</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同时，施工单位必需全面督查建筑工地现场管理“</w:t>
            </w:r>
            <w:r>
              <w:rPr>
                <w:rFonts w:hint="default" w:ascii="Times New Roman" w:hAnsi="Times New Roman" w:cs="Times New Roman"/>
                <w:color w:val="auto"/>
                <w:sz w:val="24"/>
                <w:szCs w:val="24"/>
                <w:highlight w:val="none"/>
                <w:lang w:val="en-US" w:eastAsia="zh-CN"/>
              </w:rPr>
              <w:t>六</w:t>
            </w:r>
            <w:r>
              <w:rPr>
                <w:rFonts w:hint="default" w:ascii="Times New Roman" w:hAnsi="Times New Roman" w:cs="Times New Roman"/>
                <w:color w:val="auto"/>
                <w:sz w:val="24"/>
                <w:szCs w:val="24"/>
                <w:highlight w:val="none"/>
                <w:lang w:eastAsia="zh-CN"/>
              </w:rPr>
              <w:t>必须”、“</w:t>
            </w:r>
            <w:r>
              <w:rPr>
                <w:rFonts w:hint="default" w:ascii="Times New Roman" w:hAnsi="Times New Roman" w:cs="Times New Roman"/>
                <w:color w:val="auto"/>
                <w:sz w:val="24"/>
                <w:szCs w:val="24"/>
                <w:highlight w:val="none"/>
                <w:lang w:val="en-US" w:eastAsia="zh-CN"/>
              </w:rPr>
              <w:t>六</w:t>
            </w:r>
            <w:r>
              <w:rPr>
                <w:rFonts w:hint="default" w:ascii="Times New Roman" w:hAnsi="Times New Roman" w:cs="Times New Roman"/>
                <w:color w:val="auto"/>
                <w:sz w:val="24"/>
                <w:szCs w:val="24"/>
                <w:highlight w:val="none"/>
                <w:lang w:eastAsia="zh-CN"/>
              </w:rPr>
              <w:t>不准”的执行情况，即：必须湿法作业、必须打围</w:t>
            </w:r>
            <w:r>
              <w:rPr>
                <w:rFonts w:hint="default" w:ascii="Times New Roman" w:hAnsi="Times New Roman" w:cs="Times New Roman"/>
                <w:color w:val="auto"/>
                <w:sz w:val="24"/>
                <w:szCs w:val="24"/>
                <w:highlight w:val="none"/>
                <w:lang w:val="en-US" w:eastAsia="zh-CN"/>
              </w:rPr>
              <w:t>作业</w:t>
            </w:r>
            <w:r>
              <w:rPr>
                <w:rFonts w:hint="default" w:ascii="Times New Roman" w:hAnsi="Times New Roman" w:cs="Times New Roman"/>
                <w:color w:val="auto"/>
                <w:sz w:val="24"/>
                <w:szCs w:val="24"/>
                <w:highlight w:val="none"/>
                <w:lang w:eastAsia="zh-CN"/>
              </w:rPr>
              <w:t>、必须设置冲洗</w:t>
            </w:r>
            <w:r>
              <w:rPr>
                <w:rFonts w:hint="default" w:ascii="Times New Roman" w:hAnsi="Times New Roman" w:cs="Times New Roman"/>
                <w:color w:val="auto"/>
                <w:sz w:val="24"/>
                <w:szCs w:val="24"/>
                <w:highlight w:val="none"/>
                <w:lang w:val="en-US" w:eastAsia="zh-CN"/>
              </w:rPr>
              <w:t>设备</w:t>
            </w:r>
            <w:r>
              <w:rPr>
                <w:rFonts w:hint="default" w:ascii="Times New Roman" w:hAnsi="Times New Roman" w:cs="Times New Roman"/>
                <w:color w:val="auto"/>
                <w:sz w:val="24"/>
                <w:szCs w:val="24"/>
                <w:highlight w:val="none"/>
                <w:lang w:eastAsia="zh-CN"/>
              </w:rPr>
              <w:t>设施、</w:t>
            </w:r>
            <w:r>
              <w:rPr>
                <w:rFonts w:hint="default" w:ascii="Times New Roman" w:hAnsi="Times New Roman" w:cs="Times New Roman"/>
                <w:color w:val="auto"/>
                <w:sz w:val="24"/>
                <w:szCs w:val="24"/>
                <w:highlight w:val="none"/>
                <w:lang w:val="en-US" w:eastAsia="zh-CN"/>
              </w:rPr>
              <w:t>必须配齐保洁人员、</w:t>
            </w:r>
            <w:r>
              <w:rPr>
                <w:rFonts w:hint="default" w:ascii="Times New Roman" w:hAnsi="Times New Roman" w:cs="Times New Roman"/>
                <w:color w:val="auto"/>
                <w:sz w:val="24"/>
                <w:szCs w:val="24"/>
                <w:highlight w:val="none"/>
                <w:lang w:eastAsia="zh-CN"/>
              </w:rPr>
              <w:t>必须</w:t>
            </w:r>
            <w:r>
              <w:rPr>
                <w:rFonts w:hint="default" w:ascii="Times New Roman" w:hAnsi="Times New Roman" w:cs="Times New Roman"/>
                <w:color w:val="auto"/>
                <w:sz w:val="24"/>
                <w:szCs w:val="24"/>
                <w:highlight w:val="none"/>
                <w:lang w:val="en-US" w:eastAsia="zh-CN"/>
              </w:rPr>
              <w:t>定时清扫施工现场；</w:t>
            </w:r>
            <w:r>
              <w:rPr>
                <w:rFonts w:hint="default" w:ascii="Times New Roman" w:hAnsi="Times New Roman" w:cs="Times New Roman"/>
                <w:color w:val="auto"/>
                <w:sz w:val="24"/>
                <w:szCs w:val="24"/>
                <w:highlight w:val="none"/>
                <w:lang w:eastAsia="zh-CN"/>
              </w:rPr>
              <w:t>不准车辆带泥出门、不准运渣车辆装载、不准高处抛洒</w:t>
            </w:r>
            <w:r>
              <w:rPr>
                <w:rFonts w:hint="default" w:ascii="Times New Roman" w:hAnsi="Times New Roman" w:cs="Times New Roman"/>
                <w:color w:val="auto"/>
                <w:sz w:val="24"/>
                <w:szCs w:val="24"/>
                <w:highlight w:val="none"/>
                <w:lang w:val="en-US" w:eastAsia="zh-CN"/>
              </w:rPr>
              <w:t>建渣</w:t>
            </w:r>
            <w:r>
              <w:rPr>
                <w:rFonts w:hint="default" w:ascii="Times New Roman" w:hAnsi="Times New Roman" w:cs="Times New Roman"/>
                <w:color w:val="auto"/>
                <w:sz w:val="24"/>
                <w:szCs w:val="24"/>
                <w:highlight w:val="none"/>
                <w:lang w:eastAsia="zh-CN"/>
              </w:rPr>
              <w:t>，不准</w:t>
            </w:r>
            <w:r>
              <w:rPr>
                <w:rFonts w:hint="default" w:ascii="Times New Roman" w:hAnsi="Times New Roman" w:cs="Times New Roman"/>
                <w:color w:val="auto"/>
                <w:sz w:val="24"/>
                <w:szCs w:val="24"/>
                <w:highlight w:val="none"/>
                <w:lang w:val="en-US" w:eastAsia="zh-CN"/>
              </w:rPr>
              <w:t>现场搅拌混凝土、不准场地积水、</w:t>
            </w:r>
            <w:r>
              <w:rPr>
                <w:rFonts w:hint="default" w:ascii="Times New Roman" w:hAnsi="Times New Roman" w:cs="Times New Roman"/>
                <w:color w:val="auto"/>
                <w:sz w:val="24"/>
                <w:szCs w:val="24"/>
                <w:highlight w:val="none"/>
                <w:lang w:eastAsia="zh-CN"/>
              </w:rPr>
              <w:t>不准</w:t>
            </w:r>
            <w:r>
              <w:rPr>
                <w:rFonts w:hint="default" w:ascii="Times New Roman" w:hAnsi="Times New Roman" w:cs="Times New Roman"/>
                <w:color w:val="auto"/>
                <w:sz w:val="24"/>
                <w:szCs w:val="24"/>
                <w:highlight w:val="none"/>
                <w:lang w:val="en-US" w:eastAsia="zh-CN"/>
              </w:rPr>
              <w:t>现场</w:t>
            </w:r>
            <w:r>
              <w:rPr>
                <w:rFonts w:hint="default" w:ascii="Times New Roman" w:hAnsi="Times New Roman" w:cs="Times New Roman"/>
                <w:color w:val="auto"/>
                <w:sz w:val="24"/>
                <w:szCs w:val="24"/>
                <w:highlight w:val="none"/>
                <w:lang w:eastAsia="zh-CN"/>
              </w:rPr>
              <w:t>焚烧废弃物。同时，施工单位必须严格按照《四川省建筑工程扬尘污染防治技术导则（试行）》（川建发〔2019〕16号）中要求要求，严格落实“六个百分百”要求，包括：工地周边围挡、物料堆放覆盖、出入车辆冲洗、施工现场道路及材料堆场硬化、工地湿法作业及渣土车辆密闭运输，确保施工场地扬尘达到《四川省施工场地扬尘排放标准》（DB51/2682-2020）中相关限值要求。</w:t>
            </w:r>
          </w:p>
          <w:p>
            <w:pPr>
              <w:pageBreakBefore w:val="0"/>
              <w:kinsoku/>
              <w:wordWrap/>
              <w:bidi w:val="0"/>
              <w:spacing w:line="360" w:lineRule="auto"/>
              <w:ind w:left="0" w:leftChars="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评价认为在项目施工期，对扬尘严格采取了上述防治措施后，其浓度可得到有效控制，可满足《四川省施工场地扬尘排放标准》（DB51/2682-2020）表1标准限值要求，实现达标排放。</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（2）施工机械废气</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施工设备和建筑机械设备的运转，会排放一定量的CO、NOx以及未完全燃烧的THC等，由于其属间断性无组织排放，特点是排放量小，加之施工现场开阔，扩散条件良好，对其不加处理也可达到相应的排放标准。环评要求：建设单位应禁止使用高排放非道路移动机械，制定施工现场非道路移动机械管理制度，加强施工设备维护，采用低污染的燃料，减少废气排放。</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（3）</w:t>
            </w:r>
            <w:r>
              <w:rPr>
                <w:rFonts w:hint="default" w:ascii="Times New Roman" w:hAnsi="Times New Roman" w:cs="Times New Roman"/>
                <w:b/>
                <w:bCs/>
                <w:color w:val="auto"/>
                <w:sz w:val="24"/>
                <w:szCs w:val="24"/>
                <w:highlight w:val="none"/>
                <w:lang w:val="en-US" w:eastAsia="zh-CN"/>
              </w:rPr>
              <w:t>焊接废气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本次工程管道采用国内应用技术较成熟的焊接工艺进行焊接，每公里消耗约300kg的焊条，根据类比资料分析，每公斤焊条产生的焊烟约8g。</w:t>
            </w:r>
            <w:r>
              <w:rPr>
                <w:rFonts w:hint="default" w:ascii="Times New Roman" w:hAnsi="Times New Roman" w:cs="Times New Roman"/>
                <w:b w:val="0"/>
                <w:bCs w:val="0"/>
                <w:color w:val="auto"/>
                <w:sz w:val="24"/>
                <w:szCs w:val="24"/>
                <w:highlight w:val="none"/>
                <w:lang w:val="en-US" w:eastAsia="zh-CN"/>
              </w:rPr>
              <w:t>经计算，焊接烟尘产生量为0.0024t/km，</w:t>
            </w:r>
            <w:r>
              <w:rPr>
                <w:rFonts w:hint="default" w:ascii="Times New Roman" w:hAnsi="Times New Roman" w:cs="Times New Roman"/>
                <w:b w:val="0"/>
                <w:bCs w:val="0"/>
                <w:color w:val="auto"/>
                <w:sz w:val="24"/>
                <w:szCs w:val="24"/>
                <w:highlight w:val="none"/>
                <w:lang w:eastAsia="zh-CN"/>
              </w:rPr>
              <w:t>由于废气量较小，且施工现场均在野外，有利于空气的扩散，同时废气污染原具有间歇性和流动性，因此对局部地区的环境影响较轻。</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color w:val="auto"/>
                <w:sz w:val="24"/>
                <w:szCs w:val="24"/>
                <w:highlight w:val="none"/>
                <w:lang w:bidi="ar"/>
              </w:rPr>
            </w:pPr>
            <w:r>
              <w:rPr>
                <w:rFonts w:hint="default" w:ascii="Times New Roman" w:hAnsi="Times New Roman" w:cs="Times New Roman"/>
                <w:b/>
                <w:bCs/>
                <w:color w:val="auto"/>
                <w:sz w:val="24"/>
                <w:szCs w:val="24"/>
                <w:highlight w:val="none"/>
                <w:lang w:val="zh-CN"/>
              </w:rPr>
              <w:t>本项目探伤采用超声波探伤的方式进行，不会对周边环境造成影响，若建设方在后续工作中采取射线探伤的工艺，则需另行环评，不在本次评价范围内。</w:t>
            </w:r>
            <w:r>
              <w:rPr>
                <w:rFonts w:hint="eastAsia" w:cs="Times New Roman"/>
                <w:color w:val="auto"/>
                <w:sz w:val="24"/>
                <w:szCs w:val="24"/>
                <w:highlight w:val="none"/>
                <w:lang w:val="en-US" w:eastAsia="zh-CN"/>
              </w:rPr>
              <w:t>在此只提出环境管理要求，</w:t>
            </w:r>
            <w:r>
              <w:rPr>
                <w:rFonts w:hint="default" w:ascii="Times New Roman" w:hAnsi="Times New Roman" w:cs="Times New Roman"/>
                <w:color w:val="auto"/>
                <w:sz w:val="24"/>
                <w:szCs w:val="24"/>
                <w:highlight w:val="none"/>
              </w:rPr>
              <w:t>要求放射源的安装、使用地点要设有明显的放射性标志和警告标志</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附近不得放置易燃、易爆、腐蚀性物品</w:t>
            </w:r>
            <w:r>
              <w:rPr>
                <w:rFonts w:hint="eastAsia" w:cs="Times New Roman"/>
                <w:color w:val="auto"/>
                <w:sz w:val="24"/>
                <w:szCs w:val="24"/>
                <w:highlight w:val="none"/>
                <w:lang w:eastAsia="zh-CN"/>
              </w:rPr>
              <w:t>；放射源使用单位应配备必要的检查或监测设备，受辐射剂量较高的技术和操作维修人员要配备带报警装置的个人辐射剂量计；对运行中含放射源的装置和场所，要配置剂量监测和报警装置，并定期检验，确保辐射防护设施完好与含源装置性能的稳定。放射源的使用场所应有相应的辐射屏蔽，并设置放射安全禁区黄线，安装带报警的剂量测量仪器；用源单位产生的放射性废气、废水和固体放射性废物应按有关规定进行必要的处理和处置，到达国家规定的标准后外排或送有资质的单位进行处置。</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lang w:eastAsia="zh-CN"/>
              </w:rPr>
              <w:t>）装修废气</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装修过程中主要污染因子是涂料挥发废气，该废气的排放属无组织排放，由于装修阶段的装修废气排放周期短，且装修面积较少、作业点分散，故装修期间应加强通风换气，环评要求：施工期采用优质环保的装修材料，使用无污染性废气产生的材料、涂料，减少废气中有害物质的排放。</w:t>
            </w:r>
          </w:p>
          <w:p>
            <w:pPr>
              <w:pageBreakBefore w:val="0"/>
              <w:kinsoku/>
              <w:wordWrap/>
              <w:bidi w:val="0"/>
              <w:spacing w:line="360" w:lineRule="auto"/>
              <w:ind w:left="0" w:leftChars="0" w:right="0" w:firstLine="480"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color w:val="auto"/>
                <w:sz w:val="24"/>
                <w:szCs w:val="24"/>
                <w:highlight w:val="none"/>
                <w:lang w:bidi="ar"/>
              </w:rPr>
              <w:t>项目施工期采取了上述防治措施后，其施工期产生的废气可得到有效控制，能够实现达标排放。</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2、废水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施工期废水主要为工地</w:t>
            </w:r>
            <w:r>
              <w:rPr>
                <w:rFonts w:hint="default" w:ascii="Times New Roman" w:hAnsi="Times New Roman" w:cs="Times New Roman"/>
                <w:b w:val="0"/>
                <w:bCs w:val="0"/>
                <w:color w:val="auto"/>
                <w:sz w:val="24"/>
                <w:szCs w:val="24"/>
                <w:highlight w:val="none"/>
                <w:lang w:val="en-US" w:eastAsia="zh-CN"/>
              </w:rPr>
              <w:t>员工</w:t>
            </w:r>
            <w:r>
              <w:rPr>
                <w:rFonts w:hint="default" w:ascii="Times New Roman" w:hAnsi="Times New Roman" w:cs="Times New Roman"/>
                <w:b w:val="0"/>
                <w:bCs w:val="0"/>
                <w:color w:val="auto"/>
                <w:sz w:val="24"/>
                <w:szCs w:val="24"/>
                <w:highlight w:val="none"/>
                <w:lang w:eastAsia="zh-CN"/>
              </w:rPr>
              <w:t>生活</w:t>
            </w:r>
            <w:r>
              <w:rPr>
                <w:rFonts w:hint="default" w:ascii="Times New Roman" w:hAnsi="Times New Roman" w:cs="Times New Roman"/>
                <w:b w:val="0"/>
                <w:bCs w:val="0"/>
                <w:color w:val="auto"/>
                <w:sz w:val="24"/>
                <w:szCs w:val="24"/>
                <w:highlight w:val="none"/>
                <w:lang w:val="en-US" w:eastAsia="zh-CN"/>
              </w:rPr>
              <w:t>污水</w:t>
            </w:r>
            <w:r>
              <w:rPr>
                <w:rFonts w:hint="default" w:ascii="Times New Roman" w:hAnsi="Times New Roman" w:cs="Times New Roman"/>
                <w:b w:val="0"/>
                <w:bCs w:val="0"/>
                <w:color w:val="auto"/>
                <w:sz w:val="24"/>
                <w:szCs w:val="24"/>
                <w:highlight w:val="none"/>
                <w:lang w:eastAsia="zh-CN"/>
              </w:rPr>
              <w:t>、施工废水</w:t>
            </w:r>
            <w:r>
              <w:rPr>
                <w:rFonts w:hint="default" w:ascii="Times New Roman" w:hAnsi="Times New Roman" w:cs="Times New Roman"/>
                <w:b w:val="0"/>
                <w:bCs w:val="0"/>
                <w:color w:val="auto"/>
                <w:sz w:val="24"/>
                <w:szCs w:val="24"/>
                <w:highlight w:val="none"/>
                <w:lang w:val="en-US" w:eastAsia="zh-CN"/>
              </w:rPr>
              <w:t>和管道闭水实验废水</w:t>
            </w:r>
            <w:r>
              <w:rPr>
                <w:rFonts w:hint="default" w:ascii="Times New Roman" w:hAnsi="Times New Roman" w:cs="Times New Roman"/>
                <w:b w:val="0"/>
                <w:bCs w:val="0"/>
                <w:color w:val="auto"/>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（1）施工废水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1）供水厂施工废水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施工废水中的主要污染物为pH（一般大于7）、SS、COD、石油类，污水中COD浓度值最高约500mg/L、BOD</w:t>
            </w:r>
            <w:r>
              <w:rPr>
                <w:rFonts w:hint="default" w:ascii="Times New Roman" w:hAnsi="Times New Roman" w:cs="Times New Roman"/>
                <w:color w:val="auto"/>
                <w:sz w:val="24"/>
                <w:szCs w:val="24"/>
                <w:highlight w:val="none"/>
                <w:vertAlign w:val="subscript"/>
                <w:lang w:eastAsia="zh-CN"/>
              </w:rPr>
              <w:t>5</w:t>
            </w:r>
            <w:r>
              <w:rPr>
                <w:rFonts w:hint="default" w:ascii="Times New Roman" w:hAnsi="Times New Roman" w:cs="Times New Roman"/>
                <w:color w:val="auto"/>
                <w:sz w:val="24"/>
                <w:szCs w:val="24"/>
                <w:highlight w:val="none"/>
                <w:lang w:eastAsia="zh-CN"/>
              </w:rPr>
              <w:t>约400mg/L、SS约1000mg/L。经类比分析，项目施工期施工废水预计排放量为5m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/d，为防止施工废水对区域地表水环境造成影响，环评要求建设单位应采取以下污染防治措施：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①施工场地设置排水沟（沟宽×深≥300×300mm，排水坡度应大于3%）和三级沉淀池（池体容积≥4m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），车辆冲洗点配套修建隔油设施（池体容积≥1m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），废水经沉淀、隔油处理后全部回用。</w:t>
            </w:r>
            <w:r>
              <w:rPr>
                <w:rFonts w:hint="default" w:ascii="Times New Roman" w:hAnsi="Times New Roman" w:cs="Times New Roman"/>
                <w:color w:val="auto"/>
                <w:sz w:val="24"/>
                <w:szCs w:val="24"/>
                <w:highlight w:val="none"/>
                <w:lang w:val="en-US" w:eastAsia="zh-CN"/>
              </w:rPr>
              <w:t>禁止废水直接排入地表水体。</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②加强施工管理，严格避免超挖、禁止雨天开挖作业；场地内地下渗水、试压废水、管道清洗废水等应收集后用作车辆冲洗、洒水降尘等；</w:t>
            </w:r>
            <w:r>
              <w:rPr>
                <w:rFonts w:hint="default" w:ascii="Times New Roman" w:hAnsi="Times New Roman" w:cs="Times New Roman"/>
                <w:color w:val="auto"/>
                <w:sz w:val="24"/>
                <w:szCs w:val="24"/>
                <w:highlight w:val="none"/>
                <w:lang w:val="en-US" w:eastAsia="zh-CN"/>
              </w:rPr>
              <w:t>禁止将污染物直接排入地表水体</w:t>
            </w:r>
            <w:r>
              <w:rPr>
                <w:rFonts w:hint="default" w:ascii="Times New Roman" w:hAnsi="Times New Roman" w:cs="Times New Roman"/>
                <w:color w:val="auto"/>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③输水管线施工时，应尽量缩短施工时间，避免在雨天施工。</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④禁止在饮用水水源保护区</w:t>
            </w:r>
            <w:r>
              <w:rPr>
                <w:rFonts w:hint="default" w:ascii="Times New Roman" w:hAnsi="Times New Roman" w:cs="Times New Roman"/>
                <w:color w:val="auto"/>
                <w:sz w:val="24"/>
                <w:szCs w:val="24"/>
                <w:highlight w:val="none"/>
                <w:lang w:eastAsia="zh-CN"/>
              </w:rPr>
              <w:t>范围</w:t>
            </w:r>
            <w:r>
              <w:rPr>
                <w:rFonts w:hint="default" w:ascii="Times New Roman" w:hAnsi="Times New Roman" w:cs="Times New Roman"/>
                <w:color w:val="auto"/>
                <w:sz w:val="24"/>
                <w:szCs w:val="24"/>
                <w:highlight w:val="none"/>
                <w:lang w:val="en-US" w:eastAsia="zh-CN"/>
              </w:rPr>
              <w:t>内</w:t>
            </w:r>
            <w:r>
              <w:rPr>
                <w:rFonts w:hint="default" w:ascii="Times New Roman" w:hAnsi="Times New Roman" w:cs="Times New Roman"/>
                <w:color w:val="auto"/>
                <w:sz w:val="24"/>
                <w:szCs w:val="24"/>
                <w:highlight w:val="none"/>
                <w:lang w:eastAsia="zh-CN"/>
              </w:rPr>
              <w:t>布局施工营地。</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2）取水口涉水工程施工废水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根据地形条件，取水口采用岸边全断围堰导流，围堰的堰体利用沿线开挖料填筑，迎水面采用编织袋装土料填筑，结合双层土工膜防渗，迎水面并采用铅丝石笼护面处理。施工废水产生量约为20m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/d。废水中以SS为主要污染物，经类比分析，采用围堰法施工，施工处下游100m范围外SS 增量不超过50mg/L，对下游100m范围外水域水质不产生污染影响。取水口涉水工程施工废水用离心泵抽至临时沉淀池沉淀后回用于降尘，禁止外排。同时在施工结束后清理河床将其恢复原貌。</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b/>
                <w:bCs/>
                <w:color w:val="auto"/>
                <w:sz w:val="24"/>
                <w:szCs w:val="24"/>
                <w:highlight w:val="none"/>
                <w:lang w:eastAsia="zh-CN"/>
              </w:rPr>
              <w:t>项目取水泵房施工地点离</w:t>
            </w:r>
            <w:r>
              <w:rPr>
                <w:rFonts w:hint="default" w:ascii="Times New Roman" w:hAnsi="Times New Roman" w:cs="Times New Roman"/>
                <w:b/>
                <w:bCs/>
                <w:color w:val="auto"/>
                <w:sz w:val="24"/>
                <w:szCs w:val="24"/>
                <w:highlight w:val="none"/>
                <w:lang w:val="en-US" w:eastAsia="zh-CN"/>
              </w:rPr>
              <w:t>中河</w:t>
            </w:r>
            <w:r>
              <w:rPr>
                <w:rFonts w:hint="default" w:ascii="Times New Roman" w:hAnsi="Times New Roman" w:cs="Times New Roman"/>
                <w:b/>
                <w:bCs/>
                <w:color w:val="auto"/>
                <w:sz w:val="24"/>
                <w:szCs w:val="24"/>
                <w:highlight w:val="none"/>
                <w:lang w:eastAsia="zh-CN"/>
              </w:rPr>
              <w:t>较近以及取水口涉水，环评要求：为保护水体的环境质量，取水口涉水工程应尽量选择在枯水季节施工，以避免污染水质；严禁将施工弃渣、弃土、垃圾以及未经处理的废水、废液直接倾倒至</w:t>
            </w:r>
            <w:r>
              <w:rPr>
                <w:rFonts w:hint="default" w:ascii="Times New Roman" w:hAnsi="Times New Roman" w:cs="Times New Roman"/>
                <w:b/>
                <w:bCs/>
                <w:color w:val="auto"/>
                <w:sz w:val="24"/>
                <w:szCs w:val="24"/>
                <w:highlight w:val="none"/>
                <w:lang w:val="en-US" w:eastAsia="zh-CN"/>
              </w:rPr>
              <w:t>中河</w:t>
            </w:r>
            <w:r>
              <w:rPr>
                <w:rFonts w:hint="default" w:ascii="Times New Roman" w:hAnsi="Times New Roman" w:cs="Times New Roman"/>
                <w:color w:val="auto"/>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b/>
                <w:bCs/>
                <w:color w:val="auto"/>
                <w:sz w:val="24"/>
                <w:szCs w:val="24"/>
                <w:highlight w:val="none"/>
                <w:lang w:eastAsia="zh-CN"/>
              </w:rPr>
              <w:t>（2）生活污水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项目施工人员预计可达30人，根据《四川省用水定额》（川府函〔2021〕8号），施工人员生活用水量按</w:t>
            </w:r>
            <w:r>
              <w:rPr>
                <w:rFonts w:hint="default"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lang w:eastAsia="zh-CN"/>
              </w:rPr>
              <w:t>L/人·d计，生活污水产生系数取0.85，则生活污水产生量为</w:t>
            </w:r>
            <w:r>
              <w:rPr>
                <w:rFonts w:hint="default" w:ascii="Times New Roman" w:hAnsi="Times New Roman" w:cs="Times New Roman"/>
                <w:color w:val="auto"/>
                <w:sz w:val="24"/>
                <w:szCs w:val="24"/>
                <w:highlight w:val="none"/>
                <w:lang w:val="en-US" w:eastAsia="zh-CN"/>
              </w:rPr>
              <w:t>1.66</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/d。生活污水依托</w:t>
            </w:r>
            <w:r>
              <w:rPr>
                <w:rFonts w:hint="default" w:ascii="Times New Roman" w:hAnsi="Times New Roman" w:cs="Times New Roman"/>
                <w:color w:val="auto"/>
                <w:sz w:val="24"/>
                <w:szCs w:val="24"/>
                <w:highlight w:val="none"/>
                <w:lang w:val="en-US" w:eastAsia="zh-CN"/>
              </w:rPr>
              <w:t>周边</w:t>
            </w:r>
            <w:r>
              <w:rPr>
                <w:rFonts w:hint="default" w:ascii="Times New Roman" w:hAnsi="Times New Roman" w:cs="Times New Roman"/>
                <w:color w:val="auto"/>
                <w:sz w:val="24"/>
                <w:szCs w:val="24"/>
                <w:highlight w:val="none"/>
                <w:lang w:eastAsia="zh-CN"/>
              </w:rPr>
              <w:t>民房现有的污水处理设施进行处理。</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管道闭水试验废水</w:t>
            </w:r>
          </w:p>
          <w:p>
            <w:pPr>
              <w:pageBreakBefore w:val="0"/>
              <w:kinsoku/>
              <w:wordWrap/>
              <w:bidi w:val="0"/>
              <w:spacing w:line="360" w:lineRule="auto"/>
              <w:ind w:left="0" w:leftChars="0" w:right="0" w:firstLine="48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管道闭水试验废水主要为管道测试时产生的废水，该部分废水主要污染因子为COD、SS、石油类，浓度分别为：100~120mg/L、800~2000mg/L、10~30mg/L。该部分废水经沉淀池沉淀后回用于场地洒水抑尘。</w:t>
            </w:r>
          </w:p>
          <w:p>
            <w:pPr>
              <w:pageBreakBefore w:val="0"/>
              <w:kinsoku/>
              <w:wordWrap/>
              <w:bidi w:val="0"/>
              <w:spacing w:line="360" w:lineRule="auto"/>
              <w:ind w:left="0" w:leftChars="0" w:right="0" w:firstLine="480"/>
              <w:rPr>
                <w:rFonts w:hint="default" w:ascii="Times New Roman" w:hAnsi="Times New Roman" w:cs="Times New Roman"/>
                <w:color w:val="auto"/>
                <w:sz w:val="24"/>
                <w:szCs w:val="24"/>
                <w:highlight w:val="none"/>
              </w:rPr>
            </w:pPr>
            <w:r>
              <w:rPr>
                <w:rFonts w:hint="default" w:ascii="Times New Roman" w:hAnsi="Times New Roman" w:cs="Times New Roman"/>
                <w:bCs/>
                <w:color w:val="auto"/>
                <w:kern w:val="0"/>
                <w:sz w:val="24"/>
                <w:highlight w:val="none"/>
              </w:rPr>
              <w:t>综上，施工废水经沉淀后</w:t>
            </w:r>
            <w:r>
              <w:rPr>
                <w:rFonts w:hint="default" w:ascii="Times New Roman" w:hAnsi="Times New Roman" w:cs="Times New Roman"/>
                <w:bCs/>
                <w:color w:val="auto"/>
                <w:sz w:val="24"/>
                <w:highlight w:val="none"/>
              </w:rPr>
              <w:t>回用，不外排</w:t>
            </w:r>
            <w:r>
              <w:rPr>
                <w:rFonts w:hint="default" w:ascii="Times New Roman" w:hAnsi="Times New Roman" w:cs="Times New Roman"/>
                <w:bCs/>
                <w:color w:val="auto"/>
                <w:kern w:val="0"/>
                <w:sz w:val="24"/>
                <w:highlight w:val="none"/>
              </w:rPr>
              <w:t>；生活污水</w:t>
            </w:r>
            <w:r>
              <w:rPr>
                <w:rFonts w:hint="eastAsia" w:ascii="宋体" w:hAnsi="宋体" w:eastAsia="宋体" w:cs="宋体"/>
                <w:color w:val="auto"/>
                <w:kern w:val="0"/>
                <w:sz w:val="24"/>
                <w:szCs w:val="24"/>
                <w:highlight w:val="none"/>
                <w:lang w:val="en-US" w:eastAsia="zh-CN" w:bidi="ar"/>
              </w:rPr>
              <w:t>依托租用民房现有的污水处理设施进行处理；闭水试验废水</w:t>
            </w:r>
            <w:r>
              <w:rPr>
                <w:rFonts w:hint="default" w:ascii="Times New Roman" w:hAnsi="Times New Roman" w:cs="Times New Roman"/>
                <w:color w:val="auto"/>
                <w:sz w:val="24"/>
                <w:szCs w:val="24"/>
                <w:highlight w:val="none"/>
                <w:lang w:eastAsia="zh-CN"/>
              </w:rPr>
              <w:t>沉淀后回用</w:t>
            </w:r>
            <w:r>
              <w:rPr>
                <w:rFonts w:hint="default" w:ascii="Times New Roman" w:hAnsi="Times New Roman" w:cs="Times New Roman"/>
                <w:bCs/>
                <w:color w:val="auto"/>
                <w:sz w:val="24"/>
                <w:highlight w:val="none"/>
              </w:rPr>
              <w:t>，不外排</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cs="Times New Roman"/>
                <w:color w:val="auto"/>
                <w:sz w:val="24"/>
                <w:szCs w:val="24"/>
                <w:highlight w:val="none"/>
                <w:lang w:val="en-US" w:eastAsia="zh-CN"/>
              </w:rPr>
              <w:t>采取</w:t>
            </w:r>
            <w:r>
              <w:rPr>
                <w:rFonts w:hint="default" w:ascii="Times New Roman" w:hAnsi="Times New Roman" w:cs="Times New Roman"/>
                <w:color w:val="auto"/>
                <w:sz w:val="24"/>
                <w:szCs w:val="24"/>
                <w:highlight w:val="none"/>
              </w:rPr>
              <w:t>上述措施后，其对环境的影响是可接受的。</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3、噪声</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施工期噪声主要来源于施工现场的各类机械设备噪声，不同施工阶段和不同施工机械发出的噪声水平是不同的，且有大量设备交互作业，各施工阶段主要施工机械设备噪声源强值见表4-1。</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表4-1</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主要机械设备源强值</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635"/>
              <w:gridCol w:w="1499"/>
              <w:gridCol w:w="1501"/>
              <w:gridCol w:w="1499"/>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pct"/>
                  <w:gridSpan w:val="2"/>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施工设备明名称</w:t>
                  </w:r>
                </w:p>
              </w:tc>
              <w:tc>
                <w:tcPr>
                  <w:tcW w:w="858"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运输车辆</w:t>
                  </w:r>
                </w:p>
              </w:tc>
              <w:tc>
                <w:tcPr>
                  <w:tcW w:w="859"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装载</w:t>
                  </w:r>
                </w:p>
              </w:tc>
              <w:tc>
                <w:tcPr>
                  <w:tcW w:w="858"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推土机</w:t>
                  </w:r>
                </w:p>
              </w:tc>
              <w:tc>
                <w:tcPr>
                  <w:tcW w:w="859"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挖掘机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Merge w:val="restar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噪声值</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dB（A）</w:t>
                  </w:r>
                </w:p>
              </w:tc>
              <w:tc>
                <w:tcPr>
                  <w:tcW w:w="936"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距机械5m处</w:t>
                  </w:r>
                </w:p>
              </w:tc>
              <w:tc>
                <w:tcPr>
                  <w:tcW w:w="858"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90</w:t>
                  </w:r>
                </w:p>
              </w:tc>
              <w:tc>
                <w:tcPr>
                  <w:tcW w:w="859"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93</w:t>
                  </w:r>
                </w:p>
              </w:tc>
              <w:tc>
                <w:tcPr>
                  <w:tcW w:w="858"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82</w:t>
                  </w:r>
                </w:p>
              </w:tc>
              <w:tc>
                <w:tcPr>
                  <w:tcW w:w="859"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p>
              </w:tc>
              <w:tc>
                <w:tcPr>
                  <w:tcW w:w="936"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距机械10m处</w:t>
                  </w:r>
                </w:p>
              </w:tc>
              <w:tc>
                <w:tcPr>
                  <w:tcW w:w="858"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84</w:t>
                  </w:r>
                </w:p>
              </w:tc>
              <w:tc>
                <w:tcPr>
                  <w:tcW w:w="859"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87</w:t>
                  </w:r>
                </w:p>
              </w:tc>
              <w:tc>
                <w:tcPr>
                  <w:tcW w:w="858"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76</w:t>
                  </w:r>
                </w:p>
              </w:tc>
              <w:tc>
                <w:tcPr>
                  <w:tcW w:w="859"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83</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为实现施工场界噪声达标排放，降低施工噪声对周围环境的影响，施工单位需严格按照相关要求文明施工，采取以下噪声防治措施：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①选用符合国家标准的低噪声设备，定期加强对设备的维修保养，避免由于设备非正常工作而产生噪声污染。</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②合理安排施工时间，禁止夜间（22:00~6:00）和午间（12:00~14:00）施工，施工期若必须连续进行强噪声作业时，</w:t>
            </w:r>
            <w:r>
              <w:rPr>
                <w:rFonts w:hint="default" w:ascii="Times New Roman" w:hAnsi="Times New Roman" w:cs="Times New Roman"/>
                <w:color w:val="auto"/>
                <w:sz w:val="24"/>
                <w:szCs w:val="24"/>
                <w:highlight w:val="none"/>
                <w:lang w:val="en-US" w:eastAsia="zh-CN"/>
              </w:rPr>
              <w:t>须</w:t>
            </w:r>
            <w:r>
              <w:rPr>
                <w:rFonts w:hint="default" w:ascii="Times New Roman" w:hAnsi="Times New Roman" w:cs="Times New Roman"/>
                <w:color w:val="auto"/>
                <w:sz w:val="24"/>
                <w:szCs w:val="24"/>
                <w:highlight w:val="none"/>
                <w:lang w:eastAsia="zh-CN"/>
              </w:rPr>
              <w:t>事先征得周围居民同意，向当地管理部门申报。</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③加强管理，文明施工。装卸、搬运木材、模具、钢材等严禁抛掷，材料运输车辆进场要专人指挥，厂内运输车辆实施限速、禁止鸣笛。施工监理单位应做好噪声控制措施，确保施工场界噪声达标排放。</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④施工运输车辆应按照有关部门同意的运输路线行进，运输时间应避开居民进出高峰期，同时严格限速、限载管理，禁止鸣笛。</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⑤合理制定施工计划，加快施工进度，减少对周围居民影响；针对高噪声设备应采取临时性隔声措施，设置隔声屏障。</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⑥施工前应进行公示，施工单位应在现场张贴通告和投诉电话，建设单位在接到投诉电话后及时与主管部门联系，及时处理各种环境纠纷。</w:t>
            </w:r>
          </w:p>
          <w:p>
            <w:pPr>
              <w:pageBreakBefore w:val="0"/>
              <w:kinsoku/>
              <w:wordWrap/>
              <w:bidi w:val="0"/>
              <w:spacing w:line="360" w:lineRule="auto"/>
              <w:ind w:left="0" w:leftChars="0" w:right="0" w:firstLine="425"/>
              <w:rPr>
                <w:rFonts w:hint="default" w:ascii="Times New Roman" w:hAnsi="Times New Roman" w:cs="Times New Roman"/>
                <w:b/>
                <w:bCs/>
                <w:color w:val="auto"/>
                <w:highlight w:val="none"/>
              </w:rPr>
            </w:pPr>
            <w:r>
              <w:rPr>
                <w:rFonts w:hint="default" w:ascii="Times New Roman" w:hAnsi="Times New Roman" w:cs="Times New Roman"/>
                <w:b/>
                <w:bCs/>
                <w:color w:val="auto"/>
                <w:sz w:val="24"/>
                <w:szCs w:val="24"/>
                <w:highlight w:val="none"/>
              </w:rPr>
              <w:t>施工期经过采取上述噪声治理措施后，场界噪声可以满足《建筑施工场界环境噪声排放标准》（GB12523-2011）标准的要求，实现达标排放</w:t>
            </w:r>
            <w:r>
              <w:rPr>
                <w:rFonts w:hint="default" w:ascii="Times New Roman" w:hAnsi="Times New Roman" w:cs="Times New Roman"/>
                <w:b/>
                <w:bCs/>
                <w:color w:val="auto"/>
                <w:sz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4、固体废物</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（1）土石方</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根据初步设计阶段主体工程土石方调配规划，</w:t>
            </w:r>
            <w:r>
              <w:rPr>
                <w:rFonts w:hint="default" w:ascii="Times New Roman" w:hAnsi="Times New Roman" w:cs="Times New Roman"/>
                <w:color w:val="auto"/>
                <w:sz w:val="24"/>
                <w:szCs w:val="32"/>
                <w:highlight w:val="none"/>
                <w:vertAlign w:val="baseline"/>
                <w:lang w:val="en-US" w:eastAsia="zh-CN"/>
              </w:rPr>
              <w:t>工程总计开挖土石方52235.4m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（自然方，包括表土剥离），其中填方量23557m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（自然方），弃渣量28678.4m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（自然方）。剥离的表土全部用于植物绿化的表土回覆，弃渣运输到政府部门指定弃渣场处理</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为了控制土石方对环境的污染，减少堆放和运输过程中对环境的影响，建议采取如下措施：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①本项目管道开挖的土方均临时堆积于管线两侧，管道埋入后立即用于回填，施工建筑垃圾应按照市政、规划部门要求在指定地点进行填筑，回填场地如暂时不予利用，应防止水土流失。</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施工过程中产生的弃土尽可能用于道路工程的填方和周边土地平整填方，弃土堆放管道两侧，并采取水土保持防护措施，符合水土保持要求，并及时拉运至政府部门指定弃渣场处理。工程在动工前对各类土地可利用的表土进行剥离，剥离后的表土根据施工点就近布置在场地平缓地带，待绿化工程启动后用地工程绿化，工程不设置永久弃渣场。</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同时，本环评要求：施工期禁止大风天气和雨天进行土石方开挖作业，开挖的土石方应及时回填，回填后应及时夯实覆土；施工完成后，应尽快进行绿化建设，优先选用固沙植物，覆盖的泥土应不超出绿化边界。</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（2）建筑垃圾</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施工期建筑垃圾包括建筑废料和装修垃圾，预计产生量约</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t。环评要求：施工现场应设置建筑垃圾临时堆场并树立标示牌，采取进行防雨、防泄漏处理。对于施工期间产生的可回收利用的废料（如钢筋、钢板、木材等下角料）通过分类收集后交废物收购站处理；对不能回收的建筑废物不能随意倾倒，而应用编织袋包装后清运到建筑垃圾处置场。</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（3）生活垃圾</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施工期生活垃圾主要为施工人员办公生活过程的产生的垃圾，施工人员预计约30人，生活垃圾产生量按0.5kg/人·d计，预计产生量15kg/d，生活垃圾经袋装收集后，由环卫部门统一清运处理。</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（4）废包装料</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施工期设备安装过程废包材料以塑料膜、纸板等为主，预计产生量约0.5t，应分类收集后统一外售至废旧资源回收站。</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5）清管废渣</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本项目管道施工完成试运行前对管道进行清管、试压，清管时会产生少量废渣，主要为管道内的少量灰尘和铁锈，产生的量约为5kg/次，均属于一般固废，可交由当地环卫部门统一清运处理。</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在采取以上措施后，管网工程产生的固体废物均能得到有效处置或综合利用，对管网周围环境影响较小。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5、生态环境</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本</w:t>
            </w:r>
            <w:r>
              <w:rPr>
                <w:rFonts w:hint="default" w:ascii="Times New Roman" w:hAnsi="Times New Roman" w:cs="Times New Roman"/>
                <w:color w:val="auto"/>
                <w:sz w:val="24"/>
                <w:szCs w:val="24"/>
                <w:highlight w:val="none"/>
                <w:lang w:eastAsia="zh-CN"/>
              </w:rPr>
              <w:t>项目永久占地</w:t>
            </w:r>
            <w:r>
              <w:rPr>
                <w:rFonts w:hint="default" w:ascii="Times New Roman" w:hAnsi="Times New Roman" w:cs="Times New Roman"/>
                <w:color w:val="auto"/>
                <w:sz w:val="24"/>
                <w:szCs w:val="24"/>
                <w:highlight w:val="none"/>
                <w:lang w:val="en-US" w:eastAsia="zh-CN"/>
              </w:rPr>
              <w:t>为供水厂5100m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32"/>
                <w:highlight w:val="none"/>
                <w:vertAlign w:val="baseline"/>
                <w:lang w:val="en-US" w:eastAsia="zh-CN"/>
              </w:rPr>
              <w:t>临时占地为管道敷设占地约0.4</w:t>
            </w:r>
            <w:r>
              <w:rPr>
                <w:rFonts w:hint="eastAsia" w:ascii="Times New Roman" w:hAnsi="Times New Roman" w:cs="Times New Roman"/>
                <w:color w:val="auto"/>
                <w:sz w:val="24"/>
                <w:szCs w:val="32"/>
                <w:highlight w:val="none"/>
                <w:vertAlign w:val="baseline"/>
                <w:lang w:val="en-US" w:eastAsia="zh-CN"/>
              </w:rPr>
              <w:t>8</w:t>
            </w:r>
            <w:r>
              <w:rPr>
                <w:rFonts w:hint="default" w:ascii="Times New Roman" w:hAnsi="Times New Roman" w:cs="Times New Roman"/>
                <w:color w:val="auto"/>
                <w:sz w:val="24"/>
                <w:szCs w:val="32"/>
                <w:highlight w:val="none"/>
                <w:vertAlign w:val="baseline"/>
                <w:lang w:val="en-US" w:eastAsia="zh-CN"/>
              </w:rPr>
              <w:t>km</w:t>
            </w:r>
            <w:r>
              <w:rPr>
                <w:rFonts w:hint="default" w:ascii="Times New Roman" w:hAnsi="Times New Roman" w:cs="Times New Roman"/>
                <w:color w:val="auto"/>
                <w:sz w:val="24"/>
                <w:szCs w:val="32"/>
                <w:highlight w:val="none"/>
                <w:vertAlign w:val="superscript"/>
                <w:lang w:val="en-US" w:eastAsia="zh-CN"/>
              </w:rPr>
              <w:t>2</w:t>
            </w:r>
            <w:r>
              <w:rPr>
                <w:rFonts w:hint="default" w:ascii="Times New Roman" w:hAnsi="Times New Roman" w:cs="Times New Roman"/>
                <w:color w:val="auto"/>
                <w:sz w:val="24"/>
                <w:szCs w:val="24"/>
                <w:highlight w:val="none"/>
                <w:lang w:eastAsia="zh-CN"/>
              </w:rPr>
              <w:t>，占地类型主要为耕地、林地、草地、</w:t>
            </w:r>
            <w:r>
              <w:rPr>
                <w:rFonts w:hint="default" w:ascii="Times New Roman" w:hAnsi="Times New Roman" w:cs="Times New Roman"/>
                <w:color w:val="auto"/>
                <w:sz w:val="24"/>
                <w:szCs w:val="24"/>
                <w:highlight w:val="none"/>
                <w:lang w:val="en-US" w:eastAsia="zh-CN"/>
              </w:rPr>
              <w:t>道路</w:t>
            </w:r>
            <w:r>
              <w:rPr>
                <w:rFonts w:hint="eastAsia" w:ascii="Times New Roman" w:hAnsi="Times New Roman" w:cs="Times New Roman"/>
                <w:color w:val="auto"/>
                <w:sz w:val="24"/>
                <w:szCs w:val="24"/>
                <w:highlight w:val="none"/>
                <w:lang w:val="en-US" w:eastAsia="zh-CN"/>
              </w:rPr>
              <w:t>等</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eastAsia="zh-CN"/>
              </w:rPr>
              <w:t>建设期间的施工作业带、弃渣堆放、工程临时占地将破坏原有植被，造成一定的新增水土流失，对</w:t>
            </w: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eastAsia="zh-CN"/>
              </w:rPr>
              <w:t>直接影响区生态环境有一定的不利影响。由于</w:t>
            </w: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eastAsia="zh-CN"/>
              </w:rPr>
              <w:t>建设期短，不利影响很快就消失。施工结束后对破坏区域进行恢复和绿化。</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施工期环境影响</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不涉水施工生态环境影响</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本项目水厂和沿道路施工的管网敷设，取水泵站属于沿河段施工，均属于不涉水施工工程，其施工期主要生态保护对象为陆生动植物。</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b/>
                <w:bCs/>
                <w:color w:val="auto"/>
                <w:sz w:val="24"/>
                <w:szCs w:val="24"/>
                <w:highlight w:val="none"/>
                <w:lang w:eastAsia="zh-CN"/>
              </w:rPr>
              <w:t>陆生植物：</w:t>
            </w:r>
            <w:r>
              <w:rPr>
                <w:rFonts w:hint="default" w:ascii="Times New Roman" w:hAnsi="Times New Roman" w:cs="Times New Roman"/>
                <w:color w:val="auto"/>
                <w:sz w:val="24"/>
                <w:szCs w:val="24"/>
                <w:highlight w:val="none"/>
                <w:lang w:eastAsia="zh-CN"/>
              </w:rPr>
              <w:t>经</w:t>
            </w:r>
            <w:r>
              <w:rPr>
                <w:rFonts w:hint="default" w:ascii="Times New Roman" w:hAnsi="Times New Roman" w:cs="Times New Roman"/>
                <w:color w:val="auto"/>
                <w:sz w:val="24"/>
                <w:szCs w:val="24"/>
                <w:highlight w:val="none"/>
                <w:lang w:val="en-US" w:eastAsia="zh-CN"/>
              </w:rPr>
              <w:t>调查</w:t>
            </w:r>
            <w:r>
              <w:rPr>
                <w:rFonts w:hint="default" w:ascii="Times New Roman" w:hAnsi="Times New Roman" w:cs="Times New Roman"/>
                <w:color w:val="auto"/>
                <w:sz w:val="24"/>
                <w:szCs w:val="24"/>
                <w:highlight w:val="none"/>
                <w:lang w:eastAsia="zh-CN"/>
              </w:rPr>
              <w:t>，评价范围内植被以农业栽培植被为主，零星分布有针叶林、阔叶林、竹林、灌木林等森林植被，</w:t>
            </w:r>
            <w:r>
              <w:rPr>
                <w:rFonts w:hint="default" w:ascii="Times New Roman" w:hAnsi="Times New Roman" w:cs="Times New Roman"/>
                <w:color w:val="auto"/>
                <w:sz w:val="24"/>
                <w:szCs w:val="24"/>
                <w:highlight w:val="none"/>
                <w:lang w:val="en-US" w:eastAsia="zh-CN"/>
              </w:rPr>
              <w:t>无</w:t>
            </w:r>
            <w:r>
              <w:rPr>
                <w:rFonts w:hint="default" w:ascii="Times New Roman" w:hAnsi="Times New Roman" w:cs="Times New Roman"/>
                <w:color w:val="auto"/>
                <w:sz w:val="24"/>
                <w:szCs w:val="24"/>
                <w:highlight w:val="none"/>
                <w:lang w:eastAsia="zh-CN"/>
              </w:rPr>
              <w:t>国家保护的珍稀植物分布。施工过程中，局部开挖和工程占地将导致植被遭到破坏，区域环境中绿地数量较施工前相对减少。</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b/>
                <w:bCs/>
                <w:color w:val="auto"/>
                <w:sz w:val="24"/>
                <w:szCs w:val="24"/>
                <w:highlight w:val="none"/>
                <w:lang w:eastAsia="zh-CN"/>
              </w:rPr>
              <w:t>陆生动物：</w:t>
            </w:r>
            <w:r>
              <w:rPr>
                <w:rFonts w:hint="default" w:ascii="Times New Roman" w:hAnsi="Times New Roman" w:cs="Times New Roman"/>
                <w:color w:val="auto"/>
                <w:sz w:val="24"/>
                <w:szCs w:val="24"/>
                <w:highlight w:val="none"/>
                <w:lang w:eastAsia="zh-CN"/>
              </w:rPr>
              <w:t>经</w:t>
            </w:r>
            <w:r>
              <w:rPr>
                <w:rFonts w:hint="default" w:ascii="Times New Roman" w:hAnsi="Times New Roman" w:cs="Times New Roman"/>
                <w:color w:val="auto"/>
                <w:sz w:val="24"/>
                <w:szCs w:val="24"/>
                <w:highlight w:val="none"/>
                <w:lang w:val="en-US" w:eastAsia="zh-CN"/>
              </w:rPr>
              <w:t>调查</w:t>
            </w:r>
            <w:r>
              <w:rPr>
                <w:rFonts w:hint="default" w:ascii="Times New Roman" w:hAnsi="Times New Roman" w:cs="Times New Roman"/>
                <w:color w:val="auto"/>
                <w:sz w:val="24"/>
                <w:szCs w:val="24"/>
                <w:highlight w:val="none"/>
                <w:lang w:eastAsia="zh-CN"/>
              </w:rPr>
              <w:t>，评价</w:t>
            </w:r>
            <w:r>
              <w:rPr>
                <w:rFonts w:hint="default" w:ascii="Times New Roman" w:hAnsi="Times New Roman" w:cs="Times New Roman"/>
                <w:color w:val="auto"/>
                <w:sz w:val="24"/>
                <w:szCs w:val="24"/>
                <w:highlight w:val="none"/>
                <w:lang w:val="en-US" w:eastAsia="zh-CN"/>
              </w:rPr>
              <w:t>范围</w:t>
            </w:r>
            <w:r>
              <w:rPr>
                <w:rFonts w:hint="default" w:ascii="Times New Roman" w:hAnsi="Times New Roman" w:cs="Times New Roman"/>
                <w:color w:val="auto"/>
                <w:sz w:val="24"/>
                <w:szCs w:val="24"/>
                <w:highlight w:val="none"/>
                <w:lang w:eastAsia="zh-CN"/>
              </w:rPr>
              <w:t>内野生动物资源主要种类有麻雀、喜鹊，无国家级和省级保护的珍稀野生动物分布。工程建设开始后，随着工程的实施，将破坏施工区内现有野生动物的生存环境，使该区域的动物不得不迁移到适宜的环境中去栖息和繁衍，使该区域的动物数量呈减少趋势。</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涉水施工生态环境影响</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本项目取水口和管线沿河或穿越河段施工属于涉水施工工程，其施工期主要保护对象为水生生物。</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b/>
                <w:bCs/>
                <w:color w:val="auto"/>
                <w:sz w:val="24"/>
                <w:szCs w:val="24"/>
                <w:highlight w:val="none"/>
                <w:lang w:eastAsia="zh-CN"/>
              </w:rPr>
              <w:t>水生生物：</w:t>
            </w:r>
            <w:r>
              <w:rPr>
                <w:rFonts w:hint="default" w:ascii="Times New Roman" w:hAnsi="Times New Roman" w:cs="Times New Roman"/>
                <w:color w:val="auto"/>
                <w:sz w:val="24"/>
                <w:szCs w:val="24"/>
                <w:highlight w:val="none"/>
                <w:lang w:eastAsia="zh-CN"/>
              </w:rPr>
              <w:t>经调查，</w:t>
            </w:r>
            <w:r>
              <w:rPr>
                <w:rFonts w:hint="default" w:ascii="Times New Roman" w:hAnsi="Times New Roman" w:cs="Times New Roman"/>
                <w:b w:val="0"/>
                <w:bCs w:val="0"/>
                <w:color w:val="auto"/>
                <w:sz w:val="24"/>
                <w:szCs w:val="24"/>
                <w:highlight w:val="none"/>
                <w:lang w:val="en-US" w:eastAsia="zh-CN"/>
              </w:rPr>
              <w:t>取水口和管线沿河或穿越河段</w:t>
            </w:r>
            <w:r>
              <w:rPr>
                <w:rFonts w:hint="eastAsia" w:ascii="Times New Roman" w:hAnsi="Times New Roman" w:cs="Times New Roman"/>
                <w:b w:val="0"/>
                <w:bCs w:val="0"/>
                <w:color w:val="auto"/>
                <w:sz w:val="24"/>
                <w:szCs w:val="24"/>
                <w:highlight w:val="none"/>
                <w:lang w:val="en-US" w:eastAsia="zh-CN"/>
              </w:rPr>
              <w:t>均无</w:t>
            </w:r>
            <w:r>
              <w:rPr>
                <w:rFonts w:hint="default" w:ascii="Times New Roman" w:hAnsi="Times New Roman" w:cs="Times New Roman"/>
                <w:color w:val="auto"/>
                <w:sz w:val="24"/>
                <w:szCs w:val="24"/>
                <w:highlight w:val="none"/>
                <w:lang w:eastAsia="zh-CN"/>
              </w:rPr>
              <w:t>珍稀保护水生物和</w:t>
            </w:r>
            <w:r>
              <w:rPr>
                <w:rFonts w:hint="default" w:ascii="Times New Roman" w:hAnsi="Times New Roman" w:cs="Times New Roman"/>
                <w:color w:val="auto"/>
                <w:sz w:val="24"/>
                <w:szCs w:val="24"/>
                <w:highlight w:val="none"/>
                <w:lang w:val="en-US" w:eastAsia="zh-CN"/>
              </w:rPr>
              <w:t>鱼</w:t>
            </w:r>
            <w:r>
              <w:rPr>
                <w:rFonts w:hint="default" w:ascii="Times New Roman" w:hAnsi="Times New Roman" w:cs="Times New Roman"/>
                <w:color w:val="auto"/>
                <w:sz w:val="24"/>
                <w:szCs w:val="24"/>
                <w:highlight w:val="none"/>
                <w:lang w:eastAsia="zh-CN"/>
              </w:rPr>
              <w:t>类，水生</w:t>
            </w:r>
            <w:r>
              <w:rPr>
                <w:rFonts w:hint="default" w:ascii="Times New Roman" w:hAnsi="Times New Roman" w:cs="Times New Roman"/>
                <w:color w:val="auto"/>
                <w:sz w:val="24"/>
                <w:szCs w:val="24"/>
                <w:highlight w:val="none"/>
                <w:lang w:val="en-US" w:eastAsia="zh-CN"/>
              </w:rPr>
              <w:t>植物</w:t>
            </w:r>
            <w:r>
              <w:rPr>
                <w:rFonts w:hint="default" w:ascii="Times New Roman" w:hAnsi="Times New Roman" w:cs="Times New Roman"/>
                <w:color w:val="auto"/>
                <w:sz w:val="24"/>
                <w:szCs w:val="24"/>
                <w:highlight w:val="none"/>
                <w:lang w:eastAsia="zh-CN"/>
              </w:rPr>
              <w:t>以南方常见水生植被藻类及水草等为主，水生动物以常见鱼类为主，也没有重要保护湿地，且项目取水是在满足河道生态环境用水的前提下进行，因此本项目取水</w:t>
            </w:r>
            <w:r>
              <w:rPr>
                <w:rFonts w:hint="eastAsia" w:ascii="Times New Roman" w:hAnsi="Times New Roman" w:cs="Times New Roman"/>
                <w:color w:val="auto"/>
                <w:sz w:val="24"/>
                <w:szCs w:val="24"/>
                <w:highlight w:val="none"/>
                <w:lang w:val="en-US" w:eastAsia="zh-CN"/>
              </w:rPr>
              <w:t>和管线敷设</w:t>
            </w:r>
            <w:r>
              <w:rPr>
                <w:rFonts w:hint="default" w:ascii="Times New Roman" w:hAnsi="Times New Roman" w:cs="Times New Roman"/>
                <w:color w:val="auto"/>
                <w:sz w:val="24"/>
                <w:szCs w:val="24"/>
                <w:highlight w:val="none"/>
                <w:lang w:eastAsia="zh-CN"/>
              </w:rPr>
              <w:t>对水生生物生存环境影响</w:t>
            </w:r>
            <w:r>
              <w:rPr>
                <w:rFonts w:hint="default" w:ascii="Times New Roman" w:hAnsi="Times New Roman" w:cs="Times New Roman"/>
                <w:color w:val="auto"/>
                <w:sz w:val="24"/>
                <w:szCs w:val="24"/>
                <w:highlight w:val="none"/>
                <w:lang w:val="en-US" w:eastAsia="zh-CN"/>
              </w:rPr>
              <w:t>较小</w:t>
            </w:r>
            <w:r>
              <w:rPr>
                <w:rFonts w:hint="default" w:ascii="Times New Roman" w:hAnsi="Times New Roman" w:cs="Times New Roman"/>
                <w:color w:val="auto"/>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施工期生态环境保护措施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b/>
                <w:bCs/>
                <w:color w:val="auto"/>
                <w:sz w:val="24"/>
                <w:szCs w:val="24"/>
                <w:highlight w:val="none"/>
                <w:lang w:eastAsia="zh-CN"/>
              </w:rPr>
              <w:t>为防止施工期水土流失，环评要求施工阶段应采取以下措施：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①严格按照《中华人民共和国水土保持法》等有关法律法规以及当地有关部门的要求进行施工。</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②严格遵守环保法律法规，加强施工人员环保意识；科学合理的安排施工进度与时序，严格控制开挖施工作业面。</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③严格控制施工作业范围，合理安排施工进度，减少施工裸露面的暴露时间。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④为防止雨水、地表径流对堆料场和渣（土）体的冲刷，应对临时堆土、裸土采取覆盖、拦挡措施，避免雨水冲刷造成水土流失。</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⑤避免雨季进行挖填方作业，土石方及时回填，回填后及时夯实覆土，弃方及时清运。</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⑥施工完成后，做好施工迹地的恢复工作。</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⑦在施工作业带建排水沟，防止雨水冲刷场地，并在排水沟出口设沉淀池，使雨水经沉淀池沉清后回用，尽力减少施工期水土流失。</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⑧严格限值施工作业带宽度，禁止在施工作业带以外施工、加强野生动植物保护措施，禁止捕猎野生动物、禁止捕鱼。</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⑨</w:t>
            </w:r>
            <w:r>
              <w:rPr>
                <w:rFonts w:hint="default" w:ascii="Times New Roman" w:hAnsi="Times New Roman" w:cs="Times New Roman"/>
                <w:color w:val="auto"/>
                <w:sz w:val="24"/>
                <w:szCs w:val="24"/>
                <w:highlight w:val="none"/>
                <w:lang w:eastAsia="zh-CN"/>
              </w:rPr>
              <w:t>做好表层土剥离、暂存工作，施工结束后及时进行回铺表土、撒草绿化等，所选草种应具有抗逆性强、保土性好、生长快的特点，最大限度保护和恢复植被。</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⑩项目取水工程施工和输水管线施工过程中，部分区段里临近中河，并且本环评要求临河施工过程中，在施工现场设置排水沟、设立警示牌、尽量避免下雨施工，防止雨水冲刷施工场；施工单位应随时跟踪气象预报，事先了解降雨时间和特点，以便在降雨前将施工点的泥土清运、填铺的路面压实，并做好防护措施；雨季施工要做好场地的排水工作，保持排水系统的畅通。环评要求注意邻近路段的渣土禁止入河，堵塞河道，导致下游地表径流减少。</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⑪本工程输水管线需穿越中河、泥溪沟、楠竹溪、双河口，跨河时会对水质造成影响，施工期间应合理选择施工时间，在枯水期进行，尽量减少开挖范围，减少对水底底泥的搅动，施工造成的对水环境的影响只是暂时的，会随着施工的结束而消失。</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本项目施工过程中，将对原有地形地貌、土壤植被等产生一定的破坏，导致施工场地附近土壤结构破坏，林地退化，降低了表层土壤的抗蚀性，造成新的水土流失，本</w:t>
            </w: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eastAsia="zh-CN"/>
              </w:rPr>
              <w:t>虽然采取了一系列防护措施，但施工期间还是会对管线周边区域生态环境和自然景观造成一定程度的影响。</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本</w:t>
            </w:r>
            <w:r>
              <w:rPr>
                <w:rFonts w:hint="default" w:ascii="Times New Roman" w:hAnsi="Times New Roman" w:cs="Times New Roman"/>
                <w:color w:val="auto"/>
                <w:sz w:val="24"/>
                <w:szCs w:val="24"/>
                <w:highlight w:val="none"/>
                <w:lang w:eastAsia="zh-CN"/>
              </w:rPr>
              <w:t>项目管线施工结束后，会对临时占地进行生态恢复，故本项目施工占地对地表植被的影响是暂时的。</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rPr>
              <w:t>综上，项目施工期对环境产生的“三废”及噪声影响，均为短期的，项目监测后影响即可消除。建设单位和施工单位在施工过程中切实落实对施工产生的扬尘、</w:t>
            </w:r>
            <w:r>
              <w:rPr>
                <w:rFonts w:hint="eastAsia" w:cs="Times New Roman"/>
                <w:b/>
                <w:bCs/>
                <w:color w:val="auto"/>
                <w:sz w:val="24"/>
                <w:szCs w:val="24"/>
                <w:highlight w:val="none"/>
                <w:lang w:val="en-US" w:eastAsia="zh-CN"/>
              </w:rPr>
              <w:t>废水、</w:t>
            </w:r>
            <w:r>
              <w:rPr>
                <w:rFonts w:hint="default" w:ascii="Times New Roman" w:hAnsi="Times New Roman" w:cs="Times New Roman"/>
                <w:b/>
                <w:bCs/>
                <w:color w:val="auto"/>
                <w:sz w:val="24"/>
                <w:szCs w:val="24"/>
                <w:highlight w:val="none"/>
              </w:rPr>
              <w:t>噪声、固体废物的管理和控制措施，施工期的负面环境影响得到有效控制。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6、施工交通影响分析</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管网工程施工期社会影响主要表现在对交通的影响。管网施工路段</w:t>
            </w:r>
            <w:r>
              <w:rPr>
                <w:rFonts w:hint="default" w:ascii="Times New Roman" w:hAnsi="Times New Roman" w:cs="Times New Roman"/>
                <w:color w:val="auto"/>
                <w:sz w:val="24"/>
                <w:szCs w:val="24"/>
                <w:highlight w:val="none"/>
                <w:lang w:val="en-US" w:eastAsia="zh-CN"/>
              </w:rPr>
              <w:t>主要沿道路</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桥梁、河边</w:t>
            </w:r>
            <w:r>
              <w:rPr>
                <w:rFonts w:hint="default" w:ascii="Times New Roman" w:hAnsi="Times New Roman" w:cs="Times New Roman"/>
                <w:color w:val="auto"/>
                <w:sz w:val="24"/>
                <w:szCs w:val="24"/>
                <w:highlight w:val="none"/>
                <w:lang w:eastAsia="zh-CN"/>
              </w:rPr>
              <w:t>等，</w:t>
            </w:r>
            <w:r>
              <w:rPr>
                <w:rFonts w:hint="default" w:ascii="Times New Roman" w:hAnsi="Times New Roman" w:cs="Times New Roman"/>
                <w:color w:val="auto"/>
                <w:sz w:val="24"/>
                <w:szCs w:val="24"/>
                <w:highlight w:val="none"/>
                <w:lang w:val="en-US" w:eastAsia="zh-CN"/>
              </w:rPr>
              <w:t>多数</w:t>
            </w:r>
            <w:r>
              <w:rPr>
                <w:rFonts w:hint="default" w:ascii="Times New Roman" w:hAnsi="Times New Roman" w:cs="Times New Roman"/>
                <w:color w:val="auto"/>
                <w:sz w:val="24"/>
                <w:szCs w:val="24"/>
                <w:highlight w:val="none"/>
                <w:lang w:eastAsia="zh-CN"/>
              </w:rPr>
              <w:t>集镇居民集中区，管网施工对已建公路将产生交通阻碍影响；管网施工过程中土方的临时堆置和开挖阻碍居民交通出行，管网施工材料运输车辆的增加使道路上的车流量增大，阻碍区域交通出行，虽然采取分段施工方法，但在工程施工过程中对管网施工沿线道路的交通仍将产生一定的不利影响，应尽量分段施工，尽快完成开挖、回填，要注意设置临时便道，并配设交通警示标志；材料运输应避免交通高峰期，减轻交通道路车流压力。建筑材料及废弃土石方的运输应避开交通高峰期，或在夜间进行，以减少交通堵塞，降低对居民出行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运营</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期环</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境影</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响和</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保护</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措施</w:t>
            </w:r>
          </w:p>
        </w:tc>
        <w:tc>
          <w:tcPr>
            <w:tcW w:w="4766" w:type="pct"/>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1、废气</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本项目运营期废气主要为食堂油烟，无生产废气产生。</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（1）产排污环节、污染物种类、产生量核算</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①食堂油烟</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项目提供员工食堂供工作人员就餐，项目食堂就餐人数为15</w:t>
            </w:r>
            <w:r>
              <w:rPr>
                <w:rFonts w:hint="default" w:ascii="Times New Roman" w:hAnsi="Times New Roman" w:cs="Times New Roman"/>
                <w:color w:val="auto"/>
                <w:sz w:val="24"/>
                <w:szCs w:val="24"/>
                <w:highlight w:val="none"/>
                <w:lang w:eastAsia="zh-CN"/>
              </w:rPr>
              <w:t>人，食物在烹饪、加工过程中将挥发出油脂、有机质及热分解或裂解产物，从而产生油烟废气。油烟废气成分复杂，包括有醛、酮、烃、脂肪酸、醇、芳香化合物、脂、内脂和杂环化合物等300多种化学物质，对人体危害较大。人均食用油日用量约30g/人·d，一般油烟挥发量占总耗油量的2~4%，平均为2.83%，则本项目食堂油烟产生量为</w:t>
            </w:r>
            <w:r>
              <w:rPr>
                <w:rFonts w:hint="default" w:ascii="Times New Roman" w:hAnsi="Times New Roman" w:cs="Times New Roman"/>
                <w:color w:val="auto"/>
                <w:sz w:val="24"/>
                <w:szCs w:val="24"/>
                <w:highlight w:val="none"/>
                <w:lang w:val="en-US" w:eastAsia="zh-CN"/>
              </w:rPr>
              <w:t>0.013kg/d，0.005</w:t>
            </w:r>
            <w:r>
              <w:rPr>
                <w:rFonts w:hint="default" w:ascii="Times New Roman" w:hAnsi="Times New Roman" w:cs="Times New Roman"/>
                <w:color w:val="auto"/>
                <w:sz w:val="24"/>
                <w:szCs w:val="24"/>
                <w:highlight w:val="none"/>
                <w:lang w:eastAsia="zh-CN"/>
              </w:rPr>
              <w:t>t/a。（</w:t>
            </w:r>
            <w:r>
              <w:rPr>
                <w:rFonts w:hint="default" w:ascii="Times New Roman" w:hAnsi="Times New Roman" w:cs="Times New Roman"/>
                <w:color w:val="auto"/>
                <w:sz w:val="24"/>
                <w:szCs w:val="24"/>
                <w:highlight w:val="none"/>
                <w:lang w:val="en-US" w:eastAsia="zh-CN"/>
              </w:rPr>
              <w:t>以365d计</w:t>
            </w:r>
            <w:r>
              <w:rPr>
                <w:rFonts w:hint="default" w:ascii="Times New Roman" w:hAnsi="Times New Roman" w:cs="Times New Roman"/>
                <w:color w:val="auto"/>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b/>
                <w:bCs/>
                <w:color w:val="auto"/>
                <w:sz w:val="24"/>
                <w:szCs w:val="24"/>
                <w:highlight w:val="none"/>
                <w:lang w:eastAsia="zh-CN"/>
              </w:rPr>
              <w:t>（2）治理设施、排放形式、排放口基本信息</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①食堂油烟</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环评要求</w:t>
            </w:r>
            <w:r>
              <w:rPr>
                <w:rFonts w:hint="default" w:ascii="Times New Roman" w:hAnsi="Times New Roman" w:cs="Times New Roman"/>
                <w:color w:val="auto"/>
                <w:sz w:val="24"/>
                <w:szCs w:val="24"/>
                <w:highlight w:val="none"/>
                <w:lang w:eastAsia="zh-CN"/>
              </w:rPr>
              <w:t>食堂安装1台油烟净化器（净化效率85%，风量为</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eastAsia="zh-CN"/>
              </w:rPr>
              <w:t>00m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/h），食堂油烟经处理后通过油烟管道引至楼顶排放（</w:t>
            </w:r>
            <w:r>
              <w:rPr>
                <w:rFonts w:hint="default" w:ascii="Times New Roman" w:hAnsi="Times New Roman" w:cs="Times New Roman"/>
                <w:color w:val="auto"/>
                <w:sz w:val="24"/>
                <w:szCs w:val="24"/>
                <w:highlight w:val="none"/>
                <w:lang w:val="en-US" w:eastAsia="zh-CN"/>
              </w:rPr>
              <w:t>DA001</w:t>
            </w:r>
            <w:r>
              <w:rPr>
                <w:rFonts w:hint="default" w:ascii="Times New Roman" w:hAnsi="Times New Roman" w:cs="Times New Roman"/>
                <w:color w:val="auto"/>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食堂油烟经上述治理措施后，食堂油烟排放量为0.0007t/a，排放速率为0.0005kg/h（365d，4h），排放浓度为0.955mg/m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。因此，</w:t>
            </w:r>
            <w:r>
              <w:rPr>
                <w:rFonts w:hint="default" w:ascii="Times New Roman" w:hAnsi="Times New Roman" w:cs="Times New Roman"/>
                <w:color w:val="auto"/>
                <w:sz w:val="24"/>
                <w:szCs w:val="24"/>
                <w:highlight w:val="none"/>
                <w:lang w:eastAsia="zh-CN"/>
              </w:rPr>
              <w:t>本项目食堂油烟经处理后排放浓度能满足《饮食业油烟排放标准（试行）》（GB18483-2001）中相关标准（2.0mg/m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），可以实现达标排放。</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项目废气治理措施和排放情况见下表</w:t>
            </w:r>
            <w:r>
              <w:rPr>
                <w:rFonts w:hint="default" w:ascii="Times New Roman" w:hAnsi="Times New Roman" w:cs="Times New Roman"/>
                <w:color w:val="auto"/>
                <w:sz w:val="24"/>
                <w:szCs w:val="24"/>
                <w:highlight w:val="none"/>
                <w:lang w:eastAsia="zh-CN"/>
              </w:rPr>
              <w:t>。</w:t>
            </w:r>
          </w:p>
          <w:p>
            <w:pPr>
              <w:keepNext w:val="0"/>
              <w:keepLines w:val="0"/>
              <w:pageBreakBefore w:val="0"/>
              <w:kinsoku/>
              <w:wordWrap/>
              <w:topLinePunct w:val="0"/>
              <w:bidi w:val="0"/>
              <w:spacing w:line="360"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表4-2</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废气治理措施、排放形式一览表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973"/>
              <w:gridCol w:w="898"/>
              <w:gridCol w:w="1782"/>
              <w:gridCol w:w="1429"/>
              <w:gridCol w:w="1036"/>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restar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废气类型</w:t>
                  </w:r>
                </w:p>
              </w:tc>
              <w:tc>
                <w:tcPr>
                  <w:tcW w:w="557" w:type="pct"/>
                  <w:vMerge w:val="restar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污染物种类</w:t>
                  </w:r>
                </w:p>
              </w:tc>
              <w:tc>
                <w:tcPr>
                  <w:tcW w:w="514" w:type="pct"/>
                  <w:vMerge w:val="restar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w:t>
                  </w:r>
                </w:p>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形式</w:t>
                  </w:r>
                </w:p>
              </w:tc>
              <w:tc>
                <w:tcPr>
                  <w:tcW w:w="3288" w:type="pct"/>
                  <w:gridSpan w:val="4"/>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Cs w:val="21"/>
                      <w:highlight w:val="none"/>
                    </w:rPr>
                  </w:pPr>
                </w:p>
              </w:tc>
              <w:tc>
                <w:tcPr>
                  <w:tcW w:w="557" w:type="pct"/>
                  <w:vMerge w:val="continue"/>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Cs w:val="21"/>
                      <w:highlight w:val="none"/>
                    </w:rPr>
                  </w:pPr>
                </w:p>
              </w:tc>
              <w:tc>
                <w:tcPr>
                  <w:tcW w:w="514" w:type="pct"/>
                  <w:vMerge w:val="continue"/>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Cs w:val="21"/>
                      <w:highlight w:val="none"/>
                    </w:rPr>
                  </w:pPr>
                </w:p>
              </w:tc>
              <w:tc>
                <w:tcPr>
                  <w:tcW w:w="1020"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治理设施名称及工艺</w:t>
                  </w:r>
                </w:p>
              </w:tc>
              <w:tc>
                <w:tcPr>
                  <w:tcW w:w="818"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收集效率</w:t>
                  </w:r>
                </w:p>
              </w:tc>
              <w:tc>
                <w:tcPr>
                  <w:tcW w:w="593"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去除率</w:t>
                  </w:r>
                </w:p>
              </w:tc>
              <w:tc>
                <w:tcPr>
                  <w:tcW w:w="856"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是否为可行性技术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食堂油烟</w:t>
                  </w:r>
                </w:p>
              </w:tc>
              <w:tc>
                <w:tcPr>
                  <w:tcW w:w="5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油烟</w:t>
                  </w:r>
                </w:p>
              </w:tc>
              <w:tc>
                <w:tcPr>
                  <w:tcW w:w="514" w:type="pct"/>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有组织</w:t>
                  </w:r>
                </w:p>
              </w:tc>
              <w:tc>
                <w:tcPr>
                  <w:tcW w:w="10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油烟净化器</w:t>
                  </w:r>
                </w:p>
              </w:tc>
              <w:tc>
                <w:tcPr>
                  <w:tcW w:w="8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85%</w:t>
                  </w:r>
                </w:p>
              </w:tc>
              <w:tc>
                <w:tcPr>
                  <w:tcW w:w="8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是</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highlight w:val="none"/>
              </w:rPr>
              <w:t>本项目污染物排放信息如下表所示。</w:t>
            </w:r>
          </w:p>
          <w:p>
            <w:pPr>
              <w:keepNext w:val="0"/>
              <w:keepLines w:val="0"/>
              <w:pageBreakBefore w:val="0"/>
              <w:kinsoku/>
              <w:wordWrap/>
              <w:topLinePunct w:val="0"/>
              <w:bidi w:val="0"/>
              <w:spacing w:line="360"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表4-3</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废气污染物排放信息</w:t>
            </w:r>
          </w:p>
          <w:tbl>
            <w:tblPr>
              <w:tblStyle w:val="2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486"/>
              <w:gridCol w:w="819"/>
              <w:gridCol w:w="866"/>
              <w:gridCol w:w="926"/>
              <w:gridCol w:w="927"/>
              <w:gridCol w:w="760"/>
              <w:gridCol w:w="805"/>
              <w:gridCol w:w="851"/>
              <w:gridCol w:w="769"/>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4" w:type="pct"/>
                  <w:vMerge w:val="restar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污染源</w:t>
                  </w:r>
                </w:p>
              </w:tc>
              <w:tc>
                <w:tcPr>
                  <w:tcW w:w="278" w:type="pct"/>
                  <w:vMerge w:val="restar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污染物</w:t>
                  </w:r>
                </w:p>
              </w:tc>
              <w:tc>
                <w:tcPr>
                  <w:tcW w:w="469" w:type="pct"/>
                  <w:vMerge w:val="restar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产生量</w:t>
                  </w:r>
                  <w:r>
                    <w:rPr>
                      <w:rFonts w:hint="default" w:ascii="Times New Roman" w:hAnsi="Times New Roman" w:cs="Times New Roman"/>
                      <w:b/>
                      <w:bCs/>
                      <w:color w:val="auto"/>
                      <w:sz w:val="21"/>
                      <w:szCs w:val="21"/>
                      <w:highlight w:val="none"/>
                      <w:lang w:val="en-US" w:eastAsia="zh-CN"/>
                    </w:rPr>
                    <w:t>t</w:t>
                  </w:r>
                  <w:r>
                    <w:rPr>
                      <w:rFonts w:hint="default" w:ascii="Times New Roman" w:hAnsi="Times New Roman" w:cs="Times New Roman"/>
                      <w:b/>
                      <w:bCs/>
                      <w:color w:val="auto"/>
                      <w:sz w:val="21"/>
                      <w:szCs w:val="21"/>
                      <w:highlight w:val="none"/>
                    </w:rPr>
                    <w:t>/a</w:t>
                  </w:r>
                </w:p>
              </w:tc>
              <w:tc>
                <w:tcPr>
                  <w:tcW w:w="1557" w:type="pct"/>
                  <w:gridSpan w:val="3"/>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治理措施</w:t>
                  </w:r>
                </w:p>
              </w:tc>
              <w:tc>
                <w:tcPr>
                  <w:tcW w:w="1383" w:type="pct"/>
                  <w:gridSpan w:val="3"/>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污染物排放</w:t>
                  </w:r>
                </w:p>
              </w:tc>
              <w:tc>
                <w:tcPr>
                  <w:tcW w:w="440" w:type="pct"/>
                  <w:vMerge w:val="restar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排放方式</w:t>
                  </w:r>
                </w:p>
              </w:tc>
              <w:tc>
                <w:tcPr>
                  <w:tcW w:w="464" w:type="pct"/>
                  <w:vMerge w:val="restar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排放标准mg/m</w:t>
                  </w:r>
                  <w:r>
                    <w:rPr>
                      <w:rFonts w:hint="default" w:ascii="Times New Roman" w:hAnsi="Times New Roman" w:cs="Times New Roman"/>
                      <w:b/>
                      <w:bCs/>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4" w:type="pct"/>
                  <w:vMerge w:val="continue"/>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p>
              </w:tc>
              <w:tc>
                <w:tcPr>
                  <w:tcW w:w="278" w:type="pct"/>
                  <w:vMerge w:val="continue"/>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p>
              </w:tc>
              <w:tc>
                <w:tcPr>
                  <w:tcW w:w="469" w:type="pct"/>
                  <w:vMerge w:val="continue"/>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p>
              </w:tc>
              <w:tc>
                <w:tcPr>
                  <w:tcW w:w="496"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收集效率</w:t>
                  </w:r>
                  <w:r>
                    <w:rPr>
                      <w:rFonts w:hint="default" w:ascii="Times New Roman" w:hAnsi="Times New Roman" w:cs="Times New Roman"/>
                      <w:b/>
                      <w:bCs/>
                      <w:color w:val="auto"/>
                      <w:sz w:val="21"/>
                      <w:szCs w:val="21"/>
                      <w:highlight w:val="none"/>
                      <w:lang w:val="en-US" w:eastAsia="zh-CN"/>
                    </w:rPr>
                    <w:t>%</w:t>
                  </w:r>
                </w:p>
              </w:tc>
              <w:tc>
                <w:tcPr>
                  <w:tcW w:w="530"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处理措施</w:t>
                  </w:r>
                </w:p>
              </w:tc>
              <w:tc>
                <w:tcPr>
                  <w:tcW w:w="530"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处理效率</w:t>
                  </w:r>
                  <w:r>
                    <w:rPr>
                      <w:rFonts w:hint="default" w:ascii="Times New Roman" w:hAnsi="Times New Roman" w:cs="Times New Roman"/>
                      <w:b/>
                      <w:bCs/>
                      <w:color w:val="auto"/>
                      <w:sz w:val="21"/>
                      <w:szCs w:val="21"/>
                      <w:highlight w:val="none"/>
                      <w:lang w:val="en-US" w:eastAsia="zh-CN"/>
                    </w:rPr>
                    <w:t>%</w:t>
                  </w:r>
                </w:p>
              </w:tc>
              <w:tc>
                <w:tcPr>
                  <w:tcW w:w="435"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排放量</w:t>
                  </w:r>
                  <w:r>
                    <w:rPr>
                      <w:rFonts w:hint="default" w:ascii="Times New Roman" w:hAnsi="Times New Roman" w:cs="Times New Roman"/>
                      <w:b/>
                      <w:bCs/>
                      <w:color w:val="auto"/>
                      <w:sz w:val="21"/>
                      <w:szCs w:val="21"/>
                      <w:highlight w:val="none"/>
                      <w:lang w:val="en-US" w:eastAsia="zh-CN"/>
                    </w:rPr>
                    <w:t>t</w:t>
                  </w:r>
                  <w:r>
                    <w:rPr>
                      <w:rFonts w:hint="default" w:ascii="Times New Roman" w:hAnsi="Times New Roman" w:cs="Times New Roman"/>
                      <w:b/>
                      <w:bCs/>
                      <w:color w:val="auto"/>
                      <w:sz w:val="21"/>
                      <w:szCs w:val="21"/>
                      <w:highlight w:val="none"/>
                    </w:rPr>
                    <w:t>/a</w:t>
                  </w:r>
                </w:p>
              </w:tc>
              <w:tc>
                <w:tcPr>
                  <w:tcW w:w="461"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排放速率kg/h</w:t>
                  </w:r>
                </w:p>
              </w:tc>
              <w:tc>
                <w:tcPr>
                  <w:tcW w:w="487"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w:t>
                  </w:r>
                </w:p>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w:t>
                  </w:r>
                </w:p>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mg/m</w:t>
                  </w:r>
                  <w:r>
                    <w:rPr>
                      <w:rFonts w:hint="default" w:ascii="Times New Roman" w:hAnsi="Times New Roman" w:cs="Times New Roman"/>
                      <w:b/>
                      <w:bCs/>
                      <w:color w:val="auto"/>
                      <w:sz w:val="21"/>
                      <w:szCs w:val="21"/>
                      <w:highlight w:val="none"/>
                      <w:vertAlign w:val="superscript"/>
                    </w:rPr>
                    <w:t>3</w:t>
                  </w:r>
                </w:p>
              </w:tc>
              <w:tc>
                <w:tcPr>
                  <w:tcW w:w="440" w:type="pct"/>
                  <w:vMerge w:val="continue"/>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eastAsia="zh-CN"/>
                    </w:rPr>
                  </w:pPr>
                </w:p>
              </w:tc>
              <w:tc>
                <w:tcPr>
                  <w:tcW w:w="464" w:type="pct"/>
                  <w:vMerge w:val="continue"/>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食堂油烟</w:t>
                  </w:r>
                </w:p>
              </w:tc>
              <w:tc>
                <w:tcPr>
                  <w:tcW w:w="27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油烟</w:t>
                  </w:r>
                </w:p>
              </w:tc>
              <w:tc>
                <w:tcPr>
                  <w:tcW w:w="469"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0.006</w:t>
                  </w:r>
                </w:p>
              </w:tc>
              <w:tc>
                <w:tcPr>
                  <w:tcW w:w="496"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530"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油烟净化器</w:t>
                  </w:r>
                </w:p>
              </w:tc>
              <w:tc>
                <w:tcPr>
                  <w:tcW w:w="530"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85</w:t>
                  </w:r>
                </w:p>
              </w:tc>
              <w:tc>
                <w:tcPr>
                  <w:tcW w:w="435"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0.0007</w:t>
                  </w:r>
                </w:p>
              </w:tc>
              <w:tc>
                <w:tcPr>
                  <w:tcW w:w="461"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87"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40"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有组织</w:t>
                  </w:r>
                </w:p>
              </w:tc>
              <w:tc>
                <w:tcPr>
                  <w:tcW w:w="464"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项目废气排气口信息表见下表</w:t>
            </w:r>
            <w:r>
              <w:rPr>
                <w:rFonts w:hint="default" w:ascii="Times New Roman" w:hAnsi="Times New Roman" w:cs="Times New Roman"/>
                <w:color w:val="auto"/>
                <w:sz w:val="24"/>
                <w:szCs w:val="24"/>
                <w:highlight w:val="none"/>
                <w:lang w:eastAsia="zh-CN"/>
              </w:rPr>
              <w:t>。</w:t>
            </w:r>
          </w:p>
          <w:p>
            <w:pPr>
              <w:keepNext w:val="0"/>
              <w:keepLines w:val="0"/>
              <w:pageBreakBefore w:val="0"/>
              <w:kinsoku/>
              <w:wordWrap/>
              <w:topLinePunct w:val="0"/>
              <w:bidi w:val="0"/>
              <w:spacing w:line="360"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表4-4</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废气排放口基本信息表</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74"/>
              <w:gridCol w:w="1192"/>
              <w:gridCol w:w="1092"/>
              <w:gridCol w:w="1140"/>
              <w:gridCol w:w="1033"/>
              <w:gridCol w:w="956"/>
              <w:gridCol w:w="865"/>
              <w:gridCol w:w="790"/>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50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排放口编号</w:t>
                  </w:r>
                </w:p>
              </w:tc>
              <w:tc>
                <w:tcPr>
                  <w:tcW w:w="68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排放口名称</w:t>
                  </w:r>
                </w:p>
              </w:tc>
              <w:tc>
                <w:tcPr>
                  <w:tcW w:w="62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w:t>
                  </w:r>
                </w:p>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种类</w:t>
                  </w:r>
                </w:p>
              </w:tc>
              <w:tc>
                <w:tcPr>
                  <w:tcW w:w="124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排放口地理坐标</w:t>
                  </w:r>
                </w:p>
              </w:tc>
              <w:tc>
                <w:tcPr>
                  <w:tcW w:w="54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排气筒高度（m）</w:t>
                  </w:r>
                </w:p>
              </w:tc>
              <w:tc>
                <w:tcPr>
                  <w:tcW w:w="49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排气筒内径（m）</w:t>
                  </w:r>
                </w:p>
              </w:tc>
              <w:tc>
                <w:tcPr>
                  <w:tcW w:w="4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排放温度（℃）</w:t>
                  </w:r>
                </w:p>
              </w:tc>
              <w:tc>
                <w:tcPr>
                  <w:tcW w:w="4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trPr>
              <w:tc>
                <w:tcPr>
                  <w:tcW w:w="500"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p>
              </w:tc>
              <w:tc>
                <w:tcPr>
                  <w:tcW w:w="682"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p>
              </w:tc>
              <w:tc>
                <w:tcPr>
                  <w:tcW w:w="625"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经度</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纬度</w:t>
                  </w:r>
                </w:p>
              </w:tc>
              <w:tc>
                <w:tcPr>
                  <w:tcW w:w="54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p>
              </w:tc>
              <w:tc>
                <w:tcPr>
                  <w:tcW w:w="495"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p>
              </w:tc>
              <w:tc>
                <w:tcPr>
                  <w:tcW w:w="452"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p>
              </w:tc>
              <w:tc>
                <w:tcPr>
                  <w:tcW w:w="452"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DA001</w:t>
                  </w:r>
                </w:p>
              </w:tc>
              <w:tc>
                <w:tcPr>
                  <w:tcW w:w="6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油烟排放口</w:t>
                  </w:r>
                </w:p>
              </w:tc>
              <w:tc>
                <w:tcPr>
                  <w:tcW w:w="6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油烟废气</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107.999655</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31.747646</w:t>
                  </w:r>
                </w:p>
              </w:tc>
              <w:tc>
                <w:tcPr>
                  <w:tcW w:w="5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4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常温</w:t>
                  </w:r>
                </w:p>
              </w:tc>
              <w:tc>
                <w:tcPr>
                  <w:tcW w:w="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一般排放口</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2、废水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b/>
                <w:bCs/>
                <w:color w:val="auto"/>
                <w:sz w:val="24"/>
                <w:szCs w:val="24"/>
                <w:highlight w:val="none"/>
                <w:lang w:eastAsia="zh-CN"/>
              </w:rPr>
              <w:t>（1）产排污环节、类别、污染物种类、产生量核算</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①生活污水（含食堂废水）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vertAlign w:val="baseline"/>
                <w:lang w:val="en-US" w:eastAsia="zh-CN"/>
              </w:rPr>
              <w:t>本项目员工人数为15人，根据《四川省用水定额》（川府函〔2021〕8号）中表5农村居民生活用水定额表，用水量按60L/人·d计，食堂就餐用水量按20L/人·d计，则本项目生活用水量为1.2m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/d（438m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/a）。</w:t>
            </w:r>
            <w:r>
              <w:rPr>
                <w:rFonts w:hint="default" w:ascii="Times New Roman" w:hAnsi="Times New Roman" w:cs="Times New Roman"/>
                <w:color w:val="auto"/>
                <w:sz w:val="24"/>
                <w:szCs w:val="24"/>
                <w:highlight w:val="none"/>
                <w:lang w:eastAsia="zh-CN"/>
              </w:rPr>
              <w:t>生活污水产生系数取0.85，则生活污水产生量约</w:t>
            </w:r>
            <w:r>
              <w:rPr>
                <w:rFonts w:hint="default" w:ascii="Times New Roman" w:hAnsi="Times New Roman" w:cs="Times New Roman"/>
                <w:color w:val="auto"/>
                <w:sz w:val="24"/>
                <w:szCs w:val="24"/>
                <w:highlight w:val="none"/>
                <w:lang w:val="en-US" w:eastAsia="zh-CN"/>
              </w:rPr>
              <w:t>1.02</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/d（</w:t>
            </w:r>
            <w:r>
              <w:rPr>
                <w:rFonts w:hint="default" w:ascii="Times New Roman" w:hAnsi="Times New Roman" w:cs="Times New Roman"/>
                <w:color w:val="auto"/>
                <w:sz w:val="24"/>
                <w:szCs w:val="24"/>
                <w:highlight w:val="none"/>
                <w:lang w:val="en-US" w:eastAsia="zh-CN"/>
              </w:rPr>
              <w:t>含食堂废水0.255</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/d）。根据《排放源统计调查产排污核算方法和系数手册》（公告2021年第24号）中“生活源产排污核算方法和系数手册”，主要污染物浓度COD：325mg/L、BOD</w:t>
            </w:r>
            <w:r>
              <w:rPr>
                <w:rFonts w:hint="default" w:ascii="Times New Roman" w:hAnsi="Times New Roman" w:cs="Times New Roman"/>
                <w:color w:val="auto"/>
                <w:sz w:val="24"/>
                <w:szCs w:val="24"/>
                <w:highlight w:val="none"/>
                <w:vertAlign w:val="subscript"/>
                <w:lang w:eastAsia="zh-CN"/>
              </w:rPr>
              <w:t>5</w:t>
            </w:r>
            <w:r>
              <w:rPr>
                <w:rFonts w:hint="default" w:ascii="Times New Roman" w:hAnsi="Times New Roman" w:cs="Times New Roman"/>
                <w:color w:val="auto"/>
                <w:sz w:val="24"/>
                <w:szCs w:val="24"/>
                <w:highlight w:val="none"/>
                <w:lang w:eastAsia="zh-CN"/>
              </w:rPr>
              <w:t>：140mg/L、SS：200mg/L、NH</w:t>
            </w:r>
            <w:r>
              <w:rPr>
                <w:rFonts w:hint="default" w:ascii="Times New Roman" w:hAnsi="Times New Roman" w:cs="Times New Roman"/>
                <w:color w:val="auto"/>
                <w:sz w:val="24"/>
                <w:szCs w:val="24"/>
                <w:highlight w:val="none"/>
                <w:vertAlign w:val="subscript"/>
                <w:lang w:eastAsia="zh-CN"/>
              </w:rPr>
              <w:t>3</w:t>
            </w:r>
            <w:r>
              <w:rPr>
                <w:rFonts w:hint="default" w:ascii="Times New Roman" w:hAnsi="Times New Roman" w:cs="Times New Roman"/>
                <w:color w:val="auto"/>
                <w:sz w:val="24"/>
                <w:szCs w:val="24"/>
                <w:highlight w:val="none"/>
                <w:lang w:eastAsia="zh-CN"/>
              </w:rPr>
              <w:t>-N：37.7mg/L、TP：4.28mg/L，则生活污水产生源强见下表：</w:t>
            </w:r>
          </w:p>
          <w:p>
            <w:pPr>
              <w:keepNext w:val="0"/>
              <w:keepLines w:val="0"/>
              <w:pageBreakBefore w:val="0"/>
              <w:kinsoku/>
              <w:wordWrap/>
              <w:topLinePunct w:val="0"/>
              <w:bidi w:val="0"/>
              <w:spacing w:line="360"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表4-5</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生活污水产排污环节、类别、污染物种类、产生量</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609"/>
              <w:gridCol w:w="1199"/>
              <w:gridCol w:w="1503"/>
              <w:gridCol w:w="1657"/>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废水产污环节</w:t>
                  </w:r>
                </w:p>
              </w:tc>
              <w:tc>
                <w:tcPr>
                  <w:tcW w:w="921"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废水类别</w:t>
                  </w:r>
                </w:p>
              </w:tc>
              <w:tc>
                <w:tcPr>
                  <w:tcW w:w="68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废水量（m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/d）</w:t>
                  </w:r>
                </w:p>
              </w:tc>
              <w:tc>
                <w:tcPr>
                  <w:tcW w:w="86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污染物种类</w:t>
                  </w:r>
                </w:p>
              </w:tc>
              <w:tc>
                <w:tcPr>
                  <w:tcW w:w="189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92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6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86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浓度（mg/L）</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值班人员</w:t>
                  </w:r>
                </w:p>
              </w:tc>
              <w:tc>
                <w:tcPr>
                  <w:tcW w:w="921"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w:t>
                  </w:r>
                </w:p>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（含食堂废水）</w:t>
                  </w:r>
                </w:p>
              </w:tc>
              <w:tc>
                <w:tcPr>
                  <w:tcW w:w="68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1.02</w:t>
                  </w:r>
                </w:p>
              </w:tc>
              <w:tc>
                <w:tcPr>
                  <w:tcW w:w="86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325</w:t>
                  </w:r>
                </w:p>
              </w:tc>
              <w:tc>
                <w:tcPr>
                  <w:tcW w:w="1636" w:type="dxa"/>
                  <w:vAlign w:val="center"/>
                </w:tcPr>
                <w:p>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92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6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86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140</w:t>
                  </w:r>
                </w:p>
              </w:tc>
              <w:tc>
                <w:tcPr>
                  <w:tcW w:w="1636" w:type="dxa"/>
                  <w:vAlign w:val="center"/>
                </w:tcPr>
                <w:p>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92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6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86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SS</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w:t>
                  </w:r>
                </w:p>
              </w:tc>
              <w:tc>
                <w:tcPr>
                  <w:tcW w:w="1636" w:type="dxa"/>
                  <w:vAlign w:val="center"/>
                </w:tcPr>
                <w:p>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92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6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86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37.7</w:t>
                  </w:r>
                </w:p>
              </w:tc>
              <w:tc>
                <w:tcPr>
                  <w:tcW w:w="1636" w:type="dxa"/>
                  <w:vAlign w:val="center"/>
                </w:tcPr>
                <w:p>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92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6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86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TP</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4.28</w:t>
                  </w:r>
                </w:p>
              </w:tc>
              <w:tc>
                <w:tcPr>
                  <w:tcW w:w="1636" w:type="dxa"/>
                  <w:vAlign w:val="center"/>
                </w:tcPr>
                <w:p>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②生产废水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项目生产废水包含预沉池排泥水、一体化设备排泥水（絮凝沉淀排泥水）、V型滤池反冲洗废水、脱水滤液等，根据《排放源统计调查产排污核算方法和系数手册》（公告2021年第24号）中“4610自来水生产和供应行业系数手册”中混凝沉淀（或澄清）过滤消毒工艺（≤5万吨/日）废水量产污系数6.16×10</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t/t-产品计，则生产废水产生量为431.2m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w:t>
            </w:r>
          </w:p>
          <w:p>
            <w:pPr>
              <w:keepNext w:val="0"/>
              <w:keepLines w:val="0"/>
              <w:pageBreakBefore w:val="0"/>
              <w:kinsoku/>
              <w:wordWrap/>
              <w:topLinePunct w:val="0"/>
              <w:bidi w:val="0"/>
              <w:spacing w:line="360"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表4-6</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生产废水产排污环节、类别、污染物种类、产生量</w:t>
            </w:r>
          </w:p>
          <w:tbl>
            <w:tblPr>
              <w:tblStyle w:val="20"/>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753"/>
              <w:gridCol w:w="1031"/>
              <w:gridCol w:w="1724"/>
              <w:gridCol w:w="1212"/>
              <w:gridCol w:w="140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79" w:type="pct"/>
                  <w:vMerge w:val="restart"/>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废水产污环节</w:t>
                  </w:r>
                </w:p>
              </w:tc>
              <w:tc>
                <w:tcPr>
                  <w:tcW w:w="431" w:type="pct"/>
                  <w:vMerge w:val="restart"/>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废水类别</w:t>
                  </w:r>
                </w:p>
              </w:tc>
              <w:tc>
                <w:tcPr>
                  <w:tcW w:w="590" w:type="pct"/>
                  <w:vMerge w:val="restart"/>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废水量（m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val="en-US" w:eastAsia="zh-CN"/>
                    </w:rPr>
                    <w:t>a</w:t>
                  </w:r>
                  <w:r>
                    <w:rPr>
                      <w:rFonts w:hint="default" w:ascii="Times New Roman" w:hAnsi="Times New Roman" w:cs="Times New Roman"/>
                      <w:b/>
                      <w:bCs/>
                      <w:color w:val="auto"/>
                      <w:sz w:val="21"/>
                      <w:szCs w:val="21"/>
                      <w:highlight w:val="none"/>
                    </w:rPr>
                    <w:t>）</w:t>
                  </w:r>
                </w:p>
              </w:tc>
              <w:tc>
                <w:tcPr>
                  <w:tcW w:w="987" w:type="pct"/>
                  <w:vMerge w:val="restart"/>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产污系数</w:t>
                  </w:r>
                </w:p>
              </w:tc>
              <w:tc>
                <w:tcPr>
                  <w:tcW w:w="694" w:type="pct"/>
                  <w:vMerge w:val="restart"/>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污染物种类</w:t>
                  </w:r>
                </w:p>
              </w:tc>
              <w:tc>
                <w:tcPr>
                  <w:tcW w:w="1617" w:type="pct"/>
                  <w:gridSpan w:val="2"/>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p>
              </w:tc>
              <w:tc>
                <w:tcPr>
                  <w:tcW w:w="431"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p>
              </w:tc>
              <w:tc>
                <w:tcPr>
                  <w:tcW w:w="590"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p>
              </w:tc>
              <w:tc>
                <w:tcPr>
                  <w:tcW w:w="987"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p>
              </w:tc>
              <w:tc>
                <w:tcPr>
                  <w:tcW w:w="694"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p>
              </w:tc>
              <w:tc>
                <w:tcPr>
                  <w:tcW w:w="806" w:type="pct"/>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浓度（mg/L）</w:t>
                  </w:r>
                </w:p>
              </w:tc>
              <w:tc>
                <w:tcPr>
                  <w:tcW w:w="810" w:type="pct"/>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pct"/>
                  <w:vMerge w:val="restart"/>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混凝</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沉淀</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过滤</w:t>
                  </w:r>
                </w:p>
              </w:tc>
              <w:tc>
                <w:tcPr>
                  <w:tcW w:w="431" w:type="pct"/>
                  <w:vMerge w:val="restart"/>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生产废水</w:t>
                  </w:r>
                </w:p>
              </w:tc>
              <w:tc>
                <w:tcPr>
                  <w:tcW w:w="590" w:type="pct"/>
                  <w:vMerge w:val="restart"/>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157388</w:t>
                  </w:r>
                </w:p>
              </w:tc>
              <w:tc>
                <w:tcPr>
                  <w:tcW w:w="987" w:type="pct"/>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1.13g/t-产品</w:t>
                  </w:r>
                </w:p>
              </w:tc>
              <w:tc>
                <w:tcPr>
                  <w:tcW w:w="694" w:type="pct"/>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1391" w:type="dxa"/>
                  <w:tcBorders>
                    <w:tl2br w:val="nil"/>
                    <w:tr2bl w:val="nil"/>
                  </w:tcBorders>
                  <w:vAlign w:val="center"/>
                </w:tcPr>
                <w:p>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18.34</w:t>
                  </w:r>
                </w:p>
              </w:tc>
              <w:tc>
                <w:tcPr>
                  <w:tcW w:w="1398" w:type="dxa"/>
                  <w:tcBorders>
                    <w:tl2br w:val="nil"/>
                    <w:tr2bl w:val="nil"/>
                  </w:tcBorders>
                  <w:vAlign w:val="center"/>
                </w:tcPr>
                <w:p>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431"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590"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987" w:type="pct"/>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0.0291g/t-产品</w:t>
                  </w:r>
                </w:p>
              </w:tc>
              <w:tc>
                <w:tcPr>
                  <w:tcW w:w="694" w:type="pct"/>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1391" w:type="dxa"/>
                  <w:tcBorders>
                    <w:tl2br w:val="nil"/>
                    <w:tr2bl w:val="nil"/>
                  </w:tcBorders>
                  <w:vAlign w:val="center"/>
                </w:tcPr>
                <w:p>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0.47</w:t>
                  </w:r>
                </w:p>
              </w:tc>
              <w:tc>
                <w:tcPr>
                  <w:tcW w:w="1398" w:type="dxa"/>
                  <w:tcBorders>
                    <w:tl2br w:val="nil"/>
                    <w:tr2bl w:val="nil"/>
                  </w:tcBorders>
                  <w:vAlign w:val="center"/>
                </w:tcPr>
                <w:p>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431"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590"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987" w:type="pct"/>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0.383g/t-产品</w:t>
                  </w:r>
                </w:p>
              </w:tc>
              <w:tc>
                <w:tcPr>
                  <w:tcW w:w="694" w:type="pct"/>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TN</w:t>
                  </w:r>
                </w:p>
              </w:tc>
              <w:tc>
                <w:tcPr>
                  <w:tcW w:w="1391" w:type="dxa"/>
                  <w:tcBorders>
                    <w:tl2br w:val="nil"/>
                    <w:tr2bl w:val="nil"/>
                  </w:tcBorders>
                  <w:vAlign w:val="center"/>
                </w:tcPr>
                <w:p>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6.22</w:t>
                  </w:r>
                </w:p>
              </w:tc>
              <w:tc>
                <w:tcPr>
                  <w:tcW w:w="1398" w:type="dxa"/>
                  <w:tcBorders>
                    <w:tl2br w:val="nil"/>
                    <w:tr2bl w:val="nil"/>
                  </w:tcBorders>
                  <w:vAlign w:val="center"/>
                </w:tcPr>
                <w:p>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431"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590"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987" w:type="pct"/>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0.0225g/t-产品</w:t>
                  </w:r>
                </w:p>
              </w:tc>
              <w:tc>
                <w:tcPr>
                  <w:tcW w:w="694" w:type="pct"/>
                  <w:tcBorders>
                    <w:tl2br w:val="nil"/>
                    <w:tr2bl w:val="nil"/>
                  </w:tcBorders>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TP</w:t>
                  </w:r>
                </w:p>
              </w:tc>
              <w:tc>
                <w:tcPr>
                  <w:tcW w:w="1391" w:type="dxa"/>
                  <w:tcBorders>
                    <w:tl2br w:val="nil"/>
                    <w:tr2bl w:val="nil"/>
                  </w:tcBorders>
                  <w:vAlign w:val="center"/>
                </w:tcPr>
                <w:p>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0.37</w:t>
                  </w:r>
                </w:p>
              </w:tc>
              <w:tc>
                <w:tcPr>
                  <w:tcW w:w="1398" w:type="dxa"/>
                  <w:tcBorders>
                    <w:tl2br w:val="nil"/>
                    <w:tr2bl w:val="nil"/>
                  </w:tcBorders>
                  <w:vAlign w:val="center"/>
                </w:tcPr>
                <w:p>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0.057</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（2）治理设施、排放方式、排放口基本信息</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①治理措施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生活污水：</w:t>
            </w:r>
            <w:r>
              <w:rPr>
                <w:rFonts w:hint="default" w:ascii="Times New Roman" w:hAnsi="Times New Roman" w:cs="Times New Roman"/>
                <w:color w:val="auto"/>
                <w:sz w:val="24"/>
                <w:szCs w:val="24"/>
                <w:highlight w:val="none"/>
                <w:lang w:val="en-US" w:eastAsia="zh-CN"/>
              </w:rPr>
              <w:t>全厂</w:t>
            </w:r>
            <w:r>
              <w:rPr>
                <w:rFonts w:hint="default" w:ascii="Times New Roman" w:hAnsi="Times New Roman" w:cs="Times New Roman"/>
                <w:color w:val="auto"/>
                <w:sz w:val="24"/>
                <w:szCs w:val="24"/>
                <w:highlight w:val="none"/>
                <w:lang w:eastAsia="zh-CN"/>
              </w:rPr>
              <w:t>生活污水量为</w:t>
            </w:r>
            <w:r>
              <w:rPr>
                <w:rFonts w:hint="default" w:ascii="Times New Roman" w:hAnsi="Times New Roman" w:cs="Times New Roman"/>
                <w:color w:val="auto"/>
                <w:sz w:val="24"/>
                <w:szCs w:val="24"/>
                <w:highlight w:val="none"/>
                <w:lang w:val="en-US" w:eastAsia="zh-CN"/>
              </w:rPr>
              <w:t>1.02</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/d（</w:t>
            </w:r>
            <w:r>
              <w:rPr>
                <w:rFonts w:hint="default" w:ascii="Times New Roman" w:hAnsi="Times New Roman" w:cs="Times New Roman"/>
                <w:color w:val="auto"/>
                <w:sz w:val="24"/>
                <w:szCs w:val="24"/>
                <w:highlight w:val="none"/>
                <w:lang w:val="en-US" w:eastAsia="zh-CN"/>
              </w:rPr>
              <w:t>含食堂废水0.255</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/d）。主要污染物为COD、BOD</w:t>
            </w:r>
            <w:r>
              <w:rPr>
                <w:rFonts w:hint="default" w:ascii="Times New Roman" w:hAnsi="Times New Roman" w:cs="Times New Roman"/>
                <w:color w:val="auto"/>
                <w:sz w:val="24"/>
                <w:szCs w:val="24"/>
                <w:highlight w:val="none"/>
                <w:vertAlign w:val="subscript"/>
                <w:lang w:eastAsia="zh-CN"/>
              </w:rPr>
              <w:t>5</w:t>
            </w:r>
            <w:r>
              <w:rPr>
                <w:rFonts w:hint="default" w:ascii="Times New Roman" w:hAnsi="Times New Roman" w:cs="Times New Roman"/>
                <w:color w:val="auto"/>
                <w:sz w:val="24"/>
                <w:szCs w:val="24"/>
                <w:highlight w:val="none"/>
                <w:lang w:eastAsia="zh-CN"/>
              </w:rPr>
              <w:t>、SS、NH</w:t>
            </w:r>
            <w:r>
              <w:rPr>
                <w:rFonts w:hint="default" w:ascii="Times New Roman" w:hAnsi="Times New Roman" w:cs="Times New Roman"/>
                <w:color w:val="auto"/>
                <w:sz w:val="24"/>
                <w:szCs w:val="24"/>
                <w:highlight w:val="none"/>
                <w:vertAlign w:val="subscript"/>
                <w:lang w:eastAsia="zh-CN"/>
              </w:rPr>
              <w:t>3</w:t>
            </w:r>
            <w:r>
              <w:rPr>
                <w:rFonts w:hint="default" w:ascii="Times New Roman" w:hAnsi="Times New Roman" w:cs="Times New Roman"/>
                <w:color w:val="auto"/>
                <w:sz w:val="24"/>
                <w:szCs w:val="24"/>
                <w:highlight w:val="none"/>
                <w:lang w:eastAsia="zh-CN"/>
              </w:rPr>
              <w:t>-N、动植物油，项目食堂废水经隔油池（</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）处理后同生活污水一起排入</w:t>
            </w:r>
            <w:r>
              <w:rPr>
                <w:rFonts w:hint="default" w:ascii="Times New Roman" w:hAnsi="Times New Roman" w:cs="Times New Roman"/>
                <w:color w:val="auto"/>
                <w:sz w:val="24"/>
                <w:szCs w:val="24"/>
                <w:highlight w:val="none"/>
                <w:lang w:val="en-US" w:eastAsia="zh-CN"/>
              </w:rPr>
              <w:t>化粪</w:t>
            </w:r>
            <w:r>
              <w:rPr>
                <w:rFonts w:hint="default" w:ascii="Times New Roman" w:hAnsi="Times New Roman" w:cs="Times New Roman"/>
                <w:color w:val="auto"/>
                <w:sz w:val="24"/>
                <w:szCs w:val="24"/>
                <w:highlight w:val="none"/>
                <w:lang w:eastAsia="zh-CN"/>
              </w:rPr>
              <w:t>池（</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0m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）处理</w:t>
            </w:r>
            <w:r>
              <w:rPr>
                <w:rFonts w:hint="default" w:ascii="Times New Roman" w:hAnsi="Times New Roman" w:cs="Times New Roman"/>
                <w:color w:val="auto"/>
                <w:sz w:val="24"/>
                <w:szCs w:val="24"/>
                <w:highlight w:val="none"/>
                <w:lang w:val="en-US" w:eastAsia="zh-CN"/>
              </w:rPr>
              <w:t>后用作农肥。</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生产废水</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项目排泥水和滤池反冲洗废水经泥水混合池收集后由泵提升至浓缩池，经浓缩池浓缩后进入贮泥池，贮泥池排泥水脱水后上清液回到泥水混合池，不外排。</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综上，本项目不设置排污口，生活污水、生产废水均不外排。因此，项目运营期不会对周边地表水环境产生污染。</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②废水治理设施、排放口基本信息表</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本项目废水治理设施、排放口基本信息见下表：</w:t>
            </w:r>
          </w:p>
          <w:p>
            <w:pPr>
              <w:keepNext w:val="0"/>
              <w:keepLines w:val="0"/>
              <w:pageBreakBefore w:val="0"/>
              <w:kinsoku/>
              <w:wordWrap/>
              <w:topLinePunct w:val="0"/>
              <w:bidi w:val="0"/>
              <w:spacing w:line="360"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表4-7</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废水治理设施信息表</w:t>
            </w:r>
          </w:p>
          <w:tbl>
            <w:tblPr>
              <w:tblStyle w:val="19"/>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20"/>
              <w:gridCol w:w="1289"/>
              <w:gridCol w:w="1608"/>
              <w:gridCol w:w="996"/>
              <w:gridCol w:w="1310"/>
              <w:gridCol w:w="1005"/>
              <w:gridCol w:w="788"/>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5" w:type="pct"/>
                  <w:vMerge w:val="restart"/>
                  <w:tcBorders>
                    <w:tl2br w:val="nil"/>
                    <w:tr2bl w:val="nil"/>
                  </w:tcBorders>
                  <w:shd w:val="clear" w:color="000000" w:fill="auto"/>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废水类别</w:t>
                  </w:r>
                </w:p>
              </w:tc>
              <w:tc>
                <w:tcPr>
                  <w:tcW w:w="739" w:type="pct"/>
                  <w:vMerge w:val="restart"/>
                  <w:tcBorders>
                    <w:tl2br w:val="nil"/>
                    <w:tr2bl w:val="nil"/>
                  </w:tcBorders>
                  <w:shd w:val="clear" w:color="000000" w:fill="auto"/>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污染物种类</w:t>
                  </w:r>
                </w:p>
              </w:tc>
              <w:tc>
                <w:tcPr>
                  <w:tcW w:w="2820" w:type="pct"/>
                  <w:gridSpan w:val="4"/>
                  <w:tcBorders>
                    <w:tl2br w:val="nil"/>
                    <w:tr2bl w:val="nil"/>
                  </w:tcBorders>
                  <w:shd w:val="clear" w:color="000000" w:fill="auto"/>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污染治理设施</w:t>
                  </w:r>
                </w:p>
              </w:tc>
              <w:tc>
                <w:tcPr>
                  <w:tcW w:w="452" w:type="pct"/>
                  <w:vMerge w:val="restart"/>
                  <w:tcBorders>
                    <w:tl2br w:val="nil"/>
                    <w:tr2bl w:val="nil"/>
                  </w:tcBorders>
                  <w:shd w:val="clear" w:color="000000" w:fill="auto"/>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w:t>
                  </w:r>
                </w:p>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方式</w:t>
                  </w:r>
                </w:p>
              </w:tc>
              <w:tc>
                <w:tcPr>
                  <w:tcW w:w="402" w:type="pct"/>
                  <w:vMerge w:val="restart"/>
                  <w:tcBorders>
                    <w:tl2br w:val="nil"/>
                    <w:tr2bl w:val="nil"/>
                  </w:tcBorders>
                  <w:shd w:val="clear" w:color="000000" w:fill="auto"/>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w:t>
                  </w:r>
                </w:p>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5" w:type="pct"/>
                  <w:vMerge w:val="continue"/>
                  <w:tcBorders>
                    <w:tl2br w:val="nil"/>
                    <w:tr2bl w:val="nil"/>
                  </w:tcBorders>
                  <w:shd w:val="clear" w:color="auto" w:fill="auto"/>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739" w:type="pct"/>
                  <w:vMerge w:val="continue"/>
                  <w:tcBorders>
                    <w:tl2br w:val="nil"/>
                    <w:tr2bl w:val="nil"/>
                  </w:tcBorders>
                  <w:shd w:val="clear" w:color="auto" w:fill="auto"/>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922" w:type="pct"/>
                  <w:tcBorders>
                    <w:tl2br w:val="nil"/>
                    <w:tr2bl w:val="nil"/>
                  </w:tcBorders>
                  <w:shd w:val="clear" w:color="000000" w:fill="auto"/>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571" w:type="pct"/>
                  <w:tcBorders>
                    <w:tl2br w:val="nil"/>
                    <w:tr2bl w:val="nil"/>
                  </w:tcBorders>
                  <w:shd w:val="clear" w:color="000000" w:fill="auto"/>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b/>
                      <w:bCs/>
                      <w:color w:val="auto"/>
                      <w:sz w:val="21"/>
                      <w:szCs w:val="21"/>
                      <w:highlight w:val="none"/>
                    </w:rPr>
                    <w:t>处理能力</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t/d</w:t>
                  </w:r>
                  <w:r>
                    <w:rPr>
                      <w:rFonts w:hint="default" w:ascii="Times New Roman" w:hAnsi="Times New Roman" w:cs="Times New Roman"/>
                      <w:b/>
                      <w:bCs/>
                      <w:color w:val="auto"/>
                      <w:sz w:val="21"/>
                      <w:szCs w:val="21"/>
                      <w:highlight w:val="none"/>
                      <w:lang w:eastAsia="zh-CN"/>
                    </w:rPr>
                    <w:t>）</w:t>
                  </w:r>
                </w:p>
              </w:tc>
              <w:tc>
                <w:tcPr>
                  <w:tcW w:w="751" w:type="pct"/>
                  <w:tcBorders>
                    <w:tl2br w:val="nil"/>
                    <w:tr2bl w:val="nil"/>
                  </w:tcBorders>
                  <w:shd w:val="clear" w:color="000000" w:fill="auto"/>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w:t>
                  </w:r>
                </w:p>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工艺</w:t>
                  </w:r>
                </w:p>
              </w:tc>
              <w:tc>
                <w:tcPr>
                  <w:tcW w:w="575" w:type="pct"/>
                  <w:tcBorders>
                    <w:tl2br w:val="nil"/>
                    <w:tr2bl w:val="nil"/>
                  </w:tcBorders>
                  <w:shd w:val="clear" w:color="000000" w:fill="auto"/>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是否为可行性技术</w:t>
                  </w:r>
                </w:p>
              </w:tc>
              <w:tc>
                <w:tcPr>
                  <w:tcW w:w="452" w:type="pct"/>
                  <w:vMerge w:val="continue"/>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402" w:type="pct"/>
                  <w:vMerge w:val="continue"/>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5" w:type="pct"/>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w:t>
                  </w:r>
                </w:p>
              </w:tc>
              <w:tc>
                <w:tcPr>
                  <w:tcW w:w="739" w:type="pct"/>
                  <w:vMerge w:val="restart"/>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-N、TP、动植物油</w:t>
                  </w:r>
                </w:p>
              </w:tc>
              <w:tc>
                <w:tcPr>
                  <w:tcW w:w="922" w:type="pct"/>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化粪池</w:t>
                  </w:r>
                </w:p>
              </w:tc>
              <w:tc>
                <w:tcPr>
                  <w:tcW w:w="571" w:type="pct"/>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20.0</w:t>
                  </w:r>
                </w:p>
              </w:tc>
              <w:tc>
                <w:tcPr>
                  <w:tcW w:w="751" w:type="pct"/>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厌氧处理</w:t>
                  </w:r>
                </w:p>
              </w:tc>
              <w:tc>
                <w:tcPr>
                  <w:tcW w:w="575" w:type="pct"/>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452" w:type="pct"/>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不排放</w:t>
                  </w:r>
                </w:p>
              </w:tc>
              <w:tc>
                <w:tcPr>
                  <w:tcW w:w="402" w:type="pct"/>
                  <w:vMerge w:val="restart"/>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5" w:type="pct"/>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食堂废水</w:t>
                  </w:r>
                </w:p>
              </w:tc>
              <w:tc>
                <w:tcPr>
                  <w:tcW w:w="739" w:type="pct"/>
                  <w:vMerge w:val="continue"/>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922" w:type="pct"/>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rPr>
                    <w:t>隔油池</w:t>
                  </w:r>
                </w:p>
              </w:tc>
              <w:tc>
                <w:tcPr>
                  <w:tcW w:w="571" w:type="pct"/>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751" w:type="pct"/>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隔油池</w:t>
                  </w:r>
                </w:p>
              </w:tc>
              <w:tc>
                <w:tcPr>
                  <w:tcW w:w="575" w:type="pct"/>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452" w:type="pct"/>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不排放</w:t>
                  </w:r>
                </w:p>
              </w:tc>
              <w:tc>
                <w:tcPr>
                  <w:tcW w:w="402" w:type="pct"/>
                  <w:vMerge w:val="continue"/>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5" w:type="pct"/>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生产废水</w:t>
                  </w:r>
                </w:p>
              </w:tc>
              <w:tc>
                <w:tcPr>
                  <w:tcW w:w="739" w:type="pct"/>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-N、TP</w:t>
                  </w:r>
                </w:p>
              </w:tc>
              <w:tc>
                <w:tcPr>
                  <w:tcW w:w="922" w:type="pct"/>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絮凝沉淀+V型滤池+二氧化氯消毒+清水池</w:t>
                  </w:r>
                </w:p>
              </w:tc>
              <w:tc>
                <w:tcPr>
                  <w:tcW w:w="571" w:type="pct"/>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7000</w:t>
                  </w:r>
                </w:p>
              </w:tc>
              <w:tc>
                <w:tcPr>
                  <w:tcW w:w="751" w:type="pct"/>
                  <w:tcBorders>
                    <w:tl2br w:val="nil"/>
                    <w:tr2bl w:val="nil"/>
                  </w:tcBorders>
                  <w:noWrap w:val="0"/>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絮凝沉淀+V型滤池+二氧化氯消毒+清水池</w:t>
                  </w:r>
                </w:p>
              </w:tc>
              <w:tc>
                <w:tcPr>
                  <w:tcW w:w="57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是</w:t>
                  </w:r>
                </w:p>
              </w:tc>
              <w:tc>
                <w:tcPr>
                  <w:tcW w:w="45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不外排</w:t>
                  </w:r>
                </w:p>
              </w:tc>
              <w:tc>
                <w:tcPr>
                  <w:tcW w:w="40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回用</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highlight w:val="none"/>
                <w:lang w:val="en-US" w:eastAsia="zh-CN"/>
              </w:rPr>
              <w:t>废水治理措施可行性分析</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隔油池可行性分析：</w:t>
            </w:r>
            <w:r>
              <w:rPr>
                <w:rFonts w:hint="default" w:ascii="Times New Roman" w:hAnsi="Times New Roman" w:cs="Times New Roman"/>
                <w:color w:val="auto"/>
                <w:sz w:val="24"/>
                <w:szCs w:val="24"/>
                <w:highlight w:val="none"/>
                <w:lang w:val="en-US" w:eastAsia="zh-CN"/>
              </w:rPr>
              <w:t>项目拟建设1个容积为1.0m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val="en-US" w:eastAsia="zh-CN"/>
              </w:rPr>
              <w:t>的隔油池，用于食堂含油废水，废水在隔油池中停留时间按0.5h计，则隔油池最大接纳污水量为2.0m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val="en-US" w:eastAsia="zh-CN"/>
              </w:rPr>
              <w:t>/h，食堂废水产生量为0.255m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val="en-US" w:eastAsia="zh-CN"/>
              </w:rPr>
              <w:t>/h，低于隔油池的最大处理能力。同时，废水经隔油处理后，可有效去除废水中的油污，满足环境可行性要求。</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化粪池可行性分析：</w:t>
            </w:r>
            <w:r>
              <w:rPr>
                <w:rFonts w:hint="default" w:ascii="Times New Roman" w:hAnsi="Times New Roman" w:cs="Times New Roman"/>
                <w:color w:val="auto"/>
                <w:sz w:val="24"/>
                <w:szCs w:val="24"/>
                <w:highlight w:val="none"/>
                <w:lang w:val="en-US" w:eastAsia="zh-CN"/>
              </w:rPr>
              <w:t>项目拟建设1个容积为10m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val="en-US" w:eastAsia="zh-CN"/>
              </w:rPr>
              <w:t>的化粪池。</w:t>
            </w:r>
            <w:r>
              <w:rPr>
                <w:rFonts w:hint="default" w:ascii="Times New Roman" w:hAnsi="Times New Roman" w:cs="Times New Roman"/>
                <w:bCs/>
                <w:color w:val="auto"/>
                <w:sz w:val="24"/>
                <w:highlight w:val="none"/>
              </w:rPr>
              <w:t>废水在</w:t>
            </w:r>
            <w:r>
              <w:rPr>
                <w:rFonts w:hint="default" w:ascii="Times New Roman" w:hAnsi="Times New Roman" w:cs="Times New Roman"/>
                <w:bCs/>
                <w:color w:val="auto"/>
                <w:sz w:val="24"/>
                <w:highlight w:val="none"/>
                <w:lang w:eastAsia="zh-CN"/>
              </w:rPr>
              <w:t>化粪池</w:t>
            </w:r>
            <w:r>
              <w:rPr>
                <w:rFonts w:hint="default" w:ascii="Times New Roman" w:hAnsi="Times New Roman" w:cs="Times New Roman"/>
                <w:bCs/>
                <w:color w:val="auto"/>
                <w:sz w:val="24"/>
                <w:highlight w:val="none"/>
              </w:rPr>
              <w:t>中停留时间按12h计，则</w:t>
            </w:r>
            <w:r>
              <w:rPr>
                <w:rFonts w:hint="default" w:ascii="Times New Roman" w:hAnsi="Times New Roman" w:cs="Times New Roman"/>
                <w:bCs/>
                <w:color w:val="auto"/>
                <w:sz w:val="24"/>
                <w:highlight w:val="none"/>
                <w:lang w:eastAsia="zh-CN"/>
              </w:rPr>
              <w:t>化粪池</w:t>
            </w:r>
            <w:r>
              <w:rPr>
                <w:rFonts w:hint="default" w:ascii="Times New Roman" w:hAnsi="Times New Roman" w:cs="Times New Roman"/>
                <w:bCs/>
                <w:color w:val="auto"/>
                <w:sz w:val="24"/>
                <w:highlight w:val="none"/>
              </w:rPr>
              <w:t>最大接纳污水量为</w:t>
            </w:r>
            <w:r>
              <w:rPr>
                <w:rFonts w:hint="default" w:ascii="Times New Roman" w:hAnsi="Times New Roman" w:cs="Times New Roman"/>
                <w:color w:val="auto"/>
                <w:sz w:val="24"/>
                <w:highlight w:val="none"/>
                <w:lang w:val="en-US" w:eastAsia="zh-CN"/>
              </w:rPr>
              <w:t>20</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项目生活污</w:t>
            </w:r>
            <w:r>
              <w:rPr>
                <w:rFonts w:hint="default" w:ascii="Times New Roman" w:hAnsi="Times New Roman" w:cs="Times New Roman"/>
                <w:bCs/>
                <w:color w:val="auto"/>
                <w:sz w:val="24"/>
                <w:highlight w:val="none"/>
              </w:rPr>
              <w:t>水产生量为</w:t>
            </w:r>
            <w:r>
              <w:rPr>
                <w:rFonts w:hint="default" w:ascii="Times New Roman" w:hAnsi="Times New Roman" w:cs="Times New Roman"/>
                <w:bCs/>
                <w:color w:val="auto"/>
                <w:sz w:val="24"/>
                <w:highlight w:val="none"/>
                <w:lang w:val="en-US" w:eastAsia="zh-CN"/>
              </w:rPr>
              <w:t>1.02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远</w:t>
            </w:r>
            <w:r>
              <w:rPr>
                <w:rFonts w:hint="default" w:ascii="Times New Roman" w:hAnsi="Times New Roman" w:cs="Times New Roman"/>
                <w:bCs/>
                <w:color w:val="auto"/>
                <w:sz w:val="24"/>
                <w:highlight w:val="none"/>
              </w:rPr>
              <w:t>低于</w:t>
            </w:r>
            <w:r>
              <w:rPr>
                <w:rFonts w:hint="default" w:ascii="Times New Roman" w:hAnsi="Times New Roman" w:cs="Times New Roman"/>
                <w:bCs/>
                <w:color w:val="auto"/>
                <w:sz w:val="24"/>
                <w:highlight w:val="none"/>
                <w:lang w:eastAsia="zh-CN"/>
              </w:rPr>
              <w:t>化粪池</w:t>
            </w:r>
            <w:r>
              <w:rPr>
                <w:rFonts w:hint="default" w:ascii="Times New Roman" w:hAnsi="Times New Roman" w:cs="Times New Roman"/>
                <w:bCs/>
                <w:color w:val="auto"/>
                <w:sz w:val="24"/>
                <w:highlight w:val="none"/>
              </w:rPr>
              <w:t>最大处理能力</w:t>
            </w:r>
            <w:r>
              <w:rPr>
                <w:rFonts w:hint="default" w:ascii="Times New Roman" w:hAnsi="Times New Roman" w:cs="Times New Roman"/>
                <w:color w:val="auto"/>
                <w:sz w:val="24"/>
                <w:szCs w:val="24"/>
                <w:highlight w:val="none"/>
                <w:lang w:val="en-US" w:eastAsia="zh-CN"/>
              </w:rPr>
              <w:t>，满足环境可行性要求。</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现场调查，本项目周边有耕地和农田，项目周边交通便利，且日产生废水量较小，按每7天清理一次计算，生活污水化粪池能够满足施肥间隙的贮存要求。环评要求：建设单位后续与农民签订《粪水使用协议》，确保能够消纳本项目的废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废水消纳可行性分析：</w:t>
            </w:r>
            <w:r>
              <w:rPr>
                <w:rFonts w:hint="default" w:ascii="Times New Roman" w:hAnsi="Times New Roman" w:cs="Times New Roman"/>
                <w:color w:val="auto"/>
                <w:sz w:val="24"/>
                <w:szCs w:val="24"/>
                <w:highlight w:val="none"/>
                <w:lang w:val="en-US" w:eastAsia="zh-CN"/>
              </w:rPr>
              <w:t>本项目周边多为菜地、耕地和农田等，周边农户主要种植玉米、青菜、小麦等农作物，产生的生活污水进入化粪池处理后，用于周边农作物施肥，是农作物有利的肥料，同时对周边环境不造成影响，充分利用污染物不外排的原则。本项目产生的污水量为372.3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/a，NH</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lang w:val="en-US" w:eastAsia="zh-CN"/>
              </w:rPr>
              <w:t>-N浓度以30mg/L计，用于施肥的氮肥（N）量11.17kg。周边农户主要种植蔬菜、粮食，根据《农业部发布2016年春季主要农作物科学施肥技术指导意见》可知，施肥建议氮肥（N）用量10—12公斤/亩，经计算得出，本项目至少需要1.5亩土地完全消纳。周边可农肥土地面积高于2亩，厂区产生的生活污水作为菜地、耕地和农田的农肥使用，不外排，满足农肥要求。</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综上，本项目生活污水、生产废水均不外排。因此，项目运营期不会对周边地表水环境产生污染。</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3、噪声</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color w:val="auto"/>
                <w:sz w:val="24"/>
                <w:szCs w:val="24"/>
                <w:highlight w:val="none"/>
              </w:rPr>
              <w:t>噪声源强及治理措施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本项目主要噪声源来自各类水泵、风机、供水设备、脱水机等生产设施设备运行时产生的噪声，各设备噪声源强值在70~85dB（A）间。根据声源类型及源强，项目拟采取的噪声治理措施如下：</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①选用符合国家标准的低噪声设备，定期进行设备检修，保证设备正常运行。</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②合理布局，提升泵等高噪声设备设置在场地中部；各类污水泵采用潜水泵，噪声源位于液面以下；充分利用距离衰减，减轻噪声对周围环境的影响。</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③反冲洗系统、脱水机等高噪声设备设于反冲洗泵房、脱水机房内部，利用墙体进行隔声。</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④取水泵房设备均位于泵房内，且尽量布置于场地中部，充分利用厂房隔声、距离衰减，减轻噪声对周围环境的影响。</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本项目噪声污染源源强核算结果及相关参数见下表：</w:t>
            </w:r>
          </w:p>
          <w:p>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表4-10</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工业企业噪声源强调查清单（取水泵房室内声源）</w:t>
            </w:r>
          </w:p>
          <w:tbl>
            <w:tblPr>
              <w:tblStyle w:val="1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50"/>
              <w:gridCol w:w="409"/>
              <w:gridCol w:w="340"/>
              <w:gridCol w:w="955"/>
              <w:gridCol w:w="696"/>
              <w:gridCol w:w="1037"/>
              <w:gridCol w:w="614"/>
              <w:gridCol w:w="573"/>
              <w:gridCol w:w="409"/>
              <w:gridCol w:w="559"/>
              <w:gridCol w:w="613"/>
              <w:gridCol w:w="369"/>
              <w:gridCol w:w="613"/>
              <w:gridCol w:w="723"/>
              <w:gridCol w:w="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143"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序号</w:t>
                  </w:r>
                </w:p>
              </w:tc>
              <w:tc>
                <w:tcPr>
                  <w:tcW w:w="234"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声源</w:t>
                  </w:r>
                  <w:r>
                    <w:rPr>
                      <w:rFonts w:hint="default" w:ascii="Times New Roman" w:hAnsi="Times New Roman" w:cs="Times New Roman"/>
                      <w:b/>
                      <w:bCs/>
                      <w:color w:val="auto"/>
                      <w:sz w:val="21"/>
                      <w:szCs w:val="21"/>
                      <w:highlight w:val="none"/>
                      <w:lang w:val="en-US" w:eastAsia="zh-CN"/>
                    </w:rPr>
                    <w:t>名称</w:t>
                  </w:r>
                </w:p>
              </w:tc>
              <w:tc>
                <w:tcPr>
                  <w:tcW w:w="194"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型号</w:t>
                  </w:r>
                </w:p>
              </w:tc>
              <w:tc>
                <w:tcPr>
                  <w:tcW w:w="946" w:type="pct"/>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噪声源强</w:t>
                  </w:r>
                </w:p>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任选一种</w:t>
                  </w:r>
                  <w:r>
                    <w:rPr>
                      <w:rFonts w:hint="default" w:ascii="Times New Roman" w:hAnsi="Times New Roman" w:cs="Times New Roman"/>
                      <w:b/>
                      <w:bCs/>
                      <w:color w:val="auto"/>
                      <w:sz w:val="21"/>
                      <w:szCs w:val="21"/>
                      <w:highlight w:val="none"/>
                      <w:lang w:eastAsia="zh-CN"/>
                    </w:rPr>
                    <w:t>）</w:t>
                  </w:r>
                </w:p>
              </w:tc>
              <w:tc>
                <w:tcPr>
                  <w:tcW w:w="594"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声源控制措施</w:t>
                  </w:r>
                </w:p>
              </w:tc>
              <w:tc>
                <w:tcPr>
                  <w:tcW w:w="914" w:type="pct"/>
                  <w:gridSpan w:val="3"/>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空间相对位置</w:t>
                  </w:r>
                </w:p>
              </w:tc>
              <w:tc>
                <w:tcPr>
                  <w:tcW w:w="3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距室内边界距离</w:t>
                  </w:r>
                </w:p>
              </w:tc>
              <w:tc>
                <w:tcPr>
                  <w:tcW w:w="351"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b/>
                      <w:bCs/>
                      <w:color w:val="auto"/>
                      <w:sz w:val="21"/>
                      <w:szCs w:val="21"/>
                      <w:highlight w:val="none"/>
                    </w:rPr>
                    <w:t>室内边界声级/dB</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A</w:t>
                  </w:r>
                  <w:r>
                    <w:rPr>
                      <w:rFonts w:hint="default" w:ascii="Times New Roman" w:hAnsi="Times New Roman" w:cs="Times New Roman"/>
                      <w:b/>
                      <w:bCs/>
                      <w:color w:val="auto"/>
                      <w:sz w:val="21"/>
                      <w:szCs w:val="21"/>
                      <w:highlight w:val="none"/>
                      <w:lang w:eastAsia="zh-CN"/>
                    </w:rPr>
                    <w:t>）</w:t>
                  </w:r>
                </w:p>
              </w:tc>
              <w:tc>
                <w:tcPr>
                  <w:tcW w:w="211"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运行时段</w:t>
                  </w:r>
                </w:p>
              </w:tc>
              <w:tc>
                <w:tcPr>
                  <w:tcW w:w="351"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建筑物</w:t>
                  </w:r>
                  <w:r>
                    <w:rPr>
                      <w:rFonts w:hint="default" w:ascii="Times New Roman" w:hAnsi="Times New Roman" w:cs="Times New Roman"/>
                      <w:b/>
                      <w:bCs/>
                      <w:color w:val="auto"/>
                      <w:sz w:val="21"/>
                      <w:szCs w:val="21"/>
                      <w:highlight w:val="none"/>
                    </w:rPr>
                    <w:t>插入损失/dB（A）</w:t>
                  </w:r>
                </w:p>
              </w:tc>
              <w:tc>
                <w:tcPr>
                  <w:tcW w:w="737" w:type="pct"/>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建筑物外</w:t>
                  </w:r>
                </w:p>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14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rPr>
                  </w:pPr>
                </w:p>
              </w:tc>
              <w:tc>
                <w:tcPr>
                  <w:tcW w:w="23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rPr>
                  </w:pPr>
                </w:p>
              </w:tc>
              <w:tc>
                <w:tcPr>
                  <w:tcW w:w="19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rPr>
                  </w:pPr>
                </w:p>
              </w:tc>
              <w:tc>
                <w:tcPr>
                  <w:tcW w:w="54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（声压级/距声源距离）/（dB（A）/m）</w:t>
                  </w:r>
                </w:p>
              </w:tc>
              <w:tc>
                <w:tcPr>
                  <w:tcW w:w="39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声功率级/</w:t>
                  </w:r>
                  <w:r>
                    <w:rPr>
                      <w:rFonts w:hint="default" w:ascii="Times New Roman" w:hAnsi="Times New Roman" w:cs="Times New Roman"/>
                      <w:b/>
                      <w:bCs/>
                      <w:color w:val="auto"/>
                      <w:sz w:val="21"/>
                      <w:szCs w:val="21"/>
                      <w:highlight w:val="none"/>
                    </w:rPr>
                    <w:t>dB</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A</w:t>
                  </w:r>
                  <w:r>
                    <w:rPr>
                      <w:rFonts w:hint="default" w:ascii="Times New Roman" w:hAnsi="Times New Roman" w:cs="Times New Roman"/>
                      <w:b/>
                      <w:bCs/>
                      <w:color w:val="auto"/>
                      <w:sz w:val="21"/>
                      <w:szCs w:val="21"/>
                      <w:highlight w:val="none"/>
                      <w:lang w:eastAsia="zh-CN"/>
                    </w:rPr>
                    <w:t>）</w:t>
                  </w:r>
                </w:p>
              </w:tc>
              <w:tc>
                <w:tcPr>
                  <w:tcW w:w="59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3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X</w:t>
                  </w:r>
                </w:p>
              </w:tc>
              <w:tc>
                <w:tcPr>
                  <w:tcW w:w="32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Y</w:t>
                  </w:r>
                </w:p>
              </w:tc>
              <w:tc>
                <w:tcPr>
                  <w:tcW w:w="23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Z</w:t>
                  </w:r>
                </w:p>
              </w:tc>
              <w:tc>
                <w:tcPr>
                  <w:tcW w:w="3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35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21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35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41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声压级</w:t>
                  </w:r>
                </w:p>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b/>
                      <w:bCs/>
                      <w:color w:val="auto"/>
                      <w:sz w:val="21"/>
                      <w:szCs w:val="21"/>
                      <w:highlight w:val="none"/>
                    </w:rPr>
                    <w:t>/dB</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A</w:t>
                  </w:r>
                  <w:r>
                    <w:rPr>
                      <w:rFonts w:hint="default" w:ascii="Times New Roman" w:hAnsi="Times New Roman" w:cs="Times New Roman"/>
                      <w:b/>
                      <w:bCs/>
                      <w:color w:val="auto"/>
                      <w:sz w:val="21"/>
                      <w:szCs w:val="21"/>
                      <w:highlight w:val="none"/>
                      <w:lang w:eastAsia="zh-CN"/>
                    </w:rPr>
                    <w:t>）</w:t>
                  </w:r>
                </w:p>
              </w:tc>
              <w:tc>
                <w:tcPr>
                  <w:tcW w:w="32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建筑</w:t>
                  </w:r>
                </w:p>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物外</w:t>
                  </w:r>
                </w:p>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47" w:hRule="atLeast"/>
                <w:jc w:val="center"/>
              </w:trPr>
              <w:tc>
                <w:tcPr>
                  <w:tcW w:w="143" w:type="pct"/>
                  <w:tcBorders>
                    <w:tl2br w:val="nil"/>
                    <w:tr2bl w:val="nil"/>
                  </w:tcBorders>
                  <w:noWrap w:val="0"/>
                  <w:vAlign w:val="center"/>
                </w:tcPr>
                <w:p>
                  <w:pPr>
                    <w:keepNext w:val="0"/>
                    <w:keepLines w:val="0"/>
                    <w:pageBreakBefore w:val="0"/>
                    <w:widowControl w:val="0"/>
                    <w:kinsoku/>
                    <w:wordWrap/>
                    <w:topLinePunct w:val="0"/>
                    <w:bidi w:val="0"/>
                    <w:snapToGrid/>
                    <w:spacing w:beforeAutospacing="0" w:afterAutospacing="0" w:line="240" w:lineRule="auto"/>
                    <w:ind w:left="0" w:leftChars="0"/>
                    <w:jc w:val="center"/>
                    <w:textAlignment w:val="baseline"/>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1</w:t>
                  </w:r>
                </w:p>
              </w:tc>
              <w:tc>
                <w:tcPr>
                  <w:tcW w:w="234" w:type="pct"/>
                  <w:tcBorders>
                    <w:tl2br w:val="nil"/>
                    <w:tr2bl w:val="nil"/>
                  </w:tcBorders>
                  <w:noWrap w:val="0"/>
                  <w:vAlign w:val="center"/>
                </w:tcPr>
                <w:p>
                  <w:pPr>
                    <w:keepNext w:val="0"/>
                    <w:keepLines w:val="0"/>
                    <w:pageBreakBefore w:val="0"/>
                    <w:widowControl w:val="0"/>
                    <w:kinsoku/>
                    <w:wordWrap/>
                    <w:topLinePunct w:val="0"/>
                    <w:bidi w:val="0"/>
                    <w:snapToGrid/>
                    <w:spacing w:beforeAutospacing="0" w:afterAutospacing="0" w:line="240" w:lineRule="auto"/>
                    <w:ind w:left="0" w:leftChars="0"/>
                    <w:jc w:val="center"/>
                    <w:textAlignment w:val="baseline"/>
                    <w:rPr>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潜污泵</w:t>
                  </w:r>
                </w:p>
              </w:tc>
              <w:tc>
                <w:tcPr>
                  <w:tcW w:w="19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54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9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70</w:t>
                  </w:r>
                  <w:r>
                    <w:rPr>
                      <w:rFonts w:hint="default" w:ascii="Times New Roman" w:hAnsi="Times New Roman" w:eastAsia="宋体" w:cs="Times New Roman"/>
                      <w:color w:val="auto"/>
                      <w:kern w:val="2"/>
                      <w:sz w:val="21"/>
                      <w:szCs w:val="21"/>
                      <w:highlight w:val="none"/>
                      <w:lang w:val="en-US" w:eastAsia="zh-CN" w:bidi="ar-SA"/>
                    </w:rPr>
                    <w:t>/1</w:t>
                  </w:r>
                </w:p>
              </w:tc>
              <w:tc>
                <w:tcPr>
                  <w:tcW w:w="594"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高噪声设备置于单独的房间内，安装设备减震器，加强管理，通过隔声和距离衰减使噪声达标</w:t>
                  </w:r>
                  <w:r>
                    <w:rPr>
                      <w:rFonts w:hint="default" w:ascii="Times New Roman" w:hAnsi="Times New Roman" w:eastAsia="宋体" w:cs="Times New Roman"/>
                      <w:color w:val="auto"/>
                      <w:sz w:val="21"/>
                      <w:szCs w:val="21"/>
                      <w:highlight w:val="none"/>
                      <w:lang w:val="en-US" w:eastAsia="zh-CN"/>
                    </w:rPr>
                    <w:t>、加强设备维护保养</w:t>
                  </w:r>
                </w:p>
              </w:tc>
              <w:tc>
                <w:tcPr>
                  <w:tcW w:w="3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-2.72</w:t>
                  </w:r>
                </w:p>
              </w:tc>
              <w:tc>
                <w:tcPr>
                  <w:tcW w:w="32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2.55</w:t>
                  </w:r>
                </w:p>
              </w:tc>
              <w:tc>
                <w:tcPr>
                  <w:tcW w:w="23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3.78</w:t>
                  </w:r>
                </w:p>
              </w:tc>
              <w:tc>
                <w:tcPr>
                  <w:tcW w:w="3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63.85</w:t>
                  </w:r>
                </w:p>
              </w:tc>
              <w:tc>
                <w:tcPr>
                  <w:tcW w:w="21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昼夜</w:t>
                  </w:r>
                </w:p>
              </w:tc>
              <w:tc>
                <w:tcPr>
                  <w:tcW w:w="3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c>
                <w:tcPr>
                  <w:tcW w:w="41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37.85</w:t>
                  </w:r>
                </w:p>
              </w:tc>
              <w:tc>
                <w:tcPr>
                  <w:tcW w:w="32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11" w:hRule="atLeast"/>
                <w:jc w:val="center"/>
              </w:trPr>
              <w:tc>
                <w:tcPr>
                  <w:tcW w:w="143" w:type="pct"/>
                  <w:tcBorders>
                    <w:tl2br w:val="nil"/>
                    <w:tr2bl w:val="nil"/>
                  </w:tcBorders>
                  <w:noWrap w:val="0"/>
                  <w:vAlign w:val="center"/>
                </w:tcPr>
                <w:p>
                  <w:pPr>
                    <w:keepNext w:val="0"/>
                    <w:keepLines w:val="0"/>
                    <w:pageBreakBefore w:val="0"/>
                    <w:widowControl w:val="0"/>
                    <w:kinsoku/>
                    <w:wordWrap/>
                    <w:topLinePunct w:val="0"/>
                    <w:bidi w:val="0"/>
                    <w:snapToGrid/>
                    <w:spacing w:beforeAutospacing="0" w:afterAutospacing="0" w:line="240" w:lineRule="auto"/>
                    <w:ind w:left="0" w:leftChars="0"/>
                    <w:jc w:val="center"/>
                    <w:textAlignment w:val="baseline"/>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2</w:t>
                  </w:r>
                </w:p>
              </w:tc>
              <w:tc>
                <w:tcPr>
                  <w:tcW w:w="234"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离心泵</w:t>
                  </w:r>
                </w:p>
              </w:tc>
              <w:tc>
                <w:tcPr>
                  <w:tcW w:w="194"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54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9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75</w:t>
                  </w:r>
                  <w:r>
                    <w:rPr>
                      <w:rFonts w:hint="default" w:ascii="Times New Roman" w:hAnsi="Times New Roman" w:eastAsia="宋体" w:cs="Times New Roman"/>
                      <w:color w:val="auto"/>
                      <w:kern w:val="2"/>
                      <w:sz w:val="21"/>
                      <w:szCs w:val="21"/>
                      <w:highlight w:val="none"/>
                      <w:lang w:val="en-US" w:eastAsia="zh-CN" w:bidi="ar-SA"/>
                    </w:rPr>
                    <w:t>/1</w:t>
                  </w:r>
                </w:p>
              </w:tc>
              <w:tc>
                <w:tcPr>
                  <w:tcW w:w="59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rPr>
                  </w:pPr>
                </w:p>
              </w:tc>
              <w:tc>
                <w:tcPr>
                  <w:tcW w:w="3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0.39</w:t>
                  </w:r>
                </w:p>
              </w:tc>
              <w:tc>
                <w:tcPr>
                  <w:tcW w:w="32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0.44</w:t>
                  </w:r>
                </w:p>
              </w:tc>
              <w:tc>
                <w:tcPr>
                  <w:tcW w:w="23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7.26</w:t>
                  </w:r>
                </w:p>
              </w:tc>
              <w:tc>
                <w:tcPr>
                  <w:tcW w:w="3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68.55</w:t>
                  </w:r>
                </w:p>
              </w:tc>
              <w:tc>
                <w:tcPr>
                  <w:tcW w:w="21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昼夜</w:t>
                  </w:r>
                </w:p>
              </w:tc>
              <w:tc>
                <w:tcPr>
                  <w:tcW w:w="3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c>
                <w:tcPr>
                  <w:tcW w:w="41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42.55</w:t>
                  </w:r>
                </w:p>
              </w:tc>
              <w:tc>
                <w:tcPr>
                  <w:tcW w:w="32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43" w:type="pct"/>
                  <w:tcBorders>
                    <w:tl2br w:val="nil"/>
                    <w:tr2bl w:val="nil"/>
                  </w:tcBorders>
                  <w:noWrap w:val="0"/>
                  <w:vAlign w:val="center"/>
                </w:tcPr>
                <w:p>
                  <w:pPr>
                    <w:keepNext w:val="0"/>
                    <w:keepLines w:val="0"/>
                    <w:pageBreakBefore w:val="0"/>
                    <w:widowControl w:val="0"/>
                    <w:kinsoku/>
                    <w:wordWrap/>
                    <w:topLinePunct w:val="0"/>
                    <w:bidi w:val="0"/>
                    <w:snapToGrid/>
                    <w:spacing w:beforeAutospacing="0" w:afterAutospacing="0" w:line="240" w:lineRule="auto"/>
                    <w:ind w:left="0" w:leftChars="0"/>
                    <w:jc w:val="center"/>
                    <w:textAlignment w:val="baseline"/>
                    <w:rPr>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Fonts w:hint="default" w:ascii="Times New Roman" w:hAnsi="Times New Roman" w:cs="Times New Roman"/>
                      <w:b w:val="0"/>
                      <w:i w:val="0"/>
                      <w:caps w:val="0"/>
                      <w:color w:val="auto"/>
                      <w:spacing w:val="0"/>
                      <w:w w:val="100"/>
                      <w:sz w:val="21"/>
                      <w:szCs w:val="21"/>
                      <w:highlight w:val="none"/>
                      <w:lang w:val="en-US" w:eastAsia="zh-CN"/>
                    </w:rPr>
                    <w:t>3</w:t>
                  </w:r>
                </w:p>
              </w:tc>
              <w:tc>
                <w:tcPr>
                  <w:tcW w:w="234"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管道风机</w:t>
                  </w:r>
                </w:p>
              </w:tc>
              <w:tc>
                <w:tcPr>
                  <w:tcW w:w="19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54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9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65</w:t>
                  </w:r>
                  <w:r>
                    <w:rPr>
                      <w:rFonts w:hint="default" w:ascii="Times New Roman" w:hAnsi="Times New Roman" w:eastAsia="宋体" w:cs="Times New Roman"/>
                      <w:color w:val="auto"/>
                      <w:kern w:val="2"/>
                      <w:sz w:val="21"/>
                      <w:szCs w:val="21"/>
                      <w:highlight w:val="none"/>
                      <w:lang w:val="en-US" w:eastAsia="zh-CN" w:bidi="ar-SA"/>
                    </w:rPr>
                    <w:t>/1</w:t>
                  </w:r>
                </w:p>
              </w:tc>
              <w:tc>
                <w:tcPr>
                  <w:tcW w:w="59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rPr>
                  </w:pPr>
                </w:p>
              </w:tc>
              <w:tc>
                <w:tcPr>
                  <w:tcW w:w="3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0.34</w:t>
                  </w:r>
                </w:p>
              </w:tc>
              <w:tc>
                <w:tcPr>
                  <w:tcW w:w="32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-4.27</w:t>
                  </w:r>
                </w:p>
              </w:tc>
              <w:tc>
                <w:tcPr>
                  <w:tcW w:w="23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tc>
              <w:tc>
                <w:tcPr>
                  <w:tcW w:w="32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3.99</w:t>
                  </w:r>
                </w:p>
              </w:tc>
              <w:tc>
                <w:tcPr>
                  <w:tcW w:w="3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58.81</w:t>
                  </w:r>
                </w:p>
              </w:tc>
              <w:tc>
                <w:tcPr>
                  <w:tcW w:w="21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昼夜</w:t>
                  </w:r>
                </w:p>
              </w:tc>
              <w:tc>
                <w:tcPr>
                  <w:tcW w:w="3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c>
                <w:tcPr>
                  <w:tcW w:w="41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32.81</w:t>
                  </w:r>
                </w:p>
              </w:tc>
              <w:tc>
                <w:tcPr>
                  <w:tcW w:w="32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1</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p>
        </w:tc>
      </w:tr>
    </w:tbl>
    <w:p>
      <w:pPr>
        <w:pStyle w:val="16"/>
        <w:keepNext w:val="0"/>
        <w:keepLines w:val="0"/>
        <w:pageBreakBefore w:val="0"/>
        <w:kinsoku/>
        <w:wordWrap/>
        <w:topLinePunct w:val="0"/>
        <w:bidi w:val="0"/>
        <w:spacing w:after="0"/>
        <w:ind w:left="0" w:leftChars="0"/>
        <w:rPr>
          <w:rFonts w:hint="default" w:ascii="Times New Roman" w:hAnsi="Times New Roman" w:cs="Times New Roman"/>
          <w:color w:val="auto"/>
          <w:highlight w:val="none"/>
          <w:lang w:eastAsia="zh-CN"/>
        </w:rPr>
      </w:pPr>
    </w:p>
    <w:p>
      <w:pPr>
        <w:pStyle w:val="18"/>
        <w:keepNext w:val="0"/>
        <w:keepLines w:val="0"/>
        <w:pageBreakBefore w:val="0"/>
        <w:kinsoku/>
        <w:wordWrap/>
        <w:topLinePunct w:val="0"/>
        <w:bidi w:val="0"/>
        <w:spacing w:after="0" w:line="360" w:lineRule="auto"/>
        <w:ind w:left="0" w:leftChars="0" w:firstLine="480" w:firstLineChars="200"/>
        <w:rPr>
          <w:rFonts w:hint="default" w:ascii="Times New Roman" w:hAnsi="Times New Roman" w:cs="Times New Roman"/>
          <w:color w:val="auto"/>
          <w:sz w:val="24"/>
          <w:szCs w:val="36"/>
          <w:highlight w:val="none"/>
          <w:lang w:eastAsia="zh-CN"/>
        </w:rPr>
        <w:sectPr>
          <w:pgSz w:w="11906" w:h="16838"/>
          <w:pgMar w:top="1440" w:right="1361" w:bottom="1440" w:left="1361"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13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vAlign w:val="center"/>
          </w:tcPr>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运营</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期环</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境影</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响和</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保护</w:t>
            </w:r>
          </w:p>
          <w:p>
            <w:pPr>
              <w:keepNext w:val="0"/>
              <w:keepLines w:val="0"/>
              <w:pageBreakBefore w:val="0"/>
              <w:suppressLineNumbers w:val="0"/>
              <w:kinsoku/>
              <w:wordWrap/>
              <w:topLinePunct w:val="0"/>
              <w:bidi w:val="0"/>
              <w:spacing w:beforeAutospacing="0" w:afterAutospacing="0" w:line="360" w:lineRule="auto"/>
              <w:ind w:left="0" w:leftChars="0" w:right="0" w:rightChars="0"/>
              <w:jc w:val="center"/>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eastAsia="zh-CN"/>
              </w:rPr>
              <w:t>措施</w:t>
            </w:r>
          </w:p>
        </w:tc>
        <w:tc>
          <w:tcPr>
            <w:tcW w:w="13768" w:type="dxa"/>
          </w:tcPr>
          <w:p>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表4-9</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工业企业噪声源强调查清单（供水厂室内声源）</w:t>
            </w:r>
          </w:p>
          <w:tbl>
            <w:tblPr>
              <w:tblStyle w:val="1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60"/>
              <w:gridCol w:w="788"/>
              <w:gridCol w:w="2085"/>
              <w:gridCol w:w="437"/>
              <w:gridCol w:w="1300"/>
              <w:gridCol w:w="813"/>
              <w:gridCol w:w="1012"/>
              <w:gridCol w:w="850"/>
              <w:gridCol w:w="700"/>
              <w:gridCol w:w="591"/>
              <w:gridCol w:w="680"/>
              <w:gridCol w:w="845"/>
              <w:gridCol w:w="612"/>
              <w:gridCol w:w="804"/>
              <w:gridCol w:w="818"/>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170"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序号</w:t>
                  </w:r>
                </w:p>
              </w:tc>
              <w:tc>
                <w:tcPr>
                  <w:tcW w:w="1062"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声源</w:t>
                  </w:r>
                  <w:r>
                    <w:rPr>
                      <w:rFonts w:hint="default" w:ascii="Times New Roman" w:hAnsi="Times New Roman" w:cs="Times New Roman"/>
                      <w:b/>
                      <w:bCs/>
                      <w:color w:val="auto"/>
                      <w:sz w:val="21"/>
                      <w:szCs w:val="21"/>
                      <w:highlight w:val="none"/>
                      <w:lang w:val="en-US" w:eastAsia="zh-CN"/>
                    </w:rPr>
                    <w:t>名称</w:t>
                  </w:r>
                </w:p>
              </w:tc>
              <w:tc>
                <w:tcPr>
                  <w:tcW w:w="161"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型号</w:t>
                  </w:r>
                </w:p>
              </w:tc>
              <w:tc>
                <w:tcPr>
                  <w:tcW w:w="781" w:type="pct"/>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噪声源强</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任选一种</w:t>
                  </w:r>
                  <w:r>
                    <w:rPr>
                      <w:rFonts w:hint="default" w:ascii="Times New Roman" w:hAnsi="Times New Roman" w:cs="Times New Roman"/>
                      <w:b/>
                      <w:bCs/>
                      <w:color w:val="auto"/>
                      <w:sz w:val="21"/>
                      <w:szCs w:val="21"/>
                      <w:highlight w:val="none"/>
                      <w:lang w:eastAsia="zh-CN"/>
                    </w:rPr>
                    <w:t>）</w:t>
                  </w:r>
                </w:p>
              </w:tc>
              <w:tc>
                <w:tcPr>
                  <w:tcW w:w="3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声源控制措施</w:t>
                  </w:r>
                </w:p>
              </w:tc>
              <w:tc>
                <w:tcPr>
                  <w:tcW w:w="791" w:type="pct"/>
                  <w:gridSpan w:val="3"/>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空间相对位置</w:t>
                  </w:r>
                </w:p>
              </w:tc>
              <w:tc>
                <w:tcPr>
                  <w:tcW w:w="251"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距室内边界距离</w:t>
                  </w:r>
                </w:p>
              </w:tc>
              <w:tc>
                <w:tcPr>
                  <w:tcW w:w="312"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b/>
                      <w:bCs/>
                      <w:color w:val="auto"/>
                      <w:sz w:val="21"/>
                      <w:szCs w:val="21"/>
                      <w:highlight w:val="none"/>
                    </w:rPr>
                    <w:t>室内边界声级/dB</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A</w:t>
                  </w:r>
                  <w:r>
                    <w:rPr>
                      <w:rFonts w:hint="default" w:ascii="Times New Roman" w:hAnsi="Times New Roman" w:cs="Times New Roman"/>
                      <w:b/>
                      <w:bCs/>
                      <w:color w:val="auto"/>
                      <w:sz w:val="21"/>
                      <w:szCs w:val="21"/>
                      <w:highlight w:val="none"/>
                      <w:lang w:eastAsia="zh-CN"/>
                    </w:rPr>
                    <w:t>）</w:t>
                  </w:r>
                </w:p>
              </w:tc>
              <w:tc>
                <w:tcPr>
                  <w:tcW w:w="226"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运行时段</w:t>
                  </w:r>
                </w:p>
              </w:tc>
              <w:tc>
                <w:tcPr>
                  <w:tcW w:w="297"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建筑物</w:t>
                  </w:r>
                  <w:r>
                    <w:rPr>
                      <w:rFonts w:hint="default" w:ascii="Times New Roman" w:hAnsi="Times New Roman" w:cs="Times New Roman"/>
                      <w:b/>
                      <w:bCs/>
                      <w:color w:val="auto"/>
                      <w:sz w:val="21"/>
                      <w:szCs w:val="21"/>
                      <w:highlight w:val="none"/>
                    </w:rPr>
                    <w:t>插入损失/dB（A）</w:t>
                  </w:r>
                </w:p>
              </w:tc>
              <w:tc>
                <w:tcPr>
                  <w:tcW w:w="572" w:type="pct"/>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1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rPr>
                  </w:pPr>
                </w:p>
              </w:tc>
              <w:tc>
                <w:tcPr>
                  <w:tcW w:w="1062"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rPr>
                  </w:pPr>
                </w:p>
              </w:tc>
              <w:tc>
                <w:tcPr>
                  <w:tcW w:w="16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rPr>
                  </w:pPr>
                </w:p>
              </w:tc>
              <w:tc>
                <w:tcPr>
                  <w:tcW w:w="48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（声压级/距声源距离）/（dB（A）/m）</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声功率级/</w:t>
                  </w:r>
                  <w:r>
                    <w:rPr>
                      <w:rFonts w:hint="default" w:ascii="Times New Roman" w:hAnsi="Times New Roman" w:cs="Times New Roman"/>
                      <w:b/>
                      <w:bCs/>
                      <w:color w:val="auto"/>
                      <w:sz w:val="21"/>
                      <w:szCs w:val="21"/>
                      <w:highlight w:val="none"/>
                    </w:rPr>
                    <w:t>dB</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A</w:t>
                  </w:r>
                  <w:r>
                    <w:rPr>
                      <w:rFonts w:hint="default" w:ascii="Times New Roman" w:hAnsi="Times New Roman" w:cs="Times New Roman"/>
                      <w:b/>
                      <w:bCs/>
                      <w:color w:val="auto"/>
                      <w:sz w:val="21"/>
                      <w:szCs w:val="21"/>
                      <w:highlight w:val="none"/>
                      <w:lang w:eastAsia="zh-CN"/>
                    </w:rPr>
                    <w:t>）</w:t>
                  </w: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31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X</w:t>
                  </w:r>
                </w:p>
              </w:tc>
              <w:tc>
                <w:tcPr>
                  <w:tcW w:w="25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Y</w:t>
                  </w:r>
                </w:p>
              </w:tc>
              <w:tc>
                <w:tcPr>
                  <w:tcW w:w="21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Z</w:t>
                  </w:r>
                </w:p>
              </w:tc>
              <w:tc>
                <w:tcPr>
                  <w:tcW w:w="25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31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22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29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30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声压级</w:t>
                  </w:r>
                </w:p>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b/>
                      <w:bCs/>
                      <w:color w:val="auto"/>
                      <w:sz w:val="21"/>
                      <w:szCs w:val="21"/>
                      <w:highlight w:val="none"/>
                    </w:rPr>
                    <w:t>/dB</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A</w:t>
                  </w:r>
                  <w:r>
                    <w:rPr>
                      <w:rFonts w:hint="default" w:ascii="Times New Roman" w:hAnsi="Times New Roman" w:cs="Times New Roman"/>
                      <w:b/>
                      <w:bCs/>
                      <w:color w:val="auto"/>
                      <w:sz w:val="21"/>
                      <w:szCs w:val="21"/>
                      <w:highlight w:val="none"/>
                      <w:lang w:eastAsia="zh-CN"/>
                    </w:rPr>
                    <w:t>）</w:t>
                  </w:r>
                </w:p>
              </w:tc>
              <w:tc>
                <w:tcPr>
                  <w:tcW w:w="27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建筑</w:t>
                  </w:r>
                </w:p>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物外</w:t>
                  </w:r>
                </w:p>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 w:hRule="atLeast"/>
                <w:tblHeader/>
                <w:jc w:val="center"/>
              </w:trPr>
              <w:tc>
                <w:tcPr>
                  <w:tcW w:w="17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w:t>
                  </w:r>
                </w:p>
              </w:tc>
              <w:tc>
                <w:tcPr>
                  <w:tcW w:w="1062" w:type="pct"/>
                  <w:gridSpan w:val="2"/>
                  <w:tcBorders>
                    <w:tl2br w:val="nil"/>
                    <w:tr2bl w:val="nil"/>
                  </w:tcBorders>
                  <w:noWrap w:val="0"/>
                  <w:vAlign w:val="center"/>
                </w:tcPr>
                <w:p>
                  <w:pPr>
                    <w:keepNext w:val="0"/>
                    <w:keepLines w:val="0"/>
                    <w:pageBreakBefore w:val="0"/>
                    <w:widowControl w:val="0"/>
                    <w:kinsoku/>
                    <w:wordWrap/>
                    <w:topLinePunct w:val="0"/>
                    <w:bidi w:val="0"/>
                    <w:snapToGrid/>
                    <w:spacing w:beforeAutospacing="0" w:afterAutospacing="0" w:line="240" w:lineRule="auto"/>
                    <w:ind w:left="0" w:leftChars="0"/>
                    <w:jc w:val="center"/>
                    <w:textAlignment w:val="baseline"/>
                    <w:rPr>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Fonts w:hint="default" w:ascii="Times New Roman" w:hAnsi="Times New Roman" w:eastAsia="宋体" w:cs="Times New Roman"/>
                      <w:b w:val="0"/>
                      <w:i w:val="0"/>
                      <w:caps w:val="0"/>
                      <w:color w:val="auto"/>
                      <w:spacing w:val="0"/>
                      <w:w w:val="100"/>
                      <w:kern w:val="2"/>
                      <w:sz w:val="21"/>
                      <w:szCs w:val="21"/>
                      <w:highlight w:val="none"/>
                      <w:lang w:val="en-US" w:eastAsia="zh-CN" w:bidi="ar-SA"/>
                    </w:rPr>
                    <w:t>一体化设备</w:t>
                  </w:r>
                  <w:r>
                    <w:rPr>
                      <w:rFonts w:hint="default" w:ascii="Times New Roman" w:hAnsi="Times New Roman" w:cs="Times New Roman"/>
                      <w:b w:val="0"/>
                      <w:bCs w:val="0"/>
                      <w:color w:val="auto"/>
                      <w:sz w:val="21"/>
                      <w:szCs w:val="21"/>
                      <w:highlight w:val="none"/>
                      <w:lang w:val="en-US" w:eastAsia="zh-CN"/>
                    </w:rPr>
                    <w:t>×2</w:t>
                  </w:r>
                </w:p>
              </w:tc>
              <w:tc>
                <w:tcPr>
                  <w:tcW w:w="16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480"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80/1</w:t>
                  </w:r>
                </w:p>
              </w:tc>
              <w:tc>
                <w:tcPr>
                  <w:tcW w:w="374"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选用低噪声设备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各类污水泵位于液面以下</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高噪声设备置于单独的房间内，安装设备减震器，加强管理，通过隔声和距离衰减使噪声达标</w:t>
                  </w:r>
                  <w:r>
                    <w:rPr>
                      <w:rFonts w:hint="default" w:ascii="Times New Roman" w:hAnsi="Times New Roman" w:eastAsia="宋体" w:cs="Times New Roman"/>
                      <w:color w:val="auto"/>
                      <w:sz w:val="21"/>
                      <w:szCs w:val="21"/>
                      <w:highlight w:val="none"/>
                      <w:lang w:val="en-US" w:eastAsia="zh-CN"/>
                    </w:rPr>
                    <w:t>、加强设备维护保养</w:t>
                  </w:r>
                </w:p>
              </w:tc>
              <w:tc>
                <w:tcPr>
                  <w:tcW w:w="31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color w:val="auto"/>
                      <w:sz w:val="21"/>
                      <w:szCs w:val="21"/>
                      <w:highlight w:val="none"/>
                    </w:rPr>
                    <w:t>4.74</w:t>
                  </w:r>
                </w:p>
              </w:tc>
              <w:tc>
                <w:tcPr>
                  <w:tcW w:w="25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color w:val="auto"/>
                      <w:sz w:val="21"/>
                      <w:szCs w:val="21"/>
                      <w:highlight w:val="none"/>
                    </w:rPr>
                    <w:t>46.26</w:t>
                  </w:r>
                </w:p>
              </w:tc>
              <w:tc>
                <w:tcPr>
                  <w:tcW w:w="21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2</w:t>
                  </w:r>
                </w:p>
              </w:tc>
              <w:tc>
                <w:tcPr>
                  <w:tcW w:w="2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6.24</w:t>
                  </w:r>
                </w:p>
              </w:tc>
              <w:tc>
                <w:tcPr>
                  <w:tcW w:w="31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78.12</w:t>
                  </w:r>
                </w:p>
              </w:tc>
              <w:tc>
                <w:tcPr>
                  <w:tcW w:w="22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昼夜</w:t>
                  </w:r>
                </w:p>
              </w:tc>
              <w:tc>
                <w:tcPr>
                  <w:tcW w:w="29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10</w:t>
                  </w:r>
                </w:p>
              </w:tc>
              <w:tc>
                <w:tcPr>
                  <w:tcW w:w="30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62.12</w:t>
                  </w:r>
                </w:p>
              </w:tc>
              <w:tc>
                <w:tcPr>
                  <w:tcW w:w="27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 w:hRule="atLeast"/>
                <w:tblHeader/>
                <w:jc w:val="center"/>
              </w:trPr>
              <w:tc>
                <w:tcPr>
                  <w:tcW w:w="17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w:t>
                  </w:r>
                </w:p>
              </w:tc>
              <w:tc>
                <w:tcPr>
                  <w:tcW w:w="291" w:type="pct"/>
                  <w:tcBorders>
                    <w:tl2br w:val="nil"/>
                    <w:tr2bl w:val="nil"/>
                  </w:tcBorders>
                  <w:noWrap w:val="0"/>
                  <w:vAlign w:val="center"/>
                </w:tcPr>
                <w:p>
                  <w:pPr>
                    <w:keepNext w:val="0"/>
                    <w:keepLines w:val="0"/>
                    <w:pageBreakBefore w:val="0"/>
                    <w:widowControl w:val="0"/>
                    <w:kinsoku/>
                    <w:wordWrap/>
                    <w:topLinePunct w:val="0"/>
                    <w:bidi w:val="0"/>
                    <w:snapToGrid/>
                    <w:spacing w:beforeAutospacing="0" w:afterAutospacing="0" w:line="240" w:lineRule="auto"/>
                    <w:ind w:left="0" w:leftChars="0"/>
                    <w:jc w:val="center"/>
                    <w:textAlignment w:val="baseline"/>
                    <w:rPr>
                      <w:rFonts w:hint="default" w:ascii="Times New Roman" w:hAnsi="Times New Roman" w:cs="Times New Roman" w:eastAsiaTheme="minorEastAsia"/>
                      <w:b w:val="0"/>
                      <w:i w:val="0"/>
                      <w:caps w:val="0"/>
                      <w:color w:val="auto"/>
                      <w:spacing w:val="0"/>
                      <w:w w:val="100"/>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清水池</w:t>
                  </w:r>
                </w:p>
              </w:tc>
              <w:tc>
                <w:tcPr>
                  <w:tcW w:w="770" w:type="pct"/>
                  <w:tcBorders>
                    <w:tl2br w:val="nil"/>
                    <w:tr2bl w:val="nil"/>
                  </w:tcBorders>
                  <w:noWrap w:val="0"/>
                  <w:vAlign w:val="center"/>
                </w:tcPr>
                <w:p>
                  <w:pPr>
                    <w:keepNext w:val="0"/>
                    <w:keepLines w:val="0"/>
                    <w:pageBreakBefore w:val="0"/>
                    <w:widowControl w:val="0"/>
                    <w:kinsoku/>
                    <w:wordWrap/>
                    <w:topLinePunct w:val="0"/>
                    <w:bidi w:val="0"/>
                    <w:snapToGrid/>
                    <w:spacing w:beforeAutospacing="0" w:afterAutospacing="0" w:line="240" w:lineRule="auto"/>
                    <w:ind w:left="0" w:leftChars="0"/>
                    <w:jc w:val="center"/>
                    <w:textAlignment w:val="baseline"/>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移动式潜污泵×2</w:t>
                  </w:r>
                </w:p>
              </w:tc>
              <w:tc>
                <w:tcPr>
                  <w:tcW w:w="16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8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73/1</w:t>
                  </w: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31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0.04</w:t>
                  </w:r>
                </w:p>
              </w:tc>
              <w:tc>
                <w:tcPr>
                  <w:tcW w:w="25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42.42</w:t>
                  </w:r>
                </w:p>
              </w:tc>
              <w:tc>
                <w:tcPr>
                  <w:tcW w:w="21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1.2</w:t>
                  </w:r>
                </w:p>
              </w:tc>
              <w:tc>
                <w:tcPr>
                  <w:tcW w:w="2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5.61</w:t>
                  </w:r>
                </w:p>
              </w:tc>
              <w:tc>
                <w:tcPr>
                  <w:tcW w:w="31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68.43</w:t>
                  </w:r>
                </w:p>
              </w:tc>
              <w:tc>
                <w:tcPr>
                  <w:tcW w:w="22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昼夜</w:t>
                  </w:r>
                </w:p>
              </w:tc>
              <w:tc>
                <w:tcPr>
                  <w:tcW w:w="29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20</w:t>
                  </w:r>
                </w:p>
              </w:tc>
              <w:tc>
                <w:tcPr>
                  <w:tcW w:w="30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42.43</w:t>
                  </w:r>
                </w:p>
              </w:tc>
              <w:tc>
                <w:tcPr>
                  <w:tcW w:w="27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 w:hRule="atLeast"/>
                <w:tblHeader/>
                <w:jc w:val="center"/>
              </w:trPr>
              <w:tc>
                <w:tcPr>
                  <w:tcW w:w="170"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w:t>
                  </w:r>
                </w:p>
              </w:tc>
              <w:tc>
                <w:tcPr>
                  <w:tcW w:w="291"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val="0"/>
                      <w:bCs w:val="0"/>
                      <w:color w:val="auto"/>
                      <w:kern w:val="2"/>
                      <w:sz w:val="21"/>
                      <w:szCs w:val="21"/>
                      <w:highlight w:val="none"/>
                      <w:lang w:val="en-US" w:eastAsia="zh-CN" w:bidi="ar-SA"/>
                    </w:rPr>
                    <w:t>泥水混合池</w:t>
                  </w:r>
                </w:p>
              </w:tc>
              <w:tc>
                <w:tcPr>
                  <w:tcW w:w="770"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潜水泵×</w:t>
                  </w: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61"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480"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73/1</w:t>
                  </w: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3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-6.03</w:t>
                  </w:r>
                </w:p>
              </w:tc>
              <w:tc>
                <w:tcPr>
                  <w:tcW w:w="2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24.36</w:t>
                  </w:r>
                </w:p>
              </w:tc>
              <w:tc>
                <w:tcPr>
                  <w:tcW w:w="2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c>
                <w:tcPr>
                  <w:tcW w:w="31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86.61</w:t>
                  </w:r>
                </w:p>
              </w:tc>
              <w:tc>
                <w:tcPr>
                  <w:tcW w:w="22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昼夜</w:t>
                  </w:r>
                </w:p>
              </w:tc>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30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60.61</w:t>
                  </w:r>
                </w:p>
              </w:tc>
              <w:tc>
                <w:tcPr>
                  <w:tcW w:w="2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 w:hRule="atLeast"/>
                <w:tblHeader/>
                <w:jc w:val="center"/>
              </w:trPr>
              <w:tc>
                <w:tcPr>
                  <w:tcW w:w="1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p>
              </w:tc>
              <w:tc>
                <w:tcPr>
                  <w:tcW w:w="29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770"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潜水搅拌器×</w:t>
                  </w:r>
                  <w:r>
                    <w:rPr>
                      <w:rFonts w:hint="default" w:ascii="Times New Roman" w:hAnsi="Times New Roman" w:eastAsia="宋体" w:cs="Times New Roman"/>
                      <w:b w:val="0"/>
                      <w:bCs w:val="0"/>
                      <w:color w:val="auto"/>
                      <w:kern w:val="2"/>
                      <w:sz w:val="21"/>
                      <w:szCs w:val="21"/>
                      <w:highlight w:val="none"/>
                      <w:lang w:val="en-US" w:eastAsia="zh-CN" w:bidi="ar-SA"/>
                    </w:rPr>
                    <w:t>4</w:t>
                  </w:r>
                </w:p>
              </w:tc>
              <w:tc>
                <w:tcPr>
                  <w:tcW w:w="16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48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71/1</w:t>
                  </w: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3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-8.61</w:t>
                  </w:r>
                </w:p>
              </w:tc>
              <w:tc>
                <w:tcPr>
                  <w:tcW w:w="2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27.14</w:t>
                  </w:r>
                </w:p>
              </w:tc>
              <w:tc>
                <w:tcPr>
                  <w:tcW w:w="2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2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31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94.01</w:t>
                  </w:r>
                </w:p>
              </w:tc>
              <w:tc>
                <w:tcPr>
                  <w:tcW w:w="22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昼夜</w:t>
                  </w:r>
                </w:p>
              </w:tc>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30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68.01</w:t>
                  </w:r>
                </w:p>
              </w:tc>
              <w:tc>
                <w:tcPr>
                  <w:tcW w:w="2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 w:hRule="atLeast"/>
                <w:tblHeader/>
                <w:jc w:val="center"/>
              </w:trPr>
              <w:tc>
                <w:tcPr>
                  <w:tcW w:w="170"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4</w:t>
                  </w:r>
                </w:p>
              </w:tc>
              <w:tc>
                <w:tcPr>
                  <w:tcW w:w="291"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val="0"/>
                      <w:bCs w:val="0"/>
                      <w:color w:val="auto"/>
                      <w:kern w:val="2"/>
                      <w:sz w:val="21"/>
                      <w:szCs w:val="21"/>
                      <w:highlight w:val="none"/>
                      <w:lang w:val="en-US" w:eastAsia="zh-CN" w:bidi="ar-SA"/>
                    </w:rPr>
                    <w:t>浓缩池</w:t>
                  </w:r>
                </w:p>
              </w:tc>
              <w:tc>
                <w:tcPr>
                  <w:tcW w:w="770"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中心传动浓缩机</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61"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80"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68/1</w:t>
                  </w: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3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-12.66</w:t>
                  </w:r>
                </w:p>
              </w:tc>
              <w:tc>
                <w:tcPr>
                  <w:tcW w:w="2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2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2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0.36</w:t>
                  </w:r>
                </w:p>
              </w:tc>
              <w:tc>
                <w:tcPr>
                  <w:tcW w:w="31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69.62</w:t>
                  </w:r>
                </w:p>
              </w:tc>
              <w:tc>
                <w:tcPr>
                  <w:tcW w:w="22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昼夜</w:t>
                  </w:r>
                </w:p>
              </w:tc>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30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43.62</w:t>
                  </w:r>
                </w:p>
              </w:tc>
              <w:tc>
                <w:tcPr>
                  <w:tcW w:w="2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 w:hRule="atLeast"/>
                <w:tblHeader/>
                <w:jc w:val="center"/>
              </w:trPr>
              <w:tc>
                <w:tcPr>
                  <w:tcW w:w="1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29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770"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潜</w:t>
                  </w:r>
                  <w:r>
                    <w:rPr>
                      <w:rFonts w:hint="default" w:ascii="Times New Roman" w:hAnsi="Times New Roman" w:cs="Times New Roman"/>
                      <w:b w:val="0"/>
                      <w:bCs w:val="0"/>
                      <w:color w:val="auto"/>
                      <w:kern w:val="2"/>
                      <w:sz w:val="21"/>
                      <w:szCs w:val="21"/>
                      <w:highlight w:val="none"/>
                      <w:lang w:val="en-US" w:eastAsia="zh-CN" w:bidi="ar-SA"/>
                    </w:rPr>
                    <w:t>水</w:t>
                  </w:r>
                  <w:r>
                    <w:rPr>
                      <w:rFonts w:hint="default" w:ascii="Times New Roman" w:hAnsi="Times New Roman" w:cs="Times New Roman" w:eastAsiaTheme="minorEastAsia"/>
                      <w:b w:val="0"/>
                      <w:bCs w:val="0"/>
                      <w:color w:val="auto"/>
                      <w:kern w:val="2"/>
                      <w:sz w:val="21"/>
                      <w:szCs w:val="21"/>
                      <w:highlight w:val="none"/>
                      <w:lang w:val="en-US" w:eastAsia="zh-CN" w:bidi="ar-SA"/>
                    </w:rPr>
                    <w:t>泵</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6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8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73/1</w:t>
                  </w: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3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-13.46</w:t>
                  </w:r>
                </w:p>
              </w:tc>
              <w:tc>
                <w:tcPr>
                  <w:tcW w:w="2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32.84</w:t>
                  </w:r>
                </w:p>
              </w:tc>
              <w:tc>
                <w:tcPr>
                  <w:tcW w:w="2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2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0.34</w:t>
                  </w:r>
                </w:p>
              </w:tc>
              <w:tc>
                <w:tcPr>
                  <w:tcW w:w="31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74.84</w:t>
                  </w:r>
                </w:p>
              </w:tc>
              <w:tc>
                <w:tcPr>
                  <w:tcW w:w="22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昼夜</w:t>
                  </w:r>
                </w:p>
              </w:tc>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30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48.84</w:t>
                  </w:r>
                </w:p>
              </w:tc>
              <w:tc>
                <w:tcPr>
                  <w:tcW w:w="2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 w:hRule="atLeast"/>
                <w:tblHeader/>
                <w:jc w:val="center"/>
              </w:trPr>
              <w:tc>
                <w:tcPr>
                  <w:tcW w:w="170"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w:t>
                  </w:r>
                </w:p>
              </w:tc>
              <w:tc>
                <w:tcPr>
                  <w:tcW w:w="291"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val="0"/>
                      <w:bCs w:val="0"/>
                      <w:color w:val="auto"/>
                      <w:kern w:val="2"/>
                      <w:sz w:val="21"/>
                      <w:szCs w:val="21"/>
                      <w:highlight w:val="none"/>
                      <w:lang w:val="en-US" w:eastAsia="zh-CN" w:bidi="ar-SA"/>
                    </w:rPr>
                    <w:t>脱水间</w:t>
                  </w:r>
                </w:p>
              </w:tc>
              <w:tc>
                <w:tcPr>
                  <w:tcW w:w="770"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污泥进料凸轮泵</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61"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80"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73/1</w:t>
                  </w: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31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-4.17</w:t>
                  </w:r>
                </w:p>
              </w:tc>
              <w:tc>
                <w:tcPr>
                  <w:tcW w:w="25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28.92</w:t>
                  </w:r>
                </w:p>
              </w:tc>
              <w:tc>
                <w:tcPr>
                  <w:tcW w:w="21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1</w:t>
                  </w:r>
                </w:p>
              </w:tc>
              <w:tc>
                <w:tcPr>
                  <w:tcW w:w="25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0.80</w:t>
                  </w:r>
                </w:p>
              </w:tc>
              <w:tc>
                <w:tcPr>
                  <w:tcW w:w="31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4.98</w:t>
                  </w:r>
                </w:p>
              </w:tc>
              <w:tc>
                <w:tcPr>
                  <w:tcW w:w="22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昼间</w:t>
                  </w:r>
                </w:p>
              </w:tc>
              <w:tc>
                <w:tcPr>
                  <w:tcW w:w="29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20</w:t>
                  </w:r>
                </w:p>
              </w:tc>
              <w:tc>
                <w:tcPr>
                  <w:tcW w:w="30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41.98</w:t>
                  </w:r>
                </w:p>
              </w:tc>
              <w:tc>
                <w:tcPr>
                  <w:tcW w:w="27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 w:hRule="atLeast"/>
                <w:tblHeader/>
                <w:jc w:val="center"/>
              </w:trPr>
              <w:tc>
                <w:tcPr>
                  <w:tcW w:w="1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9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770"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离心脱水机</w:t>
                  </w:r>
                </w:p>
              </w:tc>
              <w:tc>
                <w:tcPr>
                  <w:tcW w:w="16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8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80/1</w:t>
                  </w: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3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-10.8</w:t>
                  </w:r>
                </w:p>
              </w:tc>
              <w:tc>
                <w:tcPr>
                  <w:tcW w:w="2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28.03</w:t>
                  </w:r>
                </w:p>
              </w:tc>
              <w:tc>
                <w:tcPr>
                  <w:tcW w:w="2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2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0.96</w:t>
                  </w:r>
                </w:p>
              </w:tc>
              <w:tc>
                <w:tcPr>
                  <w:tcW w:w="31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74.33</w:t>
                  </w:r>
                </w:p>
              </w:tc>
              <w:tc>
                <w:tcPr>
                  <w:tcW w:w="22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昼间</w:t>
                  </w:r>
                </w:p>
              </w:tc>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30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48.33</w:t>
                  </w:r>
                </w:p>
              </w:tc>
              <w:tc>
                <w:tcPr>
                  <w:tcW w:w="2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 w:hRule="atLeast"/>
                <w:tblHeader/>
                <w:jc w:val="center"/>
              </w:trPr>
              <w:tc>
                <w:tcPr>
                  <w:tcW w:w="1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9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77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eastAsiaTheme="minorEastAsia"/>
                      <w:b w:val="0"/>
                      <w:bCs w:val="0"/>
                      <w:color w:val="auto"/>
                      <w:kern w:val="2"/>
                      <w:sz w:val="21"/>
                      <w:szCs w:val="21"/>
                      <w:highlight w:val="none"/>
                      <w:lang w:val="en-US" w:eastAsia="zh-CN" w:bidi="ar-SA"/>
                    </w:rPr>
                    <w:t>PAM螺杆泵</w:t>
                  </w:r>
                </w:p>
              </w:tc>
              <w:tc>
                <w:tcPr>
                  <w:tcW w:w="161"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80"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60/1</w:t>
                  </w: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8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-7.78</w:t>
                  </w:r>
                </w:p>
              </w:tc>
              <w:tc>
                <w:tcPr>
                  <w:tcW w:w="7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29.11</w:t>
                  </w:r>
                </w:p>
              </w:tc>
              <w:tc>
                <w:tcPr>
                  <w:tcW w:w="5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0.85</w:t>
                  </w:r>
                </w:p>
              </w:tc>
              <w:tc>
                <w:tcPr>
                  <w:tcW w:w="84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61.07</w:t>
                  </w:r>
                </w:p>
              </w:tc>
              <w:tc>
                <w:tcPr>
                  <w:tcW w:w="22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昼间</w:t>
                  </w:r>
                </w:p>
              </w:tc>
              <w:tc>
                <w:tcPr>
                  <w:tcW w:w="8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8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35.07</w:t>
                  </w:r>
                </w:p>
              </w:tc>
              <w:tc>
                <w:tcPr>
                  <w:tcW w:w="7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 w:hRule="atLeast"/>
                <w:tblHeader/>
                <w:jc w:val="center"/>
              </w:trPr>
              <w:tc>
                <w:tcPr>
                  <w:tcW w:w="17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6</w:t>
                  </w:r>
                </w:p>
              </w:tc>
              <w:tc>
                <w:tcPr>
                  <w:tcW w:w="29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排泥泵房</w:t>
                  </w:r>
                </w:p>
              </w:tc>
              <w:tc>
                <w:tcPr>
                  <w:tcW w:w="77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污泥螺杆泵</w:t>
                  </w:r>
                  <w:r>
                    <w:rPr>
                      <w:rFonts w:hint="default" w:ascii="Times New Roman" w:hAnsi="Times New Roman" w:cs="Times New Roman"/>
                      <w:b w:val="0"/>
                      <w:bCs w:val="0"/>
                      <w:color w:val="auto"/>
                      <w:sz w:val="21"/>
                      <w:szCs w:val="21"/>
                      <w:highlight w:val="none"/>
                      <w:lang w:val="en-US" w:eastAsia="zh-CN"/>
                    </w:rPr>
                    <w:t>×2</w:t>
                  </w:r>
                </w:p>
              </w:tc>
              <w:tc>
                <w:tcPr>
                  <w:tcW w:w="16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48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73/1</w:t>
                  </w: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3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-4.17</w:t>
                  </w:r>
                </w:p>
              </w:tc>
              <w:tc>
                <w:tcPr>
                  <w:tcW w:w="2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28.92</w:t>
                  </w:r>
                </w:p>
              </w:tc>
              <w:tc>
                <w:tcPr>
                  <w:tcW w:w="2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0.80</w:t>
                  </w:r>
                </w:p>
              </w:tc>
              <w:tc>
                <w:tcPr>
                  <w:tcW w:w="31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77.98</w:t>
                  </w:r>
                </w:p>
              </w:tc>
              <w:tc>
                <w:tcPr>
                  <w:tcW w:w="22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昼夜</w:t>
                  </w:r>
                </w:p>
              </w:tc>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30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51.98</w:t>
                  </w:r>
                </w:p>
              </w:tc>
              <w:tc>
                <w:tcPr>
                  <w:tcW w:w="2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 w:hRule="atLeast"/>
                <w:tblHeader/>
                <w:jc w:val="center"/>
              </w:trPr>
              <w:tc>
                <w:tcPr>
                  <w:tcW w:w="17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7</w:t>
                  </w:r>
                </w:p>
              </w:tc>
              <w:tc>
                <w:tcPr>
                  <w:tcW w:w="29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贮泥池</w:t>
                  </w:r>
                </w:p>
              </w:tc>
              <w:tc>
                <w:tcPr>
                  <w:tcW w:w="77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潜水搅拌器</w:t>
                  </w:r>
                </w:p>
              </w:tc>
              <w:tc>
                <w:tcPr>
                  <w:tcW w:w="161"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480"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60/1</w:t>
                  </w: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3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-7.21</w:t>
                  </w:r>
                </w:p>
              </w:tc>
              <w:tc>
                <w:tcPr>
                  <w:tcW w:w="2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31.36</w:t>
                  </w:r>
                </w:p>
              </w:tc>
              <w:tc>
                <w:tcPr>
                  <w:tcW w:w="2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1.43</w:t>
                  </w:r>
                </w:p>
              </w:tc>
              <w:tc>
                <w:tcPr>
                  <w:tcW w:w="31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59.43</w:t>
                  </w:r>
                </w:p>
              </w:tc>
              <w:tc>
                <w:tcPr>
                  <w:tcW w:w="22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昼夜</w:t>
                  </w:r>
                </w:p>
              </w:tc>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30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33.43</w:t>
                  </w:r>
                </w:p>
              </w:tc>
              <w:tc>
                <w:tcPr>
                  <w:tcW w:w="27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blHeader/>
                <w:jc w:val="center"/>
              </w:trPr>
              <w:tc>
                <w:tcPr>
                  <w:tcW w:w="17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8</w:t>
                  </w:r>
                </w:p>
              </w:tc>
              <w:tc>
                <w:tcPr>
                  <w:tcW w:w="291"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PAC/PAM加药系统</w:t>
                  </w:r>
                </w:p>
              </w:tc>
              <w:tc>
                <w:tcPr>
                  <w:tcW w:w="770"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一体化PAC投加装置</w:t>
                  </w:r>
                </w:p>
              </w:tc>
              <w:tc>
                <w:tcPr>
                  <w:tcW w:w="16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48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60/1</w:t>
                  </w: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3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17.01</w:t>
                  </w:r>
                </w:p>
              </w:tc>
              <w:tc>
                <w:tcPr>
                  <w:tcW w:w="2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25.36</w:t>
                  </w:r>
                </w:p>
              </w:tc>
              <w:tc>
                <w:tcPr>
                  <w:tcW w:w="2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2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3.51</w:t>
                  </w:r>
                </w:p>
              </w:tc>
              <w:tc>
                <w:tcPr>
                  <w:tcW w:w="31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56.86</w:t>
                  </w:r>
                </w:p>
              </w:tc>
              <w:tc>
                <w:tcPr>
                  <w:tcW w:w="22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昼夜</w:t>
                  </w:r>
                </w:p>
              </w:tc>
              <w:tc>
                <w:tcPr>
                  <w:tcW w:w="8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8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30.86</w:t>
                  </w:r>
                </w:p>
              </w:tc>
              <w:tc>
                <w:tcPr>
                  <w:tcW w:w="7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 w:hRule="atLeast"/>
                <w:tblHeader/>
                <w:jc w:val="center"/>
              </w:trPr>
              <w:tc>
                <w:tcPr>
                  <w:tcW w:w="17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w:t>
                  </w:r>
                </w:p>
              </w:tc>
              <w:tc>
                <w:tcPr>
                  <w:tcW w:w="29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val="0"/>
                      <w:bCs w:val="0"/>
                      <w:color w:val="auto"/>
                      <w:kern w:val="2"/>
                      <w:sz w:val="21"/>
                      <w:szCs w:val="21"/>
                      <w:highlight w:val="none"/>
                      <w:lang w:val="en-US" w:eastAsia="zh-CN" w:bidi="ar-SA"/>
                    </w:rPr>
                  </w:pPr>
                </w:p>
              </w:tc>
              <w:tc>
                <w:tcPr>
                  <w:tcW w:w="770"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一体化PAM投加装置</w:t>
                  </w:r>
                </w:p>
              </w:tc>
              <w:tc>
                <w:tcPr>
                  <w:tcW w:w="161"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480"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60/1</w:t>
                  </w: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3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13.4</w:t>
                  </w:r>
                </w:p>
              </w:tc>
              <w:tc>
                <w:tcPr>
                  <w:tcW w:w="25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22.42</w:t>
                  </w:r>
                </w:p>
              </w:tc>
              <w:tc>
                <w:tcPr>
                  <w:tcW w:w="21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2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3.62</w:t>
                  </w:r>
                </w:p>
              </w:tc>
              <w:tc>
                <w:tcPr>
                  <w:tcW w:w="31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56.86</w:t>
                  </w:r>
                </w:p>
              </w:tc>
              <w:tc>
                <w:tcPr>
                  <w:tcW w:w="22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昼夜</w:t>
                  </w:r>
                </w:p>
              </w:tc>
              <w:tc>
                <w:tcPr>
                  <w:tcW w:w="8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8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30.86</w:t>
                  </w:r>
                </w:p>
              </w:tc>
              <w:tc>
                <w:tcPr>
                  <w:tcW w:w="7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 w:hRule="atLeast"/>
                <w:tblHeader/>
                <w:jc w:val="center"/>
              </w:trPr>
              <w:tc>
                <w:tcPr>
                  <w:tcW w:w="170"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w:t>
                  </w:r>
                </w:p>
              </w:tc>
              <w:tc>
                <w:tcPr>
                  <w:tcW w:w="291"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反冲洗系统</w:t>
                  </w:r>
                </w:p>
              </w:tc>
              <w:tc>
                <w:tcPr>
                  <w:tcW w:w="770" w:type="pct"/>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三叶罗茨风机</w:t>
                  </w:r>
                  <w:r>
                    <w:rPr>
                      <w:rFonts w:hint="default" w:ascii="Times New Roman" w:hAnsi="Times New Roman" w:cs="Times New Roman"/>
                      <w:b w:val="0"/>
                      <w:bCs w:val="0"/>
                      <w:color w:val="auto"/>
                      <w:sz w:val="21"/>
                      <w:szCs w:val="21"/>
                      <w:highlight w:val="none"/>
                      <w:lang w:val="en-US" w:eastAsia="zh-CN"/>
                    </w:rPr>
                    <w:t>×2</w:t>
                  </w:r>
                </w:p>
              </w:tc>
              <w:tc>
                <w:tcPr>
                  <w:tcW w:w="16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48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80/1</w:t>
                  </w: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8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23.93</w:t>
                  </w:r>
                </w:p>
              </w:tc>
              <w:tc>
                <w:tcPr>
                  <w:tcW w:w="7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31.68</w:t>
                  </w:r>
                </w:p>
              </w:tc>
              <w:tc>
                <w:tcPr>
                  <w:tcW w:w="5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6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3.48</w:t>
                  </w:r>
                </w:p>
              </w:tc>
              <w:tc>
                <w:tcPr>
                  <w:tcW w:w="84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76.86</w:t>
                  </w:r>
                </w:p>
              </w:tc>
              <w:tc>
                <w:tcPr>
                  <w:tcW w:w="22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昼夜</w:t>
                  </w:r>
                </w:p>
              </w:tc>
              <w:tc>
                <w:tcPr>
                  <w:tcW w:w="8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8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50.86</w:t>
                  </w:r>
                </w:p>
              </w:tc>
              <w:tc>
                <w:tcPr>
                  <w:tcW w:w="7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 w:hRule="atLeast"/>
                <w:tblHeader/>
                <w:jc w:val="center"/>
              </w:trPr>
              <w:tc>
                <w:tcPr>
                  <w:tcW w:w="17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val="0"/>
                      <w:bCs w:val="0"/>
                      <w:color w:val="auto"/>
                      <w:sz w:val="21"/>
                      <w:szCs w:val="21"/>
                      <w:highlight w:val="none"/>
                      <w:lang w:val="en-US" w:eastAsia="zh-CN"/>
                    </w:rPr>
                  </w:pPr>
                </w:p>
              </w:tc>
              <w:tc>
                <w:tcPr>
                  <w:tcW w:w="29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val="0"/>
                      <w:bCs w:val="0"/>
                      <w:color w:val="auto"/>
                      <w:kern w:val="2"/>
                      <w:sz w:val="21"/>
                      <w:szCs w:val="21"/>
                      <w:highlight w:val="none"/>
                      <w:lang w:val="en-US" w:eastAsia="zh-CN" w:bidi="ar-SA"/>
                    </w:rPr>
                  </w:pPr>
                </w:p>
              </w:tc>
              <w:tc>
                <w:tcPr>
                  <w:tcW w:w="77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kern w:val="2"/>
                      <w:sz w:val="21"/>
                      <w:szCs w:val="21"/>
                      <w:highlight w:val="none"/>
                      <w:lang w:val="en-US" w:eastAsia="zh-CN" w:bidi="ar-SA"/>
                    </w:rPr>
                    <w:t>反冲洗水泵</w:t>
                  </w:r>
                </w:p>
              </w:tc>
              <w:tc>
                <w:tcPr>
                  <w:tcW w:w="161"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480"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0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73/1</w:t>
                  </w:r>
                </w:p>
              </w:tc>
              <w:tc>
                <w:tcPr>
                  <w:tcW w:w="37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p>
              </w:tc>
              <w:tc>
                <w:tcPr>
                  <w:tcW w:w="8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20.99</w:t>
                  </w:r>
                </w:p>
              </w:tc>
              <w:tc>
                <w:tcPr>
                  <w:tcW w:w="7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28.73</w:t>
                  </w:r>
                </w:p>
              </w:tc>
              <w:tc>
                <w:tcPr>
                  <w:tcW w:w="5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6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3.50</w:t>
                  </w:r>
                </w:p>
              </w:tc>
              <w:tc>
                <w:tcPr>
                  <w:tcW w:w="84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69.86</w:t>
                  </w:r>
                </w:p>
              </w:tc>
              <w:tc>
                <w:tcPr>
                  <w:tcW w:w="22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昼夜</w:t>
                  </w:r>
                </w:p>
              </w:tc>
              <w:tc>
                <w:tcPr>
                  <w:tcW w:w="8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8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43.86</w:t>
                  </w:r>
                </w:p>
              </w:tc>
              <w:tc>
                <w:tcPr>
                  <w:tcW w:w="7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bl>
          <w:p>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p>
          <w:p>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p>
          <w:p>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p>
          <w:p>
            <w:pPr>
              <w:pStyle w:val="18"/>
              <w:keepNext w:val="0"/>
              <w:keepLines w:val="0"/>
              <w:pageBreakBefore w:val="0"/>
              <w:kinsoku/>
              <w:wordWrap/>
              <w:topLinePunct w:val="0"/>
              <w:bidi w:val="0"/>
              <w:spacing w:after="0" w:line="360" w:lineRule="auto"/>
              <w:ind w:left="0" w:leftChars="0" w:firstLine="0" w:firstLineChars="0"/>
              <w:rPr>
                <w:rFonts w:hint="default" w:ascii="Times New Roman" w:hAnsi="Times New Roman" w:cs="Times New Roman"/>
                <w:color w:val="auto"/>
                <w:sz w:val="24"/>
                <w:szCs w:val="36"/>
                <w:highlight w:val="none"/>
                <w:vertAlign w:val="baseline"/>
                <w:lang w:eastAsia="zh-CN"/>
              </w:rPr>
            </w:pPr>
          </w:p>
        </w:tc>
      </w:tr>
    </w:tbl>
    <w:p>
      <w:pPr>
        <w:pStyle w:val="18"/>
        <w:keepNext w:val="0"/>
        <w:keepLines w:val="0"/>
        <w:pageBreakBefore w:val="0"/>
        <w:kinsoku/>
        <w:wordWrap/>
        <w:topLinePunct w:val="0"/>
        <w:bidi w:val="0"/>
        <w:spacing w:after="0" w:line="360" w:lineRule="auto"/>
        <w:ind w:left="0" w:leftChars="0" w:firstLine="480" w:firstLineChars="200"/>
        <w:rPr>
          <w:rFonts w:hint="default" w:ascii="Times New Roman" w:hAnsi="Times New Roman" w:cs="Times New Roman"/>
          <w:color w:val="auto"/>
          <w:sz w:val="24"/>
          <w:szCs w:val="32"/>
          <w:highlight w:val="none"/>
          <w:lang w:eastAsia="zh-CN"/>
        </w:rPr>
        <w:sectPr>
          <w:pgSz w:w="16838" w:h="11906" w:orient="landscape"/>
          <w:pgMar w:top="1440" w:right="1361" w:bottom="1440" w:left="1361"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8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Align w:val="center"/>
          </w:tcPr>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运营</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期环</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境影</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响和</w:t>
            </w:r>
          </w:p>
          <w:p>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保护</w:t>
            </w:r>
          </w:p>
          <w:p>
            <w:pPr>
              <w:keepNext w:val="0"/>
              <w:keepLines w:val="0"/>
              <w:pageBreakBefore w:val="0"/>
              <w:suppressLineNumbers w:val="0"/>
              <w:kinsoku/>
              <w:wordWrap/>
              <w:topLinePunct w:val="0"/>
              <w:bidi w:val="0"/>
              <w:spacing w:beforeAutospacing="0" w:afterAutospacing="0" w:line="360" w:lineRule="auto"/>
              <w:ind w:left="0" w:leftChars="0" w:right="0" w:rightChars="0"/>
              <w:jc w:val="center"/>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eastAsia="zh-CN"/>
              </w:rPr>
              <w:t>措施</w:t>
            </w:r>
          </w:p>
        </w:tc>
        <w:tc>
          <w:tcPr>
            <w:tcW w:w="4747" w:type="pct"/>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（2）达标情况分析</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1）预测模式</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本次评价采用《环境影响评价技术导则一声环境》（HJ2.4-2021）中推荐模式进行预测，用A声级计算，模式如下：</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①室外声源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在预测点的声压级计算</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w</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vertAlign w:val="subscript"/>
              </w:rPr>
              <w:t>C</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div</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atm</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gr</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bar</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misc</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——预测点处声压级，dB；</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w</w:t>
            </w:r>
            <w:r>
              <w:rPr>
                <w:rFonts w:hint="default" w:ascii="Times New Roman" w:hAnsi="Times New Roman" w:eastAsia="宋体" w:cs="Times New Roman"/>
                <w:color w:val="auto"/>
                <w:sz w:val="24"/>
                <w:szCs w:val="24"/>
                <w:highlight w:val="none"/>
              </w:rPr>
              <w:t>——由点声源产生的声功率级（A计权或倍频带），dB；</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vertAlign w:val="subscript"/>
              </w:rPr>
              <w:t>C</w:t>
            </w:r>
            <w:r>
              <w:rPr>
                <w:rFonts w:hint="default" w:ascii="Times New Roman" w:hAnsi="Times New Roman" w:eastAsia="宋体" w:cs="Times New Roman"/>
                <w:color w:val="auto"/>
                <w:sz w:val="24"/>
                <w:szCs w:val="24"/>
                <w:highlight w:val="none"/>
              </w:rPr>
              <w:t>——指向性校正，它描述点声源的等效连续声压级与产生声功率级L</w:t>
            </w:r>
            <w:r>
              <w:rPr>
                <w:rFonts w:hint="default" w:ascii="Times New Roman" w:hAnsi="Times New Roman" w:eastAsia="宋体" w:cs="Times New Roman"/>
                <w:color w:val="auto"/>
                <w:sz w:val="24"/>
                <w:szCs w:val="24"/>
                <w:highlight w:val="none"/>
                <w:vertAlign w:val="subscript"/>
              </w:rPr>
              <w:t>w</w:t>
            </w:r>
            <w:r>
              <w:rPr>
                <w:rFonts w:hint="default" w:ascii="Times New Roman" w:hAnsi="Times New Roman" w:eastAsia="宋体" w:cs="Times New Roman"/>
                <w:color w:val="auto"/>
                <w:sz w:val="24"/>
                <w:szCs w:val="24"/>
                <w:highlight w:val="none"/>
              </w:rPr>
              <w:t>的全向点声源在规定方向的声级的偏差程度，dB；</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div</w:t>
            </w:r>
            <w:r>
              <w:rPr>
                <w:rFonts w:hint="default" w:ascii="Times New Roman" w:hAnsi="Times New Roman" w:eastAsia="宋体" w:cs="Times New Roman"/>
                <w:color w:val="auto"/>
                <w:sz w:val="24"/>
                <w:szCs w:val="24"/>
                <w:highlight w:val="none"/>
              </w:rPr>
              <w:t>——几何发散引起的衰减，dB；</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atm</w:t>
            </w:r>
            <w:r>
              <w:rPr>
                <w:rFonts w:hint="default" w:ascii="Times New Roman" w:hAnsi="Times New Roman" w:eastAsia="宋体" w:cs="Times New Roman"/>
                <w:color w:val="auto"/>
                <w:sz w:val="24"/>
                <w:szCs w:val="24"/>
                <w:highlight w:val="none"/>
              </w:rPr>
              <w:t>——大气吸收引起的衰减，dB；</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gr</w:t>
            </w:r>
            <w:r>
              <w:rPr>
                <w:rFonts w:hint="default" w:ascii="Times New Roman" w:hAnsi="Times New Roman" w:eastAsia="宋体" w:cs="Times New Roman"/>
                <w:color w:val="auto"/>
                <w:sz w:val="24"/>
                <w:szCs w:val="24"/>
                <w:highlight w:val="none"/>
              </w:rPr>
              <w:t>——地面效应引起的衰减，dB；</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bar</w:t>
            </w:r>
            <w:r>
              <w:rPr>
                <w:rFonts w:hint="default" w:ascii="Times New Roman" w:hAnsi="Times New Roman" w:eastAsia="宋体" w:cs="Times New Roman"/>
                <w:color w:val="auto"/>
                <w:sz w:val="24"/>
                <w:szCs w:val="24"/>
                <w:highlight w:val="none"/>
              </w:rPr>
              <w:t>——障碍物屏蔽引起的衰减，dB；</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misc</w:t>
            </w:r>
            <w:r>
              <w:rPr>
                <w:rFonts w:hint="default" w:ascii="Times New Roman" w:hAnsi="Times New Roman" w:eastAsia="宋体" w:cs="Times New Roman"/>
                <w:color w:val="auto"/>
                <w:sz w:val="24"/>
                <w:szCs w:val="24"/>
                <w:highlight w:val="none"/>
              </w:rPr>
              <w:t>——其他多方面效应引起的衰减，dB。</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②室内声源在预测点的声压级计算：</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（一）首先计算</w:t>
            </w:r>
            <w:r>
              <w:rPr>
                <w:rFonts w:hint="default" w:ascii="Times New Roman" w:hAnsi="Times New Roman" w:cs="Times New Roman"/>
                <w:color w:val="auto"/>
                <w:sz w:val="24"/>
                <w:szCs w:val="24"/>
                <w:highlight w:val="none"/>
                <w:lang w:val="en-US" w:eastAsia="zh-CN"/>
              </w:rPr>
              <w:t>某个室内声源在靠近围护结构处的声压级：</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highlight w:val="none"/>
              </w:rPr>
              <w:drawing>
                <wp:inline distT="0" distB="0" distL="114300" distR="114300">
                  <wp:extent cx="3302635" cy="775970"/>
                  <wp:effectExtent l="0" t="0" r="12065" b="5080"/>
                  <wp:docPr id="2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0"/>
                          <pic:cNvPicPr>
                            <a:picLocks noChangeAspect="1"/>
                          </pic:cNvPicPr>
                        </pic:nvPicPr>
                        <pic:blipFill>
                          <a:blip r:embed="rId22"/>
                          <a:stretch>
                            <a:fillRect/>
                          </a:stretch>
                        </pic:blipFill>
                        <pic:spPr>
                          <a:xfrm>
                            <a:off x="0" y="0"/>
                            <a:ext cx="3302635" cy="775970"/>
                          </a:xfrm>
                          <a:prstGeom prst="rect">
                            <a:avLst/>
                          </a:prstGeom>
                          <a:noFill/>
                          <a:ln>
                            <a:noFill/>
                          </a:ln>
                        </pic:spPr>
                      </pic:pic>
                    </a:graphicData>
                  </a:graphic>
                </wp:inline>
              </w:drawing>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vertAlign w:val="subscript"/>
                <w:lang w:val="en-US" w:eastAsia="zh-CN"/>
              </w:rPr>
              <w:t>p1</w:t>
            </w:r>
            <w:r>
              <w:rPr>
                <w:rFonts w:hint="default" w:ascii="Times New Roman" w:hAnsi="Times New Roman" w:eastAsia="宋体" w:cs="Times New Roman"/>
                <w:color w:val="auto"/>
                <w:sz w:val="24"/>
                <w:szCs w:val="24"/>
                <w:highlight w:val="none"/>
                <w:lang w:val="en-US" w:eastAsia="zh-CN"/>
              </w:rPr>
              <w:t>——靠近开口处（或窗户）室内某倍频带的声压级或A声级，dB；</w:t>
            </w:r>
          </w:p>
          <w:p>
            <w:pPr>
              <w:keepNext w:val="0"/>
              <w:keepLines w:val="0"/>
              <w:pageBreakBefore w:val="0"/>
              <w:kinsoku/>
              <w:wordWrap/>
              <w:topLinePunct w:val="0"/>
              <w:bidi w:val="0"/>
              <w:spacing w:line="360" w:lineRule="auto"/>
              <w:ind w:left="0" w:leftChars="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Lw——点声源声功率级（A计权或倍频带），dB；</w:t>
            </w:r>
          </w:p>
          <w:p>
            <w:pPr>
              <w:keepNext w:val="0"/>
              <w:keepLines w:val="0"/>
              <w:pageBreakBefore w:val="0"/>
              <w:kinsoku/>
              <w:wordWrap/>
              <w:topLinePunct w:val="0"/>
              <w:bidi w:val="0"/>
              <w:spacing w:line="360" w:lineRule="auto"/>
              <w:ind w:left="0" w:leftChars="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Q——指向性因数；通常对无指向性声源，当声源放在房间中心时，Q=1；当放在一面墙的中心时，Q=2；当放在两面墙夹角处时，Q=4；当放在三面墙夹角处时，Q=8；</w:t>
            </w:r>
          </w:p>
          <w:p>
            <w:pPr>
              <w:keepNext w:val="0"/>
              <w:keepLines w:val="0"/>
              <w:pageBreakBefore w:val="0"/>
              <w:kinsoku/>
              <w:wordWrap/>
              <w:topLinePunct w:val="0"/>
              <w:bidi w:val="0"/>
              <w:spacing w:line="360" w:lineRule="auto"/>
              <w:ind w:left="0" w:leftChars="0" w:firstLine="1200" w:firstLineChars="5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R——房间常数；R=S</w:t>
            </w:r>
            <w:r>
              <w:rPr>
                <w:rFonts w:hint="default" w:ascii="Times New Roman" w:hAnsi="Times New Roman" w:eastAsia="宋体" w:cs="Times New Roman"/>
                <w:color w:val="auto"/>
                <w:sz w:val="24"/>
                <w:szCs w:val="24"/>
                <w:highlight w:val="none"/>
                <w:lang w:val="en-US" w:eastAsia="zh-CN"/>
              </w:rPr>
              <w:t>α/（</w:t>
            </w:r>
            <w:r>
              <w:rPr>
                <w:rFonts w:hint="default" w:ascii="Times New Roman" w:hAnsi="Times New Roman" w:eastAsia="宋体" w:cs="Times New Roman"/>
                <w:color w:val="auto"/>
                <w:sz w:val="24"/>
                <w:szCs w:val="24"/>
                <w:highlight w:val="none"/>
                <w:lang w:eastAsia="zh-CN"/>
              </w:rPr>
              <w:t>1-α），S为房间内表面面积，m</w:t>
            </w:r>
            <w:r>
              <w:rPr>
                <w:rFonts w:hint="default" w:ascii="Times New Roman" w:hAnsi="Times New Roman" w:eastAsia="宋体" w:cs="Times New Roman"/>
                <w:color w:val="auto"/>
                <w:sz w:val="24"/>
                <w:szCs w:val="24"/>
                <w:highlight w:val="none"/>
                <w:vertAlign w:val="superscript"/>
                <w:lang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α</w:t>
            </w:r>
            <w:r>
              <w:rPr>
                <w:rFonts w:hint="default" w:ascii="Times New Roman" w:hAnsi="Times New Roman" w:eastAsia="宋体" w:cs="Times New Roman"/>
                <w:color w:val="auto"/>
                <w:sz w:val="24"/>
                <w:szCs w:val="24"/>
                <w:highlight w:val="none"/>
                <w:lang w:eastAsia="zh-CN"/>
              </w:rPr>
              <w:t>为平均吸声系数；</w:t>
            </w:r>
          </w:p>
          <w:p>
            <w:pPr>
              <w:keepNext w:val="0"/>
              <w:keepLines w:val="0"/>
              <w:pageBreakBefore w:val="0"/>
              <w:kinsoku/>
              <w:wordWrap/>
              <w:topLinePunct w:val="0"/>
              <w:bidi w:val="0"/>
              <w:spacing w:line="360" w:lineRule="auto"/>
              <w:ind w:left="0" w:leftChars="0" w:firstLine="1200" w:firstLineChars="5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r——声源到靠近围护结构某点处的距离，m。</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二</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然后计算出所有室内声源在围护结构处产生的</w:t>
            </w:r>
            <w:r>
              <w:rPr>
                <w:rFonts w:hint="default" w:ascii="Times New Roman" w:hAnsi="Times New Roman" w:eastAsia="宋体" w:cs="Times New Roman"/>
                <w:color w:val="auto"/>
                <w:sz w:val="24"/>
                <w:szCs w:val="24"/>
                <w:highlight w:val="none"/>
                <w:lang w:val="en-US" w:eastAsia="zh-CN"/>
              </w:rPr>
              <w:t>i</w:t>
            </w:r>
            <w:r>
              <w:rPr>
                <w:rFonts w:hint="default" w:ascii="Times New Roman" w:hAnsi="Times New Roman" w:eastAsia="宋体" w:cs="Times New Roman"/>
                <w:color w:val="auto"/>
                <w:sz w:val="24"/>
                <w:szCs w:val="24"/>
                <w:highlight w:val="none"/>
              </w:rPr>
              <w:t>倍频带叠加声压级：</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drawing>
                <wp:inline distT="0" distB="0" distL="114300" distR="114300">
                  <wp:extent cx="3327400" cy="863600"/>
                  <wp:effectExtent l="0" t="0" r="6350" b="12700"/>
                  <wp:docPr id="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1"/>
                          <pic:cNvPicPr>
                            <a:picLocks noChangeAspect="1"/>
                          </pic:cNvPicPr>
                        </pic:nvPicPr>
                        <pic:blipFill>
                          <a:blip r:embed="rId23"/>
                          <a:stretch>
                            <a:fillRect/>
                          </a:stretch>
                        </pic:blipFill>
                        <pic:spPr>
                          <a:xfrm>
                            <a:off x="0" y="0"/>
                            <a:ext cx="3327400" cy="863600"/>
                          </a:xfrm>
                          <a:prstGeom prst="rect">
                            <a:avLst/>
                          </a:prstGeom>
                          <a:noFill/>
                          <a:ln>
                            <a:noFill/>
                          </a:ln>
                        </pic:spPr>
                      </pic:pic>
                    </a:graphicData>
                  </a:graphic>
                </wp:inline>
              </w:drawing>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式中：L</w:t>
            </w:r>
            <w:r>
              <w:rPr>
                <w:rFonts w:hint="default" w:ascii="Times New Roman" w:hAnsi="Times New Roman" w:eastAsia="宋体" w:cs="Times New Roman"/>
                <w:color w:val="auto"/>
                <w:sz w:val="24"/>
                <w:szCs w:val="24"/>
                <w:highlight w:val="none"/>
                <w:vertAlign w:val="subscript"/>
                <w:lang w:val="en-US" w:eastAsia="zh-CN"/>
              </w:rPr>
              <w:t>pli（T）</w:t>
            </w:r>
            <w:r>
              <w:rPr>
                <w:rFonts w:hint="default" w:ascii="Times New Roman" w:hAnsi="Times New Roman" w:eastAsia="宋体" w:cs="Times New Roman"/>
                <w:color w:val="auto"/>
                <w:sz w:val="24"/>
                <w:szCs w:val="24"/>
                <w:highlight w:val="none"/>
                <w:lang w:eastAsia="zh-CN"/>
              </w:rPr>
              <w:t>——靠近围护结构处室内N个声源i倍频带的叠加声压级，dB；</w:t>
            </w:r>
          </w:p>
          <w:p>
            <w:pPr>
              <w:keepNext w:val="0"/>
              <w:keepLines w:val="0"/>
              <w:pageBreakBefore w:val="0"/>
              <w:kinsoku/>
              <w:wordWrap/>
              <w:topLinePunct w:val="0"/>
              <w:bidi w:val="0"/>
              <w:spacing w:line="360" w:lineRule="auto"/>
              <w:ind w:left="0" w:leftChars="0" w:firstLine="1200" w:firstLineChars="5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L</w:t>
            </w:r>
            <w:r>
              <w:rPr>
                <w:rFonts w:hint="default" w:ascii="Times New Roman" w:hAnsi="Times New Roman" w:eastAsia="宋体" w:cs="Times New Roman"/>
                <w:color w:val="auto"/>
                <w:sz w:val="24"/>
                <w:szCs w:val="24"/>
                <w:highlight w:val="none"/>
                <w:vertAlign w:val="subscript"/>
                <w:lang w:val="en-US" w:eastAsia="zh-CN"/>
              </w:rPr>
              <w:t>pli</w:t>
            </w:r>
            <w:r>
              <w:rPr>
                <w:rFonts w:hint="default" w:ascii="Times New Roman" w:hAnsi="Times New Roman" w:eastAsia="宋体" w:cs="Times New Roman"/>
                <w:color w:val="auto"/>
                <w:sz w:val="24"/>
                <w:szCs w:val="24"/>
                <w:highlight w:val="none"/>
                <w:lang w:eastAsia="zh-CN"/>
              </w:rPr>
              <w:t>——室内j声源i倍频带的声压级，dB；</w:t>
            </w:r>
          </w:p>
          <w:p>
            <w:pPr>
              <w:keepNext w:val="0"/>
              <w:keepLines w:val="0"/>
              <w:pageBreakBefore w:val="0"/>
              <w:kinsoku/>
              <w:wordWrap/>
              <w:topLinePunct w:val="0"/>
              <w:bidi w:val="0"/>
              <w:spacing w:line="360" w:lineRule="auto"/>
              <w:ind w:left="0" w:leftChars="0" w:firstLine="1200" w:firstLineChars="5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N——室内声源总数。</w:t>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）计算出室外靠近围护结构处的声压级：</w:t>
            </w:r>
          </w:p>
          <w:p>
            <w:pPr>
              <w:keepNext w:val="0"/>
              <w:keepLines w:val="0"/>
              <w:pageBreakBefore w:val="0"/>
              <w:kinsoku/>
              <w:wordWrap/>
              <w:topLinePunct w:val="0"/>
              <w:bidi w:val="0"/>
              <w:spacing w:line="360" w:lineRule="auto"/>
              <w:ind w:left="0" w:leftChars="0" w:firstLine="480" w:firstLineChars="20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p2i</w:t>
            </w:r>
            <w:r>
              <w:rPr>
                <w:rFonts w:hint="default" w:ascii="Times New Roman" w:hAnsi="Times New Roman" w:cs="Times New Roman"/>
                <w:color w:val="auto"/>
                <w:sz w:val="24"/>
                <w:szCs w:val="24"/>
                <w:highlight w:val="none"/>
              </w:rPr>
              <w:t>（T）</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pli</w:t>
            </w:r>
            <w:r>
              <w:rPr>
                <w:rFonts w:hint="default" w:ascii="Times New Roman" w:hAnsi="Times New Roman" w:eastAsia="宋体" w:cs="Times New Roman"/>
                <w:color w:val="auto"/>
                <w:sz w:val="24"/>
                <w:szCs w:val="24"/>
                <w:highlight w:val="none"/>
                <w:vertAlign w:val="baseline"/>
              </w:rPr>
              <w:t>（T）</w:t>
            </w:r>
            <w:r>
              <w:rPr>
                <w:rFonts w:hint="default" w:ascii="Times New Roman" w:hAnsi="Times New Roman" w:eastAsia="宋体" w:cs="Times New Roman"/>
                <w:color w:val="auto"/>
                <w:sz w:val="24"/>
                <w:szCs w:val="24"/>
                <w:highlight w:val="none"/>
              </w:rPr>
              <w:t>-（TL</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+6）</w:t>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式中：</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p2i</w:t>
            </w:r>
            <w:r>
              <w:rPr>
                <w:rFonts w:hint="default" w:ascii="Times New Roman" w:hAnsi="Times New Roman" w:cs="Times New Roman"/>
                <w:color w:val="auto"/>
                <w:sz w:val="24"/>
                <w:szCs w:val="24"/>
                <w:highlight w:val="none"/>
              </w:rPr>
              <w:t>（T）</w:t>
            </w:r>
            <w:r>
              <w:rPr>
                <w:rFonts w:hint="default" w:ascii="Times New Roman" w:hAnsi="Times New Roman" w:eastAsia="宋体" w:cs="Times New Roman"/>
                <w:color w:val="auto"/>
                <w:sz w:val="24"/>
                <w:szCs w:val="24"/>
                <w:highlight w:val="none"/>
                <w:lang w:eastAsia="zh-CN"/>
              </w:rPr>
              <w:t>——靠近围护结构处室外N个声源i倍频带的叠加声压级，dB；</w:t>
            </w:r>
          </w:p>
          <w:p>
            <w:pPr>
              <w:keepNext w:val="0"/>
              <w:keepLines w:val="0"/>
              <w:pageBreakBefore w:val="0"/>
              <w:kinsoku/>
              <w:wordWrap/>
              <w:topLinePunct w:val="0"/>
              <w:bidi w:val="0"/>
              <w:spacing w:line="360" w:lineRule="auto"/>
              <w:ind w:left="0" w:leftChars="0" w:firstLine="1200" w:firstLineChars="5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pli</w:t>
            </w:r>
            <w:r>
              <w:rPr>
                <w:rFonts w:hint="default" w:ascii="Times New Roman" w:hAnsi="Times New Roman" w:eastAsia="宋体" w:cs="Times New Roman"/>
                <w:color w:val="auto"/>
                <w:sz w:val="24"/>
                <w:szCs w:val="24"/>
                <w:highlight w:val="none"/>
                <w:vertAlign w:val="baseline"/>
              </w:rPr>
              <w:t>（T）</w:t>
            </w:r>
            <w:r>
              <w:rPr>
                <w:rFonts w:hint="default" w:ascii="Times New Roman" w:hAnsi="Times New Roman" w:eastAsia="宋体" w:cs="Times New Roman"/>
                <w:color w:val="auto"/>
                <w:sz w:val="24"/>
                <w:szCs w:val="24"/>
                <w:highlight w:val="none"/>
                <w:lang w:eastAsia="zh-CN"/>
              </w:rPr>
              <w:t>——靠近围护结构处室内N个声源i倍频带的叠加声压级，dB；</w:t>
            </w:r>
          </w:p>
          <w:p>
            <w:pPr>
              <w:keepNext w:val="0"/>
              <w:keepLines w:val="0"/>
              <w:pageBreakBefore w:val="0"/>
              <w:kinsoku/>
              <w:wordWrap/>
              <w:topLinePunct w:val="0"/>
              <w:bidi w:val="0"/>
              <w:spacing w:line="360" w:lineRule="auto"/>
              <w:ind w:left="0" w:leftChars="0" w:firstLine="1200" w:firstLineChars="5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TL</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lang w:eastAsia="zh-CN"/>
              </w:rPr>
              <w:t>——围护结构i倍频带的隔声量，dB。</w:t>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四</w:t>
            </w:r>
            <w:r>
              <w:rPr>
                <w:rFonts w:hint="default" w:ascii="Times New Roman" w:hAnsi="Times New Roman" w:eastAsia="宋体" w:cs="Times New Roman"/>
                <w:color w:val="auto"/>
                <w:sz w:val="24"/>
                <w:szCs w:val="24"/>
                <w:highlight w:val="none"/>
                <w:lang w:eastAsia="zh-CN"/>
              </w:rPr>
              <w:t>）将室外声级和透声面积换算成等效的室外声源，计算出等效声源第i个倍频带的声功率级：</w:t>
            </w:r>
          </w:p>
          <w:p>
            <w:pPr>
              <w:keepNext w:val="0"/>
              <w:keepLines w:val="0"/>
              <w:pageBreakBefore w:val="0"/>
              <w:kinsoku/>
              <w:wordWrap/>
              <w:topLinePunct w:val="0"/>
              <w:bidi w:val="0"/>
              <w:spacing w:line="360" w:lineRule="auto"/>
              <w:ind w:left="0" w:leftChars="0" w:firstLine="480" w:firstLineChars="20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L</w:t>
            </w:r>
            <w:r>
              <w:rPr>
                <w:rFonts w:hint="default" w:ascii="Times New Roman" w:hAnsi="Times New Roman" w:eastAsia="宋体" w:cs="Times New Roman"/>
                <w:color w:val="auto"/>
                <w:sz w:val="24"/>
                <w:szCs w:val="24"/>
                <w:highlight w:val="none"/>
                <w:vertAlign w:val="subscript"/>
                <w:lang w:eastAsia="zh-CN"/>
              </w:rPr>
              <w:t>w</w:t>
            </w:r>
            <w:r>
              <w:rPr>
                <w:rFonts w:hint="default" w:ascii="Times New Roman" w:hAnsi="Times New Roman" w:eastAsia="宋体" w:cs="Times New Roman"/>
                <w:color w:val="auto"/>
                <w:sz w:val="24"/>
                <w:szCs w:val="24"/>
                <w:highlight w:val="none"/>
                <w:lang w:eastAsia="zh-CN"/>
              </w:rPr>
              <w:t>=L</w:t>
            </w:r>
            <w:r>
              <w:rPr>
                <w:rFonts w:hint="default" w:ascii="Times New Roman" w:hAnsi="Times New Roman" w:eastAsia="宋体" w:cs="Times New Roman"/>
                <w:color w:val="auto"/>
                <w:sz w:val="24"/>
                <w:szCs w:val="24"/>
                <w:highlight w:val="none"/>
                <w:vertAlign w:val="subscript"/>
                <w:lang w:eastAsia="zh-CN"/>
              </w:rPr>
              <w:t>p2</w:t>
            </w:r>
            <w:r>
              <w:rPr>
                <w:rFonts w:hint="default" w:ascii="Times New Roman" w:hAnsi="Times New Roman" w:eastAsia="宋体" w:cs="Times New Roman"/>
                <w:color w:val="auto"/>
                <w:sz w:val="24"/>
                <w:szCs w:val="24"/>
                <w:highlight w:val="none"/>
                <w:lang w:eastAsia="zh-CN"/>
              </w:rPr>
              <w:t>（T）+10lgS</w:t>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式中：L</w:t>
            </w:r>
            <w:r>
              <w:rPr>
                <w:rFonts w:hint="default" w:ascii="Times New Roman" w:hAnsi="Times New Roman" w:eastAsia="宋体" w:cs="Times New Roman"/>
                <w:color w:val="auto"/>
                <w:sz w:val="24"/>
                <w:szCs w:val="24"/>
                <w:highlight w:val="none"/>
                <w:vertAlign w:val="subscript"/>
                <w:lang w:eastAsia="zh-CN"/>
              </w:rPr>
              <w:t>w</w:t>
            </w:r>
            <w:r>
              <w:rPr>
                <w:rFonts w:hint="default" w:ascii="Times New Roman" w:hAnsi="Times New Roman" w:eastAsia="宋体" w:cs="Times New Roman"/>
                <w:color w:val="auto"/>
                <w:sz w:val="24"/>
                <w:szCs w:val="24"/>
                <w:highlight w:val="none"/>
                <w:lang w:eastAsia="zh-CN"/>
              </w:rPr>
              <w:t>——中心位置位于透声面积（S）处的等效声源的倍频带声功率级，dB；</w:t>
            </w:r>
          </w:p>
          <w:p>
            <w:pPr>
              <w:keepNext w:val="0"/>
              <w:keepLines w:val="0"/>
              <w:pageBreakBefore w:val="0"/>
              <w:kinsoku/>
              <w:wordWrap/>
              <w:topLinePunct w:val="0"/>
              <w:bidi w:val="0"/>
              <w:spacing w:line="360" w:lineRule="auto"/>
              <w:ind w:left="0" w:leftChars="0" w:firstLine="1200" w:firstLineChars="5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L</w:t>
            </w:r>
            <w:r>
              <w:rPr>
                <w:rFonts w:hint="default" w:ascii="Times New Roman" w:hAnsi="Times New Roman" w:eastAsia="宋体" w:cs="Times New Roman"/>
                <w:color w:val="auto"/>
                <w:sz w:val="24"/>
                <w:szCs w:val="24"/>
                <w:highlight w:val="none"/>
                <w:vertAlign w:val="subscript"/>
                <w:lang w:eastAsia="zh-CN"/>
              </w:rPr>
              <w:t>p2</w:t>
            </w:r>
            <w:r>
              <w:rPr>
                <w:rFonts w:hint="default" w:ascii="Times New Roman" w:hAnsi="Times New Roman" w:eastAsia="宋体" w:cs="Times New Roman"/>
                <w:color w:val="auto"/>
                <w:sz w:val="24"/>
                <w:szCs w:val="24"/>
                <w:highlight w:val="none"/>
                <w:lang w:eastAsia="zh-CN"/>
              </w:rPr>
              <w:t>（T）——靠近围护结构处室外声源的声压级，dB；</w:t>
            </w:r>
          </w:p>
          <w:p>
            <w:pPr>
              <w:keepNext w:val="0"/>
              <w:keepLines w:val="0"/>
              <w:pageBreakBefore w:val="0"/>
              <w:kinsoku/>
              <w:wordWrap/>
              <w:topLinePunct w:val="0"/>
              <w:bidi w:val="0"/>
              <w:spacing w:line="360" w:lineRule="auto"/>
              <w:ind w:left="0" w:leftChars="0" w:firstLine="1200" w:firstLineChars="5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S——透声面积，m</w:t>
            </w:r>
            <w:r>
              <w:rPr>
                <w:rFonts w:hint="default" w:ascii="Times New Roman" w:hAnsi="Times New Roman" w:eastAsia="宋体" w:cs="Times New Roman"/>
                <w:color w:val="auto"/>
                <w:sz w:val="24"/>
                <w:szCs w:val="24"/>
                <w:highlight w:val="none"/>
                <w:vertAlign w:val="superscript"/>
                <w:lang w:eastAsia="zh-CN"/>
              </w:rPr>
              <w:t>2</w:t>
            </w:r>
            <w:r>
              <w:rPr>
                <w:rFonts w:hint="default" w:ascii="Times New Roman" w:hAnsi="Times New Roman" w:eastAsia="宋体" w:cs="Times New Roman"/>
                <w:color w:val="auto"/>
                <w:sz w:val="24"/>
                <w:szCs w:val="24"/>
                <w:highlight w:val="none"/>
                <w:lang w:eastAsia="zh-CN"/>
              </w:rPr>
              <w:t>。</w:t>
            </w:r>
          </w:p>
          <w:p>
            <w:pPr>
              <w:keepNext w:val="0"/>
              <w:keepLines w:val="0"/>
              <w:pageBreakBefore w:val="0"/>
              <w:numPr>
                <w:ilvl w:val="0"/>
                <w:numId w:val="1"/>
              </w:numPr>
              <w:kinsoku/>
              <w:wordWrap/>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等效室外声源的位置为围护结构的位置，其声功率级为L</w:t>
            </w:r>
            <w:r>
              <w:rPr>
                <w:rFonts w:hint="default" w:ascii="Times New Roman" w:hAnsi="Times New Roman" w:eastAsia="宋体" w:cs="Times New Roman"/>
                <w:color w:val="auto"/>
                <w:sz w:val="24"/>
                <w:szCs w:val="24"/>
                <w:highlight w:val="none"/>
                <w:vertAlign w:val="subscript"/>
                <w:lang w:eastAsia="zh-CN"/>
              </w:rPr>
              <w:t>w</w:t>
            </w:r>
            <w:r>
              <w:rPr>
                <w:rFonts w:hint="default" w:ascii="Times New Roman" w:hAnsi="Times New Roman" w:eastAsia="宋体" w:cs="Times New Roman"/>
                <w:color w:val="auto"/>
                <w:sz w:val="24"/>
                <w:szCs w:val="24"/>
                <w:highlight w:val="none"/>
                <w:lang w:eastAsia="zh-CN"/>
              </w:rPr>
              <w:t>，由此计算等效声源在预测点产生的声级。</w:t>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③总声级的计算</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设第i个室外声源在预测点产生的A声级为L</w:t>
            </w:r>
            <w:r>
              <w:rPr>
                <w:rFonts w:hint="default" w:ascii="Times New Roman" w:hAnsi="Times New Roman" w:eastAsia="宋体" w:cs="Times New Roman"/>
                <w:color w:val="auto"/>
                <w:sz w:val="24"/>
                <w:szCs w:val="24"/>
                <w:highlight w:val="none"/>
                <w:vertAlign w:val="subscript"/>
                <w:lang w:eastAsia="zh-CN"/>
              </w:rPr>
              <w:t>Ai</w:t>
            </w:r>
            <w:r>
              <w:rPr>
                <w:rFonts w:hint="default" w:ascii="Times New Roman" w:hAnsi="Times New Roman" w:eastAsia="宋体" w:cs="Times New Roman"/>
                <w:color w:val="auto"/>
                <w:sz w:val="24"/>
                <w:szCs w:val="24"/>
                <w:highlight w:val="none"/>
                <w:lang w:eastAsia="zh-CN"/>
              </w:rPr>
              <w:t>，在T时间内该声源工作时间为t</w:t>
            </w:r>
            <w:r>
              <w:rPr>
                <w:rFonts w:hint="default" w:ascii="Times New Roman" w:hAnsi="Times New Roman" w:eastAsia="宋体" w:cs="Times New Roman"/>
                <w:color w:val="auto"/>
                <w:sz w:val="24"/>
                <w:szCs w:val="24"/>
                <w:highlight w:val="none"/>
                <w:vertAlign w:val="subscript"/>
                <w:lang w:eastAsia="zh-CN"/>
              </w:rPr>
              <w:t>i</w:t>
            </w:r>
            <w:r>
              <w:rPr>
                <w:rFonts w:hint="default" w:ascii="Times New Roman" w:hAnsi="Times New Roman" w:eastAsia="宋体" w:cs="Times New Roman"/>
                <w:color w:val="auto"/>
                <w:sz w:val="24"/>
                <w:szCs w:val="24"/>
                <w:highlight w:val="none"/>
                <w:lang w:eastAsia="zh-CN"/>
              </w:rPr>
              <w:t>；第j个等效室外声源在预测点产生的A声级为L</w:t>
            </w:r>
            <w:r>
              <w:rPr>
                <w:rFonts w:hint="default" w:ascii="Times New Roman" w:hAnsi="Times New Roman" w:eastAsia="宋体" w:cs="Times New Roman"/>
                <w:color w:val="auto"/>
                <w:sz w:val="24"/>
                <w:szCs w:val="24"/>
                <w:highlight w:val="none"/>
                <w:vertAlign w:val="subscript"/>
                <w:lang w:eastAsia="zh-CN"/>
              </w:rPr>
              <w:t>Aj</w:t>
            </w:r>
            <w:r>
              <w:rPr>
                <w:rFonts w:hint="default" w:ascii="Times New Roman" w:hAnsi="Times New Roman" w:eastAsia="宋体" w:cs="Times New Roman"/>
                <w:color w:val="auto"/>
                <w:sz w:val="24"/>
                <w:szCs w:val="24"/>
                <w:highlight w:val="none"/>
                <w:lang w:eastAsia="zh-CN"/>
              </w:rPr>
              <w:t>，在T时间内该声源工作时间为t</w:t>
            </w:r>
            <w:r>
              <w:rPr>
                <w:rFonts w:hint="default" w:ascii="Times New Roman" w:hAnsi="Times New Roman" w:eastAsia="宋体" w:cs="Times New Roman"/>
                <w:color w:val="auto"/>
                <w:sz w:val="24"/>
                <w:szCs w:val="24"/>
                <w:highlight w:val="none"/>
                <w:vertAlign w:val="subscript"/>
                <w:lang w:eastAsia="zh-CN"/>
              </w:rPr>
              <w:t>j</w:t>
            </w:r>
            <w:r>
              <w:rPr>
                <w:rFonts w:hint="default" w:ascii="Times New Roman" w:hAnsi="Times New Roman" w:eastAsia="宋体" w:cs="Times New Roman"/>
                <w:color w:val="auto"/>
                <w:sz w:val="24"/>
                <w:szCs w:val="24"/>
                <w:highlight w:val="none"/>
                <w:lang w:eastAsia="zh-CN"/>
              </w:rPr>
              <w:t>，则拟建工程声源对预测点产生的贡献值（L</w:t>
            </w:r>
            <w:r>
              <w:rPr>
                <w:rFonts w:hint="default" w:ascii="Times New Roman" w:hAnsi="Times New Roman" w:eastAsia="宋体" w:cs="Times New Roman"/>
                <w:color w:val="auto"/>
                <w:sz w:val="24"/>
                <w:szCs w:val="24"/>
                <w:highlight w:val="none"/>
                <w:vertAlign w:val="subscript"/>
                <w:lang w:eastAsia="zh-CN"/>
              </w:rPr>
              <w:t>eqg</w:t>
            </w:r>
            <w:r>
              <w:rPr>
                <w:rFonts w:hint="default" w:ascii="Times New Roman" w:hAnsi="Times New Roman" w:eastAsia="宋体" w:cs="Times New Roman"/>
                <w:color w:val="auto"/>
                <w:sz w:val="24"/>
                <w:szCs w:val="24"/>
                <w:highlight w:val="none"/>
                <w:lang w:eastAsia="zh-CN"/>
              </w:rPr>
              <w:t>）为：</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drawing>
                <wp:inline distT="0" distB="0" distL="114300" distR="114300">
                  <wp:extent cx="3433445" cy="715010"/>
                  <wp:effectExtent l="0" t="0" r="14605" b="889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4"/>
                          <a:stretch>
                            <a:fillRect/>
                          </a:stretch>
                        </pic:blipFill>
                        <pic:spPr>
                          <a:xfrm>
                            <a:off x="0" y="0"/>
                            <a:ext cx="3433445" cy="715010"/>
                          </a:xfrm>
                          <a:prstGeom prst="rect">
                            <a:avLst/>
                          </a:prstGeom>
                          <a:noFill/>
                          <a:ln>
                            <a:noFill/>
                          </a:ln>
                        </pic:spPr>
                      </pic:pic>
                    </a:graphicData>
                  </a:graphic>
                </wp:inline>
              </w:drawing>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lang w:eastAsia="zh-CN"/>
              </w:rPr>
              <w:t>L</w:t>
            </w:r>
            <w:r>
              <w:rPr>
                <w:rFonts w:hint="default" w:ascii="Times New Roman" w:hAnsi="Times New Roman" w:eastAsia="宋体" w:cs="Times New Roman"/>
                <w:color w:val="auto"/>
                <w:sz w:val="24"/>
                <w:szCs w:val="24"/>
                <w:highlight w:val="none"/>
                <w:vertAlign w:val="subscript"/>
                <w:lang w:eastAsia="zh-CN"/>
              </w:rPr>
              <w:t>eqg</w:t>
            </w:r>
            <w:r>
              <w:rPr>
                <w:rFonts w:hint="default" w:ascii="Times New Roman" w:hAnsi="Times New Roman" w:eastAsia="宋体" w:cs="Times New Roman"/>
                <w:color w:val="auto"/>
                <w:sz w:val="24"/>
                <w:szCs w:val="24"/>
                <w:highlight w:val="none"/>
              </w:rPr>
              <w:t>——建设项目声源在预测点产生的噪声贡献值，dB；</w:t>
            </w:r>
          </w:p>
          <w:p>
            <w:pPr>
              <w:keepNext w:val="0"/>
              <w:keepLines w:val="0"/>
              <w:pageBreakBefore w:val="0"/>
              <w:kinsoku/>
              <w:wordWrap/>
              <w:topLinePunct w:val="0"/>
              <w:bidi w:val="0"/>
              <w:spacing w:line="360" w:lineRule="auto"/>
              <w:ind w:left="0" w:leftChars="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T——用于计算等效声级的时间，s；</w:t>
            </w:r>
          </w:p>
          <w:p>
            <w:pPr>
              <w:keepNext w:val="0"/>
              <w:keepLines w:val="0"/>
              <w:pageBreakBefore w:val="0"/>
              <w:kinsoku/>
              <w:wordWrap/>
              <w:topLinePunct w:val="0"/>
              <w:bidi w:val="0"/>
              <w:spacing w:line="360" w:lineRule="auto"/>
              <w:ind w:left="0" w:leftChars="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N——室外声源个数；</w:t>
            </w:r>
          </w:p>
          <w:p>
            <w:pPr>
              <w:keepNext w:val="0"/>
              <w:keepLines w:val="0"/>
              <w:pageBreakBefore w:val="0"/>
              <w:kinsoku/>
              <w:wordWrap/>
              <w:topLinePunct w:val="0"/>
              <w:bidi w:val="0"/>
              <w:spacing w:line="360" w:lineRule="auto"/>
              <w:ind w:left="0" w:leftChars="0" w:firstLine="960" w:firstLineChars="4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t</w:t>
            </w:r>
            <w:r>
              <w:rPr>
                <w:rFonts w:hint="default" w:ascii="Times New Roman" w:hAnsi="Times New Roman" w:eastAsia="宋体" w:cs="Times New Roman"/>
                <w:color w:val="auto"/>
                <w:sz w:val="24"/>
                <w:szCs w:val="24"/>
                <w:highlight w:val="none"/>
                <w:vertAlign w:val="subscript"/>
                <w:lang w:eastAsia="zh-CN"/>
              </w:rPr>
              <w:t>i</w:t>
            </w:r>
            <w:r>
              <w:rPr>
                <w:rFonts w:hint="default" w:ascii="Times New Roman" w:hAnsi="Times New Roman" w:eastAsia="宋体" w:cs="Times New Roman"/>
                <w:color w:val="auto"/>
                <w:sz w:val="24"/>
                <w:szCs w:val="24"/>
                <w:highlight w:val="none"/>
              </w:rPr>
              <w:t>——在T时间内i声源工作时间，s；</w:t>
            </w:r>
          </w:p>
          <w:p>
            <w:pPr>
              <w:keepNext w:val="0"/>
              <w:keepLines w:val="0"/>
              <w:pageBreakBefore w:val="0"/>
              <w:kinsoku/>
              <w:wordWrap/>
              <w:topLinePunct w:val="0"/>
              <w:bidi w:val="0"/>
              <w:spacing w:line="360" w:lineRule="auto"/>
              <w:ind w:left="0" w:leftChars="0" w:firstLine="960" w:firstLineChars="4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M——等效室外声源个数；</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960" w:firstLineChars="4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t</w:t>
            </w:r>
            <w:r>
              <w:rPr>
                <w:rFonts w:hint="default" w:ascii="Times New Roman" w:hAnsi="Times New Roman" w:eastAsia="宋体" w:cs="Times New Roman"/>
                <w:color w:val="auto"/>
                <w:sz w:val="24"/>
                <w:szCs w:val="24"/>
                <w:highlight w:val="none"/>
                <w:vertAlign w:val="subscript"/>
                <w:lang w:eastAsia="zh-CN"/>
              </w:rPr>
              <w:t>j</w:t>
            </w:r>
            <w:r>
              <w:rPr>
                <w:rFonts w:hint="default" w:ascii="Times New Roman" w:hAnsi="Times New Roman" w:eastAsia="宋体" w:cs="Times New Roman"/>
                <w:color w:val="auto"/>
                <w:sz w:val="24"/>
                <w:szCs w:val="24"/>
                <w:highlight w:val="none"/>
              </w:rPr>
              <w:t>——在T时间内j声源工作时间，s。</w:t>
            </w:r>
          </w:p>
          <w:p>
            <w:pPr>
              <w:keepNext w:val="0"/>
              <w:keepLines w:val="0"/>
              <w:pageBreakBefore w:val="0"/>
              <w:kinsoku/>
              <w:wordWrap/>
              <w:topLinePunct w:val="0"/>
              <w:bidi w:val="0"/>
              <w:spacing w:line="360" w:lineRule="auto"/>
              <w:ind w:left="0" w:leftChars="0" w:firstLine="482" w:firstLineChars="20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2）参数确定</w:t>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①声波几何发散引起的A声级衰减量：</w:t>
            </w:r>
          </w:p>
          <w:p>
            <w:pPr>
              <w:keepNext w:val="0"/>
              <w:keepLines w:val="0"/>
              <w:pageBreakBefore w:val="0"/>
              <w:kinsoku/>
              <w:wordWrap/>
              <w:topLinePunct w:val="0"/>
              <w:bidi w:val="0"/>
              <w:spacing w:line="360" w:lineRule="auto"/>
              <w:ind w:left="0" w:leftChars="0" w:firstLine="480" w:firstLineChars="20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点声源A</w:t>
            </w:r>
            <w:r>
              <w:rPr>
                <w:rFonts w:hint="default" w:ascii="Times New Roman" w:hAnsi="Times New Roman" w:eastAsia="宋体" w:cs="Times New Roman"/>
                <w:color w:val="auto"/>
                <w:sz w:val="24"/>
                <w:szCs w:val="24"/>
                <w:highlight w:val="none"/>
                <w:vertAlign w:val="subscript"/>
                <w:lang w:eastAsia="zh-CN"/>
              </w:rPr>
              <w:t>div</w:t>
            </w:r>
            <w:r>
              <w:rPr>
                <w:rFonts w:hint="default" w:ascii="Times New Roman" w:hAnsi="Times New Roman" w:eastAsia="宋体" w:cs="Times New Roman"/>
                <w:color w:val="auto"/>
                <w:sz w:val="24"/>
                <w:szCs w:val="24"/>
                <w:highlight w:val="none"/>
                <w:lang w:eastAsia="zh-CN"/>
              </w:rPr>
              <w:t>=201g（r/r</w:t>
            </w:r>
            <w:r>
              <w:rPr>
                <w:rFonts w:hint="default" w:ascii="Times New Roman" w:hAnsi="Times New Roman" w:eastAsia="宋体" w:cs="Times New Roman"/>
                <w:color w:val="auto"/>
                <w:sz w:val="24"/>
                <w:szCs w:val="24"/>
                <w:highlight w:val="none"/>
                <w:vertAlign w:val="subscript"/>
                <w:lang w:val="en-US" w:eastAsia="zh-CN"/>
              </w:rPr>
              <w:t>0</w:t>
            </w:r>
            <w:r>
              <w:rPr>
                <w:rFonts w:hint="default" w:ascii="Times New Roman" w:hAnsi="Times New Roman" w:eastAsia="宋体" w:cs="Times New Roman"/>
                <w:color w:val="auto"/>
                <w:sz w:val="24"/>
                <w:szCs w:val="24"/>
                <w:highlight w:val="none"/>
                <w:lang w:eastAsia="zh-CN"/>
              </w:rPr>
              <w:t>）</w:t>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vertAlign w:val="subscript"/>
                <w:lang w:eastAsia="zh-CN"/>
              </w:rPr>
            </w:pPr>
            <w:r>
              <w:rPr>
                <w:rFonts w:hint="default" w:ascii="Times New Roman" w:hAnsi="Times New Roman" w:eastAsia="宋体" w:cs="Times New Roman"/>
                <w:color w:val="auto"/>
                <w:sz w:val="24"/>
                <w:szCs w:val="24"/>
                <w:highlight w:val="none"/>
                <w:lang w:eastAsia="zh-CN"/>
              </w:rPr>
              <w:t>②空气吸收衰减量</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atm</w:t>
            </w:r>
            <w:r>
              <w:rPr>
                <w:rFonts w:hint="default" w:ascii="Times New Roman" w:hAnsi="Times New Roman" w:eastAsia="宋体" w:cs="Times New Roman"/>
                <w:color w:val="auto"/>
                <w:sz w:val="24"/>
                <w:szCs w:val="24"/>
                <w:highlight w:val="none"/>
                <w:vertAlign w:val="baseline"/>
                <w:lang w:eastAsia="zh-CN"/>
              </w:rPr>
              <w:t>：</w:t>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拟建项目噪声以中低频为主，空气吸收性衰减很少，预测时可忽略不计。</w:t>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vertAlign w:val="baseline"/>
                <w:lang w:eastAsia="zh-CN"/>
              </w:rPr>
            </w:pPr>
            <w:r>
              <w:rPr>
                <w:rFonts w:hint="default" w:ascii="Times New Roman" w:hAnsi="Times New Roman" w:eastAsia="宋体" w:cs="Times New Roman"/>
                <w:color w:val="auto"/>
                <w:sz w:val="24"/>
                <w:szCs w:val="24"/>
                <w:highlight w:val="none"/>
                <w:lang w:eastAsia="zh-CN"/>
              </w:rPr>
              <w:t>③遮挡物引起的衰减量</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bar</w:t>
            </w:r>
            <w:r>
              <w:rPr>
                <w:rFonts w:hint="default" w:ascii="Times New Roman" w:hAnsi="Times New Roman" w:eastAsia="宋体" w:cs="Times New Roman"/>
                <w:color w:val="auto"/>
                <w:sz w:val="24"/>
                <w:szCs w:val="24"/>
                <w:highlight w:val="none"/>
                <w:vertAlign w:val="baseline"/>
                <w:lang w:eastAsia="zh-CN"/>
              </w:rPr>
              <w:t>：</w:t>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噪声在向外传播过程中将受到厂房或其它车间的阻挡影响，从而引起声能量的衰减，具体衰减根据不同声级的传播途径而定，一般取0~30dB（</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eastAsia="zh-CN"/>
              </w:rPr>
              <w:t>），本次环评取</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eastAsia="zh-CN"/>
              </w:rPr>
              <w:t>。</w:t>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④地面效应引起的声级衰减量</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gr</w:t>
            </w:r>
            <w:r>
              <w:rPr>
                <w:rFonts w:hint="default" w:ascii="Times New Roman" w:hAnsi="Times New Roman" w:eastAsia="宋体" w:cs="Times New Roman"/>
                <w:color w:val="auto"/>
                <w:sz w:val="24"/>
                <w:szCs w:val="24"/>
                <w:highlight w:val="none"/>
                <w:lang w:eastAsia="zh-CN"/>
              </w:rPr>
              <w:t>：</w:t>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根据项目总平面布置和噪声源强及外环境状况，可以忽略本项附加衰减量。</w:t>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vertAlign w:val="baseline"/>
                <w:lang w:eastAsia="zh-CN"/>
              </w:rPr>
            </w:pPr>
            <w:r>
              <w:rPr>
                <w:rFonts w:hint="default" w:ascii="Times New Roman" w:hAnsi="Times New Roman" w:eastAsia="宋体" w:cs="Times New Roman"/>
                <w:color w:val="auto"/>
                <w:sz w:val="24"/>
                <w:szCs w:val="24"/>
                <w:highlight w:val="none"/>
                <w:lang w:eastAsia="zh-CN"/>
              </w:rPr>
              <w:t>⑤其他多方面效应引起的声级衰减量</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vertAlign w:val="subscript"/>
              </w:rPr>
              <w:t>misc</w:t>
            </w:r>
            <w:r>
              <w:rPr>
                <w:rFonts w:hint="default" w:ascii="Times New Roman" w:hAnsi="Times New Roman" w:eastAsia="宋体" w:cs="Times New Roman"/>
                <w:color w:val="auto"/>
                <w:sz w:val="24"/>
                <w:szCs w:val="24"/>
                <w:highlight w:val="none"/>
                <w:vertAlign w:val="baseline"/>
                <w:lang w:eastAsia="zh-CN"/>
              </w:rPr>
              <w:t>：</w:t>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其他衰减包括通过工业场所的衰减，通过房屋群的衰减等。一般情况下，不考虑自然条件（如风、温度梯度、雾）变化引起的附加修正。</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3）预测结果</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根据不同设备的噪声级、确定的预测模式以及拟采取的降噪措施计算出不同距离处的噪声值。项目厂界噪声贡预测结果如下表所示：</w:t>
            </w:r>
          </w:p>
          <w:p>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表4-11</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供水厂噪声预测结果</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2536"/>
              <w:gridCol w:w="1037"/>
              <w:gridCol w:w="1037"/>
              <w:gridCol w:w="1037"/>
              <w:gridCol w:w="1040"/>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14" w:type="pct"/>
                  <w:vMerge w:val="restart"/>
                  <w:tcBorders>
                    <w:tl2br w:val="nil"/>
                    <w:tr2bl w:val="nil"/>
                  </w:tcBorders>
                  <w:shd w:val="clear" w:color="000000" w:themeColor="text1" w:fill="auto"/>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编号</w:t>
                  </w:r>
                </w:p>
              </w:tc>
              <w:tc>
                <w:tcPr>
                  <w:tcW w:w="1458" w:type="pct"/>
                  <w:vMerge w:val="restart"/>
                  <w:tcBorders>
                    <w:tl2br w:val="nil"/>
                    <w:tr2bl w:val="nil"/>
                  </w:tcBorders>
                  <w:shd w:val="clear" w:color="000000" w:themeColor="text1" w:fill="auto"/>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预测点位置</w:t>
                  </w:r>
                </w:p>
              </w:tc>
              <w:tc>
                <w:tcPr>
                  <w:tcW w:w="1192" w:type="pct"/>
                  <w:gridSpan w:val="2"/>
                  <w:tcBorders>
                    <w:tl2br w:val="nil"/>
                    <w:tr2bl w:val="nil"/>
                  </w:tcBorders>
                  <w:shd w:val="clear" w:color="000000" w:themeColor="text1" w:fill="auto"/>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贡献值[dB（A）]</w:t>
                  </w:r>
                </w:p>
              </w:tc>
              <w:tc>
                <w:tcPr>
                  <w:tcW w:w="1194" w:type="pct"/>
                  <w:gridSpan w:val="2"/>
                  <w:tcBorders>
                    <w:tl2br w:val="nil"/>
                    <w:tr2bl w:val="nil"/>
                  </w:tcBorders>
                  <w:shd w:val="clear" w:color="000000" w:themeColor="text1" w:fill="auto"/>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标准值</w:t>
                  </w:r>
                  <w:r>
                    <w:rPr>
                      <w:rFonts w:hint="default" w:ascii="Times New Roman" w:hAnsi="Times New Roman" w:eastAsia="仿宋" w:cs="Times New Roman"/>
                      <w:b/>
                      <w:bCs/>
                      <w:color w:val="auto"/>
                      <w:sz w:val="21"/>
                      <w:szCs w:val="21"/>
                      <w:highlight w:val="none"/>
                    </w:rPr>
                    <w:t>[</w:t>
                  </w:r>
                  <w:r>
                    <w:rPr>
                      <w:rFonts w:hint="default" w:ascii="Times New Roman" w:hAnsi="Times New Roman" w:cs="Times New Roman"/>
                      <w:b/>
                      <w:bCs/>
                      <w:color w:val="auto"/>
                      <w:sz w:val="21"/>
                      <w:szCs w:val="21"/>
                      <w:highlight w:val="none"/>
                    </w:rPr>
                    <w:t>dB（A）</w:t>
                  </w:r>
                  <w:r>
                    <w:rPr>
                      <w:rFonts w:hint="default" w:ascii="Times New Roman" w:hAnsi="Times New Roman" w:eastAsia="仿宋" w:cs="Times New Roman"/>
                      <w:b/>
                      <w:bCs/>
                      <w:color w:val="auto"/>
                      <w:sz w:val="21"/>
                      <w:szCs w:val="21"/>
                      <w:highlight w:val="none"/>
                    </w:rPr>
                    <w:t>]</w:t>
                  </w:r>
                </w:p>
              </w:tc>
              <w:tc>
                <w:tcPr>
                  <w:tcW w:w="639" w:type="pct"/>
                  <w:vMerge w:val="restart"/>
                  <w:tcBorders>
                    <w:tl2br w:val="nil"/>
                    <w:tr2bl w:val="nil"/>
                  </w:tcBorders>
                  <w:shd w:val="clear" w:color="000000" w:themeColor="text1" w:fill="auto"/>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预测结果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p>
              </w:tc>
              <w:tc>
                <w:tcPr>
                  <w:tcW w:w="1458"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p>
              </w:tc>
              <w:tc>
                <w:tcPr>
                  <w:tcW w:w="596" w:type="pct"/>
                  <w:tcBorders>
                    <w:tl2br w:val="nil"/>
                    <w:tr2bl w:val="nil"/>
                  </w:tcBorders>
                  <w:shd w:val="clear" w:color="000000" w:themeColor="text1" w:fill="auto"/>
                  <w:vAlign w:val="center"/>
                </w:tcPr>
                <w:p>
                  <w:pPr>
                    <w:pStyle w:val="33"/>
                    <w:keepNext w:val="0"/>
                    <w:keepLines w:val="0"/>
                    <w:pageBreakBefore w:val="0"/>
                    <w:kinsoku/>
                    <w:wordWrap/>
                    <w:topLinePunct w:val="0"/>
                    <w:bidi w:val="0"/>
                    <w:snapToGrid w:val="0"/>
                    <w:spacing w:before="0" w:after="0" w:line="240" w:lineRule="auto"/>
                    <w:ind w:left="0" w:leftChars="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596" w:type="pct"/>
                  <w:tcBorders>
                    <w:tl2br w:val="nil"/>
                    <w:tr2bl w:val="nil"/>
                  </w:tcBorders>
                  <w:shd w:val="clear" w:color="000000" w:themeColor="text1" w:fill="auto"/>
                  <w:vAlign w:val="center"/>
                </w:tcPr>
                <w:p>
                  <w:pPr>
                    <w:pStyle w:val="33"/>
                    <w:keepNext w:val="0"/>
                    <w:keepLines w:val="0"/>
                    <w:pageBreakBefore w:val="0"/>
                    <w:kinsoku/>
                    <w:wordWrap/>
                    <w:topLinePunct w:val="0"/>
                    <w:bidi w:val="0"/>
                    <w:snapToGrid w:val="0"/>
                    <w:spacing w:before="0" w:after="0" w:line="240" w:lineRule="auto"/>
                    <w:ind w:left="0" w:leftChars="0" w:firstLine="0" w:firstLineChars="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夜间</w:t>
                  </w:r>
                </w:p>
              </w:tc>
              <w:tc>
                <w:tcPr>
                  <w:tcW w:w="596" w:type="pct"/>
                  <w:tcBorders>
                    <w:tl2br w:val="nil"/>
                    <w:tr2bl w:val="nil"/>
                  </w:tcBorders>
                  <w:shd w:val="clear" w:color="000000" w:themeColor="text1" w:fill="auto"/>
                  <w:vAlign w:val="center"/>
                </w:tcPr>
                <w:p>
                  <w:pPr>
                    <w:pStyle w:val="33"/>
                    <w:keepNext w:val="0"/>
                    <w:keepLines w:val="0"/>
                    <w:pageBreakBefore w:val="0"/>
                    <w:kinsoku/>
                    <w:wordWrap/>
                    <w:topLinePunct w:val="0"/>
                    <w:bidi w:val="0"/>
                    <w:snapToGrid w:val="0"/>
                    <w:spacing w:before="0" w:after="0" w:line="240" w:lineRule="auto"/>
                    <w:ind w:left="0" w:leftChars="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598" w:type="pct"/>
                  <w:tcBorders>
                    <w:tl2br w:val="nil"/>
                    <w:tr2bl w:val="nil"/>
                  </w:tcBorders>
                  <w:shd w:val="clear" w:color="000000" w:themeColor="text1" w:fill="auto"/>
                  <w:vAlign w:val="center"/>
                </w:tcPr>
                <w:p>
                  <w:pPr>
                    <w:pStyle w:val="33"/>
                    <w:keepNext w:val="0"/>
                    <w:keepLines w:val="0"/>
                    <w:pageBreakBefore w:val="0"/>
                    <w:kinsoku/>
                    <w:wordWrap/>
                    <w:topLinePunct w:val="0"/>
                    <w:bidi w:val="0"/>
                    <w:snapToGrid w:val="0"/>
                    <w:spacing w:before="0" w:after="0" w:line="240" w:lineRule="auto"/>
                    <w:ind w:left="0" w:leftChars="0" w:firstLine="0" w:firstLineChars="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夜间</w:t>
                  </w:r>
                </w:p>
              </w:tc>
              <w:tc>
                <w:tcPr>
                  <w:tcW w:w="639"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4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供水厂</w:t>
                  </w:r>
                  <w:r>
                    <w:rPr>
                      <w:rFonts w:hint="eastAsia" w:ascii="Times New Roman" w:hAnsi="Times New Roman" w:eastAsia="宋体" w:cs="Times New Roman"/>
                      <w:color w:val="auto"/>
                      <w:kern w:val="2"/>
                      <w:sz w:val="21"/>
                      <w:szCs w:val="21"/>
                      <w:highlight w:val="none"/>
                      <w:lang w:val="en-US" w:eastAsia="zh-CN" w:bidi="ar-SA"/>
                    </w:rPr>
                    <w:t>西</w:t>
                  </w:r>
                  <w:r>
                    <w:rPr>
                      <w:rFonts w:hint="default" w:ascii="Times New Roman" w:hAnsi="Times New Roman" w:eastAsia="宋体" w:cs="Times New Roman"/>
                      <w:color w:val="auto"/>
                      <w:kern w:val="2"/>
                      <w:sz w:val="21"/>
                      <w:szCs w:val="21"/>
                      <w:highlight w:val="none"/>
                      <w:lang w:val="en-US" w:eastAsia="zh-CN" w:bidi="ar-SA"/>
                    </w:rPr>
                    <w:t>北厂界外1m处</w:t>
                  </w:r>
                </w:p>
              </w:tc>
              <w:tc>
                <w:tcPr>
                  <w:tcW w:w="5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48.11</w:t>
                  </w:r>
                </w:p>
              </w:tc>
              <w:tc>
                <w:tcPr>
                  <w:tcW w:w="5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47.98</w:t>
                  </w:r>
                </w:p>
              </w:tc>
              <w:tc>
                <w:tcPr>
                  <w:tcW w:w="596"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598"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639"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4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供水厂</w:t>
                  </w:r>
                  <w:r>
                    <w:rPr>
                      <w:rFonts w:hint="eastAsia" w:ascii="Times New Roman" w:hAnsi="Times New Roman" w:eastAsia="宋体" w:cs="Times New Roman"/>
                      <w:color w:val="auto"/>
                      <w:kern w:val="2"/>
                      <w:sz w:val="21"/>
                      <w:szCs w:val="21"/>
                      <w:highlight w:val="none"/>
                      <w:lang w:val="en-US" w:eastAsia="zh-CN" w:bidi="ar-SA"/>
                    </w:rPr>
                    <w:t>西</w:t>
                  </w:r>
                  <w:r>
                    <w:rPr>
                      <w:rFonts w:hint="default" w:ascii="Times New Roman" w:hAnsi="Times New Roman" w:eastAsia="宋体" w:cs="Times New Roman"/>
                      <w:color w:val="auto"/>
                      <w:kern w:val="2"/>
                      <w:sz w:val="21"/>
                      <w:szCs w:val="21"/>
                      <w:highlight w:val="none"/>
                      <w:lang w:val="en-US" w:eastAsia="zh-CN" w:bidi="ar-SA"/>
                    </w:rPr>
                    <w:t>南厂界外1m处</w:t>
                  </w:r>
                </w:p>
              </w:tc>
              <w:tc>
                <w:tcPr>
                  <w:tcW w:w="5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36.51</w:t>
                  </w:r>
                </w:p>
              </w:tc>
              <w:tc>
                <w:tcPr>
                  <w:tcW w:w="5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36.20</w:t>
                  </w:r>
                </w:p>
              </w:tc>
              <w:tc>
                <w:tcPr>
                  <w:tcW w:w="596"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60</w:t>
                  </w:r>
                </w:p>
              </w:tc>
              <w:tc>
                <w:tcPr>
                  <w:tcW w:w="598"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639"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4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供水厂东</w:t>
                  </w:r>
                  <w:r>
                    <w:rPr>
                      <w:rFonts w:hint="eastAsia" w:ascii="Times New Roman" w:hAnsi="Times New Roman" w:eastAsia="宋体" w:cs="Times New Roman"/>
                      <w:color w:val="auto"/>
                      <w:kern w:val="2"/>
                      <w:sz w:val="21"/>
                      <w:szCs w:val="21"/>
                      <w:highlight w:val="none"/>
                      <w:lang w:val="en-US" w:eastAsia="zh-CN" w:bidi="ar-SA"/>
                    </w:rPr>
                    <w:t>南</w:t>
                  </w:r>
                  <w:r>
                    <w:rPr>
                      <w:rFonts w:hint="default" w:ascii="Times New Roman" w:hAnsi="Times New Roman" w:eastAsia="宋体" w:cs="Times New Roman"/>
                      <w:color w:val="auto"/>
                      <w:kern w:val="2"/>
                      <w:sz w:val="21"/>
                      <w:szCs w:val="21"/>
                      <w:highlight w:val="none"/>
                      <w:lang w:val="en-US" w:eastAsia="zh-CN" w:bidi="ar-SA"/>
                    </w:rPr>
                    <w:t>厂界外1m处</w:t>
                  </w:r>
                </w:p>
              </w:tc>
              <w:tc>
                <w:tcPr>
                  <w:tcW w:w="5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48.95</w:t>
                  </w:r>
                </w:p>
              </w:tc>
              <w:tc>
                <w:tcPr>
                  <w:tcW w:w="5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48.95</w:t>
                  </w:r>
                </w:p>
              </w:tc>
              <w:tc>
                <w:tcPr>
                  <w:tcW w:w="596"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60</w:t>
                  </w:r>
                </w:p>
              </w:tc>
              <w:tc>
                <w:tcPr>
                  <w:tcW w:w="598"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639"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4"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4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供水厂</w:t>
                  </w:r>
                  <w:r>
                    <w:rPr>
                      <w:rFonts w:hint="eastAsia" w:ascii="Times New Roman" w:hAnsi="Times New Roman" w:eastAsia="宋体" w:cs="Times New Roman"/>
                      <w:color w:val="auto"/>
                      <w:kern w:val="2"/>
                      <w:sz w:val="21"/>
                      <w:szCs w:val="21"/>
                      <w:highlight w:val="none"/>
                      <w:lang w:val="en-US" w:eastAsia="zh-CN" w:bidi="ar-SA"/>
                    </w:rPr>
                    <w:t>东北</w:t>
                  </w:r>
                  <w:r>
                    <w:rPr>
                      <w:rFonts w:hint="default" w:ascii="Times New Roman" w:hAnsi="Times New Roman" w:eastAsia="宋体" w:cs="Times New Roman"/>
                      <w:color w:val="auto"/>
                      <w:kern w:val="2"/>
                      <w:sz w:val="21"/>
                      <w:szCs w:val="21"/>
                      <w:highlight w:val="none"/>
                      <w:lang w:val="en-US" w:eastAsia="zh-CN" w:bidi="ar-SA"/>
                    </w:rPr>
                    <w:t>厂界外1m处</w:t>
                  </w:r>
                </w:p>
              </w:tc>
              <w:tc>
                <w:tcPr>
                  <w:tcW w:w="5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52.60</w:t>
                  </w:r>
                </w:p>
              </w:tc>
              <w:tc>
                <w:tcPr>
                  <w:tcW w:w="5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48.34</w:t>
                  </w:r>
                </w:p>
              </w:tc>
              <w:tc>
                <w:tcPr>
                  <w:tcW w:w="596"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60</w:t>
                  </w:r>
                </w:p>
              </w:tc>
              <w:tc>
                <w:tcPr>
                  <w:tcW w:w="598"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639"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表4-12</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取水泵房噪声预测结果</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2562"/>
              <w:gridCol w:w="1021"/>
              <w:gridCol w:w="1033"/>
              <w:gridCol w:w="990"/>
              <w:gridCol w:w="1089"/>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09" w:type="pct"/>
                  <w:vMerge w:val="restart"/>
                  <w:tcBorders>
                    <w:tl2br w:val="nil"/>
                    <w:tr2bl w:val="nil"/>
                  </w:tcBorders>
                  <w:shd w:val="clear" w:color="000000" w:themeColor="text1" w:fill="auto"/>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编号</w:t>
                  </w:r>
                </w:p>
              </w:tc>
              <w:tc>
                <w:tcPr>
                  <w:tcW w:w="1473" w:type="pct"/>
                  <w:vMerge w:val="restart"/>
                  <w:tcBorders>
                    <w:tl2br w:val="nil"/>
                    <w:tr2bl w:val="nil"/>
                  </w:tcBorders>
                  <w:shd w:val="clear" w:color="000000" w:themeColor="text1" w:fill="auto"/>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预测点位置</w:t>
                  </w:r>
                </w:p>
              </w:tc>
              <w:tc>
                <w:tcPr>
                  <w:tcW w:w="1181" w:type="pct"/>
                  <w:gridSpan w:val="2"/>
                  <w:tcBorders>
                    <w:tl2br w:val="nil"/>
                    <w:tr2bl w:val="nil"/>
                  </w:tcBorders>
                  <w:shd w:val="clear" w:color="000000" w:themeColor="text1" w:fill="auto"/>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贡献值[dB（A）]</w:t>
                  </w:r>
                </w:p>
              </w:tc>
              <w:tc>
                <w:tcPr>
                  <w:tcW w:w="1195" w:type="pct"/>
                  <w:gridSpan w:val="2"/>
                  <w:tcBorders>
                    <w:tl2br w:val="nil"/>
                    <w:tr2bl w:val="nil"/>
                  </w:tcBorders>
                  <w:shd w:val="clear" w:color="000000" w:themeColor="text1" w:fill="auto"/>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标准值</w:t>
                  </w:r>
                  <w:r>
                    <w:rPr>
                      <w:rFonts w:hint="default" w:ascii="Times New Roman" w:hAnsi="Times New Roman" w:eastAsia="仿宋" w:cs="Times New Roman"/>
                      <w:b/>
                      <w:bCs/>
                      <w:color w:val="auto"/>
                      <w:sz w:val="21"/>
                      <w:szCs w:val="21"/>
                      <w:highlight w:val="none"/>
                    </w:rPr>
                    <w:t>[</w:t>
                  </w:r>
                  <w:r>
                    <w:rPr>
                      <w:rFonts w:hint="default" w:ascii="Times New Roman" w:hAnsi="Times New Roman" w:cs="Times New Roman"/>
                      <w:b/>
                      <w:bCs/>
                      <w:color w:val="auto"/>
                      <w:sz w:val="21"/>
                      <w:szCs w:val="21"/>
                      <w:highlight w:val="none"/>
                    </w:rPr>
                    <w:t>dB（A）</w:t>
                  </w:r>
                  <w:r>
                    <w:rPr>
                      <w:rFonts w:hint="default" w:ascii="Times New Roman" w:hAnsi="Times New Roman" w:eastAsia="仿宋" w:cs="Times New Roman"/>
                      <w:b/>
                      <w:bCs/>
                      <w:color w:val="auto"/>
                      <w:sz w:val="21"/>
                      <w:szCs w:val="21"/>
                      <w:highlight w:val="none"/>
                    </w:rPr>
                    <w:t>]</w:t>
                  </w:r>
                </w:p>
              </w:tc>
              <w:tc>
                <w:tcPr>
                  <w:tcW w:w="640" w:type="pct"/>
                  <w:vMerge w:val="restart"/>
                  <w:tcBorders>
                    <w:tl2br w:val="nil"/>
                    <w:tr2bl w:val="nil"/>
                  </w:tcBorders>
                  <w:shd w:val="clear" w:color="000000" w:themeColor="text1" w:fill="auto"/>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预测结果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p>
              </w:tc>
              <w:tc>
                <w:tcPr>
                  <w:tcW w:w="1473"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p>
              </w:tc>
              <w:tc>
                <w:tcPr>
                  <w:tcW w:w="587" w:type="pct"/>
                  <w:tcBorders>
                    <w:tl2br w:val="nil"/>
                    <w:tr2bl w:val="nil"/>
                  </w:tcBorders>
                  <w:shd w:val="clear" w:color="000000" w:themeColor="text1" w:fill="auto"/>
                  <w:vAlign w:val="center"/>
                </w:tcPr>
                <w:p>
                  <w:pPr>
                    <w:pStyle w:val="33"/>
                    <w:keepNext w:val="0"/>
                    <w:keepLines w:val="0"/>
                    <w:pageBreakBefore w:val="0"/>
                    <w:kinsoku/>
                    <w:wordWrap/>
                    <w:topLinePunct w:val="0"/>
                    <w:bidi w:val="0"/>
                    <w:snapToGrid w:val="0"/>
                    <w:spacing w:before="0" w:after="0" w:line="240" w:lineRule="auto"/>
                    <w:ind w:left="0" w:leftChars="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594" w:type="pct"/>
                  <w:tcBorders>
                    <w:tl2br w:val="nil"/>
                    <w:tr2bl w:val="nil"/>
                  </w:tcBorders>
                  <w:shd w:val="clear" w:color="000000" w:themeColor="text1" w:fill="auto"/>
                  <w:vAlign w:val="center"/>
                </w:tcPr>
                <w:p>
                  <w:pPr>
                    <w:pStyle w:val="33"/>
                    <w:keepNext w:val="0"/>
                    <w:keepLines w:val="0"/>
                    <w:pageBreakBefore w:val="0"/>
                    <w:kinsoku/>
                    <w:wordWrap/>
                    <w:topLinePunct w:val="0"/>
                    <w:bidi w:val="0"/>
                    <w:snapToGrid w:val="0"/>
                    <w:spacing w:before="0" w:after="0" w:line="240" w:lineRule="auto"/>
                    <w:ind w:left="0" w:leftChars="0" w:firstLine="0" w:firstLineChars="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夜间</w:t>
                  </w:r>
                </w:p>
              </w:tc>
              <w:tc>
                <w:tcPr>
                  <w:tcW w:w="569" w:type="pct"/>
                  <w:tcBorders>
                    <w:tl2br w:val="nil"/>
                    <w:tr2bl w:val="nil"/>
                  </w:tcBorders>
                  <w:shd w:val="clear" w:color="000000" w:themeColor="text1" w:fill="auto"/>
                  <w:vAlign w:val="center"/>
                </w:tcPr>
                <w:p>
                  <w:pPr>
                    <w:pStyle w:val="33"/>
                    <w:keepNext w:val="0"/>
                    <w:keepLines w:val="0"/>
                    <w:pageBreakBefore w:val="0"/>
                    <w:kinsoku/>
                    <w:wordWrap/>
                    <w:topLinePunct w:val="0"/>
                    <w:bidi w:val="0"/>
                    <w:snapToGrid w:val="0"/>
                    <w:spacing w:before="0" w:after="0" w:line="240" w:lineRule="auto"/>
                    <w:ind w:left="0" w:leftChars="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626" w:type="pct"/>
                  <w:tcBorders>
                    <w:tl2br w:val="nil"/>
                    <w:tr2bl w:val="nil"/>
                  </w:tcBorders>
                  <w:shd w:val="clear" w:color="000000" w:themeColor="text1" w:fill="auto"/>
                  <w:vAlign w:val="center"/>
                </w:tcPr>
                <w:p>
                  <w:pPr>
                    <w:pStyle w:val="33"/>
                    <w:keepNext w:val="0"/>
                    <w:keepLines w:val="0"/>
                    <w:pageBreakBefore w:val="0"/>
                    <w:kinsoku/>
                    <w:wordWrap/>
                    <w:topLinePunct w:val="0"/>
                    <w:bidi w:val="0"/>
                    <w:snapToGrid w:val="0"/>
                    <w:spacing w:before="0" w:after="0" w:line="240" w:lineRule="auto"/>
                    <w:ind w:left="0" w:leftChars="0" w:firstLine="0" w:firstLineChars="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夜间</w:t>
                  </w:r>
                </w:p>
              </w:tc>
              <w:tc>
                <w:tcPr>
                  <w:tcW w:w="640" w:type="pct"/>
                  <w:vMerge w:val="continue"/>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4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取水泵房北厂界外1m处</w:t>
                  </w:r>
                </w:p>
              </w:tc>
              <w:tc>
                <w:tcPr>
                  <w:tcW w:w="587"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48.91</w:t>
                  </w:r>
                </w:p>
              </w:tc>
              <w:tc>
                <w:tcPr>
                  <w:tcW w:w="594"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48.91</w:t>
                  </w:r>
                </w:p>
              </w:tc>
              <w:tc>
                <w:tcPr>
                  <w:tcW w:w="569"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626"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640"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4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取水泵房东厂界外1m处</w:t>
                  </w:r>
                </w:p>
              </w:tc>
              <w:tc>
                <w:tcPr>
                  <w:tcW w:w="587"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49.49</w:t>
                  </w:r>
                </w:p>
              </w:tc>
              <w:tc>
                <w:tcPr>
                  <w:tcW w:w="594"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49.49</w:t>
                  </w:r>
                </w:p>
              </w:tc>
              <w:tc>
                <w:tcPr>
                  <w:tcW w:w="569"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60</w:t>
                  </w:r>
                </w:p>
              </w:tc>
              <w:tc>
                <w:tcPr>
                  <w:tcW w:w="626"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640"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4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取水泵房南厂界外1m处</w:t>
                  </w:r>
                </w:p>
              </w:tc>
              <w:tc>
                <w:tcPr>
                  <w:tcW w:w="587"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48.79</w:t>
                  </w:r>
                </w:p>
              </w:tc>
              <w:tc>
                <w:tcPr>
                  <w:tcW w:w="594"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48.79</w:t>
                  </w:r>
                </w:p>
              </w:tc>
              <w:tc>
                <w:tcPr>
                  <w:tcW w:w="569"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60</w:t>
                  </w:r>
                </w:p>
              </w:tc>
              <w:tc>
                <w:tcPr>
                  <w:tcW w:w="626"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640"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4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取水泵房西厂界外1m处</w:t>
                  </w:r>
                </w:p>
              </w:tc>
              <w:tc>
                <w:tcPr>
                  <w:tcW w:w="587"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49.56</w:t>
                  </w:r>
                </w:p>
              </w:tc>
              <w:tc>
                <w:tcPr>
                  <w:tcW w:w="594"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49.56</w:t>
                  </w:r>
                </w:p>
              </w:tc>
              <w:tc>
                <w:tcPr>
                  <w:tcW w:w="569"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60</w:t>
                  </w:r>
                </w:p>
              </w:tc>
              <w:tc>
                <w:tcPr>
                  <w:tcW w:w="626"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640" w:type="pct"/>
                  <w:tcBorders>
                    <w:tl2br w:val="nil"/>
                    <w:tr2bl w:val="nil"/>
                  </w:tcBorders>
                  <w:vAlign w:val="center"/>
                </w:tcPr>
                <w:p>
                  <w:pPr>
                    <w:keepNext w:val="0"/>
                    <w:keepLines w:val="0"/>
                    <w:pageBreakBefore w:val="0"/>
                    <w:kinsoku/>
                    <w:wordWrap/>
                    <w:topLinePunct w:val="0"/>
                    <w:bidi w:val="0"/>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由预测结果可知，供水厂和取水泵房厂界四周预测点噪声排放值均满足《工业企业厂界环境噪声排放标准》（GB12348-2008）2类标准。因此，本项目噪声不会对区域声环境造成影响。</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（3）监测要求</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本次环评根据《排污单位自行监测技术指南总则》（HJ819-2017）提出项目生产运行阶段的污染源监测计划，详见下表：</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黑体" w:cs="Times New Roman"/>
                <w:b w:val="0"/>
                <w:bCs/>
                <w:color w:val="auto"/>
                <w:kern w:val="2"/>
                <w:sz w:val="21"/>
                <w:szCs w:val="21"/>
                <w:highlight w:val="none"/>
                <w:lang w:val="en-US" w:eastAsia="zh-CN" w:bidi="ar-SA"/>
              </w:rPr>
              <w:t>表4-13</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噪声监测方案</w:t>
            </w:r>
          </w:p>
          <w:tbl>
            <w:tblPr>
              <w:tblStyle w:val="1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8"/>
              <w:gridCol w:w="1498"/>
              <w:gridCol w:w="1446"/>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监测点位</w:t>
                  </w:r>
                </w:p>
              </w:tc>
              <w:tc>
                <w:tcPr>
                  <w:tcW w:w="8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监测指标</w:t>
                  </w:r>
                </w:p>
              </w:tc>
              <w:tc>
                <w:tcPr>
                  <w:tcW w:w="8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监测频次</w:t>
                  </w:r>
                </w:p>
              </w:tc>
              <w:tc>
                <w:tcPr>
                  <w:tcW w:w="203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供水厂、取水泵房四周，厂界外1m处</w:t>
                  </w:r>
                </w:p>
              </w:tc>
              <w:tc>
                <w:tcPr>
                  <w:tcW w:w="8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昼夜等效连续A声级</w:t>
                  </w:r>
                </w:p>
              </w:tc>
              <w:tc>
                <w:tcPr>
                  <w:tcW w:w="83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1季度/次，昼夜各一次</w:t>
                  </w:r>
                </w:p>
              </w:tc>
              <w:tc>
                <w:tcPr>
                  <w:tcW w:w="20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《工业企业厂界环境噪声排放标准》（GB12348-2008）2类标准</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4、固体废物</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一般固体废物：生活垃圾、餐厨垃圾（含废食用油）、栅渣及沉砂、污泥、废填料、废包装材料等。</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①生活垃圾</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项目劳动定员15人，年工作365天，生活垃圾产生量按照0.5kg/人·天计，则生活垃圾产生量2.74t/a，交由环卫部门清运处理。</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②餐厨垃圾（含废油）</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项目设食堂，产生餐厨垃圾（含废油）。项目劳动定员15人，餐厨垃圾产生量按0.2kg/人.d计，则餐厨垃圾产生量为1.10t/a。餐厨垃</w:t>
            </w:r>
            <w:r>
              <w:rPr>
                <w:rFonts w:hint="default" w:ascii="Times New Roman" w:hAnsi="Times New Roman" w:cs="Times New Roman"/>
                <w:b w:val="0"/>
                <w:bCs w:val="0"/>
                <w:color w:val="auto"/>
                <w:sz w:val="24"/>
                <w:szCs w:val="24"/>
                <w:highlight w:val="none"/>
                <w:lang w:val="en-US" w:eastAsia="zh-CN"/>
              </w:rPr>
              <w:t>圾（含废油）</w:t>
            </w:r>
            <w:r>
              <w:rPr>
                <w:rFonts w:hint="default" w:ascii="Times New Roman" w:hAnsi="Times New Roman" w:cs="Times New Roman"/>
                <w:color w:val="auto"/>
                <w:sz w:val="24"/>
                <w:szCs w:val="24"/>
                <w:highlight w:val="none"/>
                <w:lang w:val="en-US" w:eastAsia="zh-CN"/>
              </w:rPr>
              <w:t>与生活垃圾分类收集，委托有合法手续的餐厨垃圾处置单位进行处置。</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③栅渣及沉砂</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本项目取水进口处设置格栅拦截污物及碎石等，设计取水规模7000m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/d，栅渣及沉砂量按0.1m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/1000m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·d原水计，密度约960kg/m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，则栅渣及沉砂总产生量为245.28t/a，定期运往宣汉县生活垃圾填埋场处理。</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④污泥</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本项目运营期间，污泥主要产生于混凝、沉淀、过滤等。根据水平衡，运营期污泥（按脱水后的泥饼计）产生量约</w:t>
            </w:r>
            <w:r>
              <w:rPr>
                <w:rFonts w:hint="eastAsia" w:ascii="Times New Roman" w:hAnsi="Times New Roman" w:cs="Times New Roman"/>
                <w:color w:val="auto"/>
                <w:sz w:val="24"/>
                <w:szCs w:val="24"/>
                <w:highlight w:val="none"/>
                <w:lang w:val="en-US" w:eastAsia="zh-CN"/>
              </w:rPr>
              <w:t>3.225</w:t>
            </w:r>
            <w:r>
              <w:rPr>
                <w:rFonts w:hint="default" w:ascii="Times New Roman" w:hAnsi="Times New Roman" w:cs="Times New Roman"/>
                <w:color w:val="auto"/>
                <w:sz w:val="24"/>
                <w:szCs w:val="24"/>
                <w:highlight w:val="none"/>
                <w:lang w:val="en-US" w:eastAsia="zh-CN"/>
              </w:rPr>
              <w:t>t/d，</w:t>
            </w:r>
            <w:r>
              <w:rPr>
                <w:rFonts w:hint="eastAsia" w:ascii="Times New Roman" w:hAnsi="Times New Roman" w:cs="Times New Roman"/>
                <w:color w:val="auto"/>
                <w:sz w:val="24"/>
                <w:szCs w:val="24"/>
                <w:highlight w:val="none"/>
                <w:lang w:val="en-US" w:eastAsia="zh-CN"/>
              </w:rPr>
              <w:t>1177.125</w:t>
            </w:r>
            <w:r>
              <w:rPr>
                <w:rFonts w:hint="default" w:ascii="Times New Roman" w:hAnsi="Times New Roman" w:cs="Times New Roman"/>
                <w:color w:val="auto"/>
                <w:sz w:val="24"/>
                <w:szCs w:val="24"/>
                <w:highlight w:val="none"/>
                <w:lang w:val="en-US" w:eastAsia="zh-CN"/>
              </w:rPr>
              <w:t>t/a。项目按规范建设1间泥棚，严格做好“防风、防雨、防晒、防渗漏”措施和标识标牌，经离心脱水机脱水后泥饼暂存于泥棚，定期运往宣汉县生活垃圾填埋场处理。</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⑤废填料</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本项目V型滤池采用石英砂作为滤料，平均每年更换一次，废填料产生量约20t/a，废填料交由厂商回收处理。</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⑥废包装材料</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主要为PAM、PAC等废弃包装袋，产生量约0.05t/a，定期交由废品收购站回收。</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项目固体废物污染源强及处置措施见下表：</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表4-14</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固体废物污染源强及处置措施表</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单位：t/a</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338"/>
              <w:gridCol w:w="1321"/>
              <w:gridCol w:w="659"/>
              <w:gridCol w:w="915"/>
              <w:gridCol w:w="1110"/>
              <w:gridCol w:w="960"/>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69"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产生源</w:t>
                  </w:r>
                </w:p>
              </w:tc>
              <w:tc>
                <w:tcPr>
                  <w:tcW w:w="759"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固体废物名称</w:t>
                  </w:r>
                </w:p>
              </w:tc>
              <w:tc>
                <w:tcPr>
                  <w:tcW w:w="379"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固废属性</w:t>
                  </w:r>
                </w:p>
              </w:tc>
              <w:tc>
                <w:tcPr>
                  <w:tcW w:w="526"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产生量</w:t>
                  </w:r>
                </w:p>
              </w:tc>
              <w:tc>
                <w:tcPr>
                  <w:tcW w:w="1190" w:type="pct"/>
                  <w:gridSpan w:val="2"/>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处置措施</w:t>
                  </w:r>
                </w:p>
              </w:tc>
              <w:tc>
                <w:tcPr>
                  <w:tcW w:w="1373"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6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highlight w:val="none"/>
                    </w:rPr>
                  </w:pPr>
                </w:p>
              </w:tc>
              <w:tc>
                <w:tcPr>
                  <w:tcW w:w="75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highlight w:val="none"/>
                    </w:rPr>
                  </w:pPr>
                </w:p>
              </w:tc>
              <w:tc>
                <w:tcPr>
                  <w:tcW w:w="37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highlight w:val="none"/>
                    </w:rPr>
                  </w:pPr>
                </w:p>
              </w:tc>
              <w:tc>
                <w:tcPr>
                  <w:tcW w:w="526"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Cs w:val="21"/>
                      <w:highlight w:val="none"/>
                    </w:rPr>
                  </w:pPr>
                </w:p>
              </w:tc>
              <w:tc>
                <w:tcPr>
                  <w:tcW w:w="63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工艺</w:t>
                  </w:r>
                </w:p>
              </w:tc>
              <w:tc>
                <w:tcPr>
                  <w:tcW w:w="5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处置量</w:t>
                  </w:r>
                </w:p>
              </w:tc>
              <w:tc>
                <w:tcPr>
                  <w:tcW w:w="13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生产及办公人员</w:t>
                  </w:r>
                </w:p>
              </w:tc>
              <w:tc>
                <w:tcPr>
                  <w:tcW w:w="7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w:t>
                  </w:r>
                </w:p>
              </w:tc>
              <w:tc>
                <w:tcPr>
                  <w:tcW w:w="37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一般废物</w:t>
                  </w:r>
                </w:p>
              </w:tc>
              <w:tc>
                <w:tcPr>
                  <w:tcW w:w="526"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2.74</w:t>
                  </w:r>
                </w:p>
              </w:tc>
              <w:tc>
                <w:tcPr>
                  <w:tcW w:w="6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委托处置</w:t>
                  </w:r>
                </w:p>
              </w:tc>
              <w:tc>
                <w:tcPr>
                  <w:tcW w:w="552"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2.74</w:t>
                  </w:r>
                </w:p>
              </w:tc>
              <w:tc>
                <w:tcPr>
                  <w:tcW w:w="1373"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食堂</w:t>
                  </w:r>
                </w:p>
              </w:tc>
              <w:tc>
                <w:tcPr>
                  <w:tcW w:w="7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餐厨垃圾（含</w:t>
                  </w:r>
                  <w:r>
                    <w:rPr>
                      <w:rFonts w:hint="default" w:ascii="Times New Roman" w:hAnsi="Times New Roman" w:cs="Times New Roman"/>
                      <w:color w:val="auto"/>
                      <w:kern w:val="2"/>
                      <w:sz w:val="21"/>
                      <w:szCs w:val="21"/>
                      <w:highlight w:val="none"/>
                      <w:lang w:val="en-US" w:eastAsia="zh-CN" w:bidi="ar-SA"/>
                    </w:rPr>
                    <w:t>废油</w:t>
                  </w:r>
                  <w:r>
                    <w:rPr>
                      <w:rFonts w:hint="default" w:ascii="Times New Roman" w:hAnsi="Times New Roman" w:eastAsia="宋体" w:cs="Times New Roman"/>
                      <w:color w:val="auto"/>
                      <w:kern w:val="2"/>
                      <w:sz w:val="21"/>
                      <w:szCs w:val="21"/>
                      <w:highlight w:val="none"/>
                      <w:lang w:val="en-US" w:eastAsia="zh-CN" w:bidi="ar-SA"/>
                    </w:rPr>
                    <w:t>）</w:t>
                  </w:r>
                </w:p>
              </w:tc>
              <w:tc>
                <w:tcPr>
                  <w:tcW w:w="37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highlight w:val="none"/>
                    </w:rPr>
                  </w:pPr>
                </w:p>
              </w:tc>
              <w:tc>
                <w:tcPr>
                  <w:tcW w:w="526"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1.10</w:t>
                  </w:r>
                </w:p>
              </w:tc>
              <w:tc>
                <w:tcPr>
                  <w:tcW w:w="6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委托处置</w:t>
                  </w:r>
                </w:p>
              </w:tc>
              <w:tc>
                <w:tcPr>
                  <w:tcW w:w="552"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1.10</w:t>
                  </w:r>
                </w:p>
              </w:tc>
              <w:tc>
                <w:tcPr>
                  <w:tcW w:w="1373"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委托有合法手续的餐厨垃圾处置单位进行处置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格栅处</w:t>
                  </w:r>
                </w:p>
              </w:tc>
              <w:tc>
                <w:tcPr>
                  <w:tcW w:w="7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栅渣及沉砂</w:t>
                  </w:r>
                </w:p>
              </w:tc>
              <w:tc>
                <w:tcPr>
                  <w:tcW w:w="37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highlight w:val="none"/>
                    </w:rPr>
                  </w:pPr>
                </w:p>
              </w:tc>
              <w:tc>
                <w:tcPr>
                  <w:tcW w:w="526"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245.28</w:t>
                  </w:r>
                </w:p>
              </w:tc>
              <w:tc>
                <w:tcPr>
                  <w:tcW w:w="6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委托处置</w:t>
                  </w:r>
                </w:p>
              </w:tc>
              <w:tc>
                <w:tcPr>
                  <w:tcW w:w="552"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245.28</w:t>
                  </w:r>
                </w:p>
              </w:tc>
              <w:tc>
                <w:tcPr>
                  <w:tcW w:w="1373" w:type="pct"/>
                  <w:vMerge w:val="restar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定期运往宣汉县生活垃圾填埋场处理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污泥脱水</w:t>
                  </w:r>
                </w:p>
              </w:tc>
              <w:tc>
                <w:tcPr>
                  <w:tcW w:w="7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Cs w:val="21"/>
                      <w:highlight w:val="none"/>
                    </w:rPr>
                    <w:t>污泥</w:t>
                  </w:r>
                </w:p>
              </w:tc>
              <w:tc>
                <w:tcPr>
                  <w:tcW w:w="37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highlight w:val="none"/>
                    </w:rPr>
                  </w:pPr>
                </w:p>
              </w:tc>
              <w:tc>
                <w:tcPr>
                  <w:tcW w:w="526"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color w:val="auto"/>
                      <w:kern w:val="2"/>
                      <w:sz w:val="21"/>
                      <w:szCs w:val="21"/>
                      <w:highlight w:val="none"/>
                      <w:lang w:val="en-US" w:eastAsia="zh-CN" w:bidi="ar-SA"/>
                    </w:rPr>
                    <w:t>1177.125</w:t>
                  </w:r>
                </w:p>
              </w:tc>
              <w:tc>
                <w:tcPr>
                  <w:tcW w:w="6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委托处置</w:t>
                  </w:r>
                </w:p>
              </w:tc>
              <w:tc>
                <w:tcPr>
                  <w:tcW w:w="552"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1177.125</w:t>
                  </w:r>
                </w:p>
              </w:tc>
              <w:tc>
                <w:tcPr>
                  <w:tcW w:w="1373" w:type="pct"/>
                  <w:vMerge w:val="continue"/>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Cs w:val="21"/>
                      <w:highlight w:val="none"/>
                    </w:rPr>
                    <w:t>V型滤池</w:t>
                  </w:r>
                </w:p>
              </w:tc>
              <w:tc>
                <w:tcPr>
                  <w:tcW w:w="7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Cs w:val="21"/>
                      <w:highlight w:val="none"/>
                    </w:rPr>
                    <w:t>废填料</w:t>
                  </w:r>
                </w:p>
              </w:tc>
              <w:tc>
                <w:tcPr>
                  <w:tcW w:w="37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highlight w:val="none"/>
                    </w:rPr>
                  </w:pPr>
                </w:p>
              </w:tc>
              <w:tc>
                <w:tcPr>
                  <w:tcW w:w="526"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6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委托处置</w:t>
                  </w:r>
                </w:p>
              </w:tc>
              <w:tc>
                <w:tcPr>
                  <w:tcW w:w="552"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w:t>
                  </w:r>
                </w:p>
              </w:tc>
              <w:tc>
                <w:tcPr>
                  <w:tcW w:w="1373"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eastAsia="zh-CN"/>
                    </w:rPr>
                    <w:t>交由厂商回收处理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rPr>
                    <w:t>PA</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PAC等药品</w:t>
                  </w:r>
                </w:p>
              </w:tc>
              <w:tc>
                <w:tcPr>
                  <w:tcW w:w="7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Cs w:val="21"/>
                      <w:highlight w:val="none"/>
                    </w:rPr>
                    <w:t>废包装材料</w:t>
                  </w:r>
                </w:p>
              </w:tc>
              <w:tc>
                <w:tcPr>
                  <w:tcW w:w="37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highlight w:val="none"/>
                    </w:rPr>
                  </w:pPr>
                </w:p>
              </w:tc>
              <w:tc>
                <w:tcPr>
                  <w:tcW w:w="526"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w:t>
                  </w:r>
                </w:p>
              </w:tc>
              <w:tc>
                <w:tcPr>
                  <w:tcW w:w="6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委托处置</w:t>
                  </w:r>
                </w:p>
              </w:tc>
              <w:tc>
                <w:tcPr>
                  <w:tcW w:w="552"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0.1</w:t>
                  </w:r>
                </w:p>
              </w:tc>
              <w:tc>
                <w:tcPr>
                  <w:tcW w:w="1373" w:type="pct"/>
                  <w:tcBorders>
                    <w:tl2br w:val="nil"/>
                    <w:tr2bl w:val="nil"/>
                  </w:tcBorders>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eastAsia="zh-CN"/>
                    </w:rPr>
                    <w:t>定期交由废品收购站回收</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综上所述，本项目营运期严格落实本环评中提出的各类废物处置措施，可防止因处置不当出现的环境二次污染。</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5、地下水、土壤污染防治措施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（1）污染途径</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运营期污染物进入地下水环境的途径主要是废水泄漏通过垂直渗透进入包气带，进入包气带的污染物在物理、化学和生物作用下经吸附、转化、迁移和分解后输入地下水，运营期因渗漏可能产生的污染地下水环节为污水管网、污水处理设施发生“跑、冒、滴、漏”使污染物进入地下水环境。</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（2）防渗分区</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根据《环境影响评价技术导则地下水环境》（HJ610-2016）防渗分区原则，将本项目分划为重点防渗区、一般防渗区和简单防渗区，划分区域如下：</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重点防渗区：</w:t>
            </w:r>
            <w:r>
              <w:rPr>
                <w:rFonts w:hint="default" w:ascii="Times New Roman" w:hAnsi="Times New Roman" w:cs="Times New Roman"/>
                <w:color w:val="auto"/>
                <w:sz w:val="24"/>
                <w:szCs w:val="24"/>
                <w:highlight w:val="none"/>
                <w:lang w:val="en-US" w:eastAsia="zh-CN"/>
              </w:rPr>
              <w:t>主要为</w:t>
            </w:r>
            <w:r>
              <w:rPr>
                <w:rFonts w:hint="default" w:ascii="Times New Roman" w:hAnsi="Times New Roman" w:cs="Times New Roman"/>
                <w:b w:val="0"/>
                <w:bCs w:val="0"/>
                <w:color w:val="auto"/>
                <w:sz w:val="24"/>
                <w:szCs w:val="24"/>
                <w:highlight w:val="none"/>
                <w:lang w:val="en-US" w:eastAsia="zh-CN"/>
              </w:rPr>
              <w:t>加氯间、原料储备间</w:t>
            </w:r>
            <w:r>
              <w:rPr>
                <w:rFonts w:hint="default" w:ascii="Times New Roman" w:hAnsi="Times New Roman" w:cs="Times New Roman"/>
                <w:color w:val="auto"/>
                <w:sz w:val="24"/>
                <w:szCs w:val="24"/>
                <w:highlight w:val="none"/>
                <w:lang w:val="en-US" w:eastAsia="zh-CN"/>
              </w:rPr>
              <w:t>，防渗技术要求为等效黏土防渗层Mb≥6.0m，K≤10</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cs="Times New Roman"/>
                <w:color w:val="auto"/>
                <w:sz w:val="24"/>
                <w:szCs w:val="24"/>
                <w:highlight w:val="none"/>
                <w:lang w:val="en-US" w:eastAsia="zh-CN"/>
              </w:rPr>
              <w:t>cm/s。</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一般防渗区：</w:t>
            </w:r>
            <w:r>
              <w:rPr>
                <w:rFonts w:hint="default" w:ascii="Times New Roman" w:hAnsi="Times New Roman" w:cs="Times New Roman"/>
                <w:color w:val="auto"/>
                <w:sz w:val="24"/>
                <w:szCs w:val="24"/>
                <w:highlight w:val="none"/>
                <w:lang w:val="en-US" w:eastAsia="zh-CN"/>
              </w:rPr>
              <w:t>包括预沉池、清水池、泥水混合池、浓缩池、泥渣泵房、贮泥池、脱水间及回收泵井、泥棚、PAC投加间、PAM投加间、反冲洗泵房、化粪池、隔油池等，防渗技术要求为等效粘土防渗层Mb≥1.5m，K≤10</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cs="Times New Roman"/>
                <w:color w:val="auto"/>
                <w:sz w:val="24"/>
                <w:szCs w:val="24"/>
                <w:highlight w:val="none"/>
                <w:lang w:val="en-US" w:eastAsia="zh-CN"/>
              </w:rPr>
              <w:t>cm/s。</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简单防渗区：</w:t>
            </w:r>
            <w:r>
              <w:rPr>
                <w:rFonts w:hint="default" w:ascii="Times New Roman" w:hAnsi="Times New Roman" w:cs="Times New Roman"/>
                <w:color w:val="auto"/>
                <w:sz w:val="24"/>
                <w:szCs w:val="24"/>
                <w:highlight w:val="none"/>
                <w:lang w:val="en-US" w:eastAsia="zh-CN"/>
              </w:rPr>
              <w:t>包括综合楼、厂区道路、除重点及一般防渗区以外的区域，防渗技术要求为一般地面硬化。</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（3）防控措施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重点防渗区：</w:t>
            </w:r>
            <w:r>
              <w:rPr>
                <w:rFonts w:hint="default" w:ascii="Times New Roman" w:hAnsi="Times New Roman" w:cs="Times New Roman"/>
                <w:b w:val="0"/>
                <w:bCs w:val="0"/>
                <w:color w:val="auto"/>
                <w:sz w:val="24"/>
                <w:szCs w:val="24"/>
                <w:highlight w:val="none"/>
                <w:lang w:val="en-US" w:eastAsia="zh-CN"/>
              </w:rPr>
              <w:t>加氯间、原料储备间</w:t>
            </w:r>
            <w:r>
              <w:rPr>
                <w:rFonts w:hint="default" w:ascii="Times New Roman" w:hAnsi="Times New Roman" w:cs="Times New Roman"/>
                <w:color w:val="auto"/>
                <w:sz w:val="24"/>
                <w:szCs w:val="24"/>
                <w:highlight w:val="none"/>
                <w:lang w:val="en-US" w:eastAsia="zh-CN"/>
              </w:rPr>
              <w:t>采取防渗混凝土+2mm厚HDPE防渗层进行防渗、防腐处理，确保防渗性能与6m厚黏土防渗层等效，防渗系数K≤1×10</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cs="Times New Roman"/>
                <w:color w:val="auto"/>
                <w:sz w:val="24"/>
                <w:szCs w:val="24"/>
                <w:highlight w:val="none"/>
                <w:lang w:val="en-US" w:eastAsia="zh-CN"/>
              </w:rPr>
              <w:t>cm/s。同时，复合氯酸钠储罐和复合硫酸钠储罐设置1.5m围堰，并设置泄露收集沟和泄露收集坑（0.125m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×2）。</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一般防渗区：</w:t>
            </w:r>
            <w:r>
              <w:rPr>
                <w:rFonts w:hint="default" w:ascii="Times New Roman" w:hAnsi="Times New Roman" w:cs="Times New Roman"/>
                <w:color w:val="auto"/>
                <w:sz w:val="24"/>
                <w:szCs w:val="24"/>
                <w:highlight w:val="none"/>
                <w:lang w:val="en-US" w:eastAsia="zh-CN"/>
              </w:rPr>
              <w:t>采取25cmC30防渗混凝土，确保防渗性能与1.5m厚黏土防渗层等效，防渗系数K≤1×10</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cs="Times New Roman"/>
                <w:color w:val="auto"/>
                <w:sz w:val="24"/>
                <w:szCs w:val="24"/>
                <w:highlight w:val="none"/>
                <w:lang w:val="en-US" w:eastAsia="zh-CN"/>
              </w:rPr>
              <w:t>cm/s。</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简单防渗区：</w:t>
            </w:r>
            <w:r>
              <w:rPr>
                <w:rFonts w:hint="default" w:ascii="Times New Roman" w:hAnsi="Times New Roman" w:cs="Times New Roman"/>
                <w:color w:val="auto"/>
                <w:sz w:val="24"/>
                <w:szCs w:val="24"/>
                <w:highlight w:val="none"/>
                <w:lang w:val="en-US" w:eastAsia="zh-CN"/>
              </w:rPr>
              <w:t>采用混凝土硬化。</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在严格执行以上污染预防措施的基础上，项目建设不会对地下水及土壤产生影响。</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6、环境风险</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环境风险评价的目的是分析和预测建设项目存在的潜在危险、有害因素，建设项目建设和运行期间可能发生的突发事件或事故（一般不包括人为破坏及自然灾害），引起有毒有害、易燃易爆等物质泄露，或突发事件产生的新的有毒有害物质，所造成的对人身安全与环境的影响和损害程度，提出合理可行的防范、应急与减缓措施，以使建设项目事故率、损失和环境影响达到可接受水平。</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（1）风险调查</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按照《建设项目环境风险评价技术导则》（HJ169-2018）的要求，对照附录B，根据项目原辅材料，本项目主要涉及的危险物质为利用复合氯酸钠及复合硫酸钠制取的二氧化氯等。其危险特性、贮存情况见下表：</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表4-1</w:t>
            </w:r>
            <w:r>
              <w:rPr>
                <w:rFonts w:hint="eastAsia" w:ascii="Times New Roman" w:hAnsi="Times New Roman" w:eastAsia="黑体" w:cs="Times New Roman"/>
                <w:b w:val="0"/>
                <w:bCs/>
                <w:color w:val="auto"/>
                <w:kern w:val="2"/>
                <w:sz w:val="21"/>
                <w:szCs w:val="21"/>
                <w:highlight w:val="none"/>
                <w:lang w:val="en-US" w:eastAsia="zh-CN" w:bidi="ar-SA"/>
              </w:rPr>
              <w:t xml:space="preserve">5 </w:t>
            </w:r>
            <w:r>
              <w:rPr>
                <w:rFonts w:hint="default" w:ascii="Times New Roman" w:hAnsi="Times New Roman" w:eastAsia="黑体" w:cs="Times New Roman"/>
                <w:b w:val="0"/>
                <w:bCs/>
                <w:color w:val="auto"/>
                <w:kern w:val="2"/>
                <w:sz w:val="21"/>
                <w:szCs w:val="21"/>
                <w:highlight w:val="none"/>
                <w:lang w:val="en-US" w:eastAsia="zh-CN" w:bidi="ar-SA"/>
              </w:rPr>
              <w:t>主要危险物质储存及危险特性</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460"/>
              <w:gridCol w:w="1267"/>
              <w:gridCol w:w="1895"/>
              <w:gridCol w:w="1540"/>
              <w:gridCol w:w="1132"/>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7" w:hRule="atLeast"/>
                <w:jc w:val="center"/>
              </w:trPr>
              <w:tc>
                <w:tcPr>
                  <w:tcW w:w="84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化学品名称</w:t>
                  </w:r>
                </w:p>
              </w:tc>
              <w:tc>
                <w:tcPr>
                  <w:tcW w:w="72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CAS号</w:t>
                  </w:r>
                </w:p>
              </w:tc>
              <w:tc>
                <w:tcPr>
                  <w:tcW w:w="109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危险特性</w:t>
                  </w:r>
                </w:p>
              </w:tc>
              <w:tc>
                <w:tcPr>
                  <w:tcW w:w="88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最大储存量（t）</w:t>
                  </w:r>
                </w:p>
              </w:tc>
              <w:tc>
                <w:tcPr>
                  <w:tcW w:w="65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临界量（t）</w:t>
                  </w:r>
                </w:p>
              </w:tc>
              <w:tc>
                <w:tcPr>
                  <w:tcW w:w="80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复合氯酸钠</w:t>
                  </w:r>
                </w:p>
              </w:tc>
              <w:tc>
                <w:tcPr>
                  <w:tcW w:w="72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7775-09-9</w:t>
                  </w:r>
                </w:p>
              </w:tc>
              <w:tc>
                <w:tcPr>
                  <w:tcW w:w="109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强氧化性</w:t>
                  </w:r>
                </w:p>
              </w:tc>
              <w:tc>
                <w:tcPr>
                  <w:tcW w:w="886" w:type="pct"/>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4.48（3.5m</w:t>
                  </w:r>
                  <w:r>
                    <w:rPr>
                      <w:rFonts w:hint="default" w:ascii="Times New Roman" w:hAnsi="Times New Roman" w:eastAsia="宋体" w:cs="Times New Roman"/>
                      <w:bCs/>
                      <w:color w:val="auto"/>
                      <w:kern w:val="2"/>
                      <w:sz w:val="21"/>
                      <w:szCs w:val="21"/>
                      <w:highlight w:val="none"/>
                      <w:vertAlign w:val="superscript"/>
                      <w:lang w:val="en-US" w:eastAsia="zh-CN" w:bidi="ar-SA"/>
                    </w:rPr>
                    <w:t>3</w:t>
                  </w:r>
                  <w:r>
                    <w:rPr>
                      <w:rFonts w:hint="default" w:ascii="Times New Roman" w:hAnsi="Times New Roman" w:eastAsia="宋体" w:cs="Times New Roman"/>
                      <w:bCs/>
                      <w:color w:val="auto"/>
                      <w:kern w:val="2"/>
                      <w:sz w:val="21"/>
                      <w:szCs w:val="21"/>
                      <w:highlight w:val="none"/>
                      <w:lang w:val="en-US" w:eastAsia="zh-CN" w:bidi="ar-SA"/>
                    </w:rPr>
                    <w:t>）</w:t>
                  </w:r>
                </w:p>
              </w:tc>
              <w:tc>
                <w:tcPr>
                  <w:tcW w:w="65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c>
                <w:tcPr>
                  <w:tcW w:w="80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原料储备间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复合硫酸钠</w:t>
                  </w:r>
                </w:p>
              </w:tc>
              <w:tc>
                <w:tcPr>
                  <w:tcW w:w="72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7681-38-1</w:t>
                  </w:r>
                </w:p>
              </w:tc>
              <w:tc>
                <w:tcPr>
                  <w:tcW w:w="109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强酸性</w:t>
                  </w:r>
                </w:p>
              </w:tc>
              <w:tc>
                <w:tcPr>
                  <w:tcW w:w="886" w:type="pct"/>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7.5</w:t>
                  </w:r>
                  <w:r>
                    <w:rPr>
                      <w:rFonts w:hint="default" w:ascii="Times New Roman" w:hAnsi="Times New Roman" w:eastAsia="宋体" w:cs="Times New Roman"/>
                      <w:bCs/>
                      <w:color w:val="auto"/>
                      <w:kern w:val="2"/>
                      <w:sz w:val="21"/>
                      <w:szCs w:val="21"/>
                      <w:highlight w:val="none"/>
                      <w:lang w:val="en-US" w:eastAsia="zh-CN" w:bidi="ar-SA"/>
                    </w:rPr>
                    <w:t>（5m</w:t>
                  </w:r>
                  <w:r>
                    <w:rPr>
                      <w:rFonts w:hint="default" w:ascii="Times New Roman" w:hAnsi="Times New Roman" w:eastAsia="宋体" w:cs="Times New Roman"/>
                      <w:bCs/>
                      <w:color w:val="auto"/>
                      <w:kern w:val="2"/>
                      <w:sz w:val="21"/>
                      <w:szCs w:val="21"/>
                      <w:highlight w:val="none"/>
                      <w:vertAlign w:val="superscript"/>
                      <w:lang w:val="en-US" w:eastAsia="zh-CN" w:bidi="ar-SA"/>
                    </w:rPr>
                    <w:t>3</w:t>
                  </w:r>
                  <w:r>
                    <w:rPr>
                      <w:rFonts w:hint="default" w:ascii="Times New Roman" w:hAnsi="Times New Roman" w:eastAsia="宋体" w:cs="Times New Roman"/>
                      <w:bCs/>
                      <w:color w:val="auto"/>
                      <w:kern w:val="2"/>
                      <w:sz w:val="21"/>
                      <w:szCs w:val="21"/>
                      <w:highlight w:val="none"/>
                      <w:lang w:val="en-US" w:eastAsia="zh-CN" w:bidi="ar-SA"/>
                    </w:rPr>
                    <w:t>）</w:t>
                  </w:r>
                </w:p>
              </w:tc>
              <w:tc>
                <w:tcPr>
                  <w:tcW w:w="65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c>
                <w:tcPr>
                  <w:tcW w:w="80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原料储备间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二氧化氯</w:t>
                  </w:r>
                </w:p>
              </w:tc>
              <w:tc>
                <w:tcPr>
                  <w:tcW w:w="72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10049-04-4</w:t>
                  </w:r>
                </w:p>
              </w:tc>
              <w:tc>
                <w:tcPr>
                  <w:tcW w:w="109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强氧化性、腐蚀性</w:t>
                  </w:r>
                </w:p>
              </w:tc>
              <w:tc>
                <w:tcPr>
                  <w:tcW w:w="88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0.0002</w:t>
                  </w:r>
                </w:p>
              </w:tc>
              <w:tc>
                <w:tcPr>
                  <w:tcW w:w="65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w:t>
                  </w:r>
                </w:p>
              </w:tc>
              <w:tc>
                <w:tcPr>
                  <w:tcW w:w="80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加氯间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000" w:type="pct"/>
                  <w:gridSpan w:val="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注：复合氯酸钠密度（20℃）1.28</w:t>
                  </w:r>
                  <w:r>
                    <w:rPr>
                      <w:rFonts w:hint="default" w:ascii="Times New Roman" w:hAnsi="Times New Roman" w:cs="Times New Roman"/>
                      <w:color w:val="auto"/>
                      <w:sz w:val="24"/>
                      <w:szCs w:val="24"/>
                      <w:highlight w:val="none"/>
                      <w:vertAlign w:val="baseline"/>
                      <w:lang w:val="en-US" w:eastAsia="zh-CN"/>
                    </w:rPr>
                    <w:t>g/ml</w:t>
                  </w:r>
                  <w:r>
                    <w:rPr>
                      <w:rFonts w:hint="default" w:ascii="Times New Roman" w:hAnsi="Times New Roman" w:cs="Times New Roman"/>
                      <w:color w:val="auto"/>
                      <w:sz w:val="21"/>
                      <w:szCs w:val="21"/>
                      <w:highlight w:val="none"/>
                      <w:lang w:val="en-US" w:eastAsia="zh-CN"/>
                    </w:rPr>
                    <w:t>；复合硫酸钠相对密度1.50g/ml</w:t>
                  </w:r>
                </w:p>
              </w:tc>
            </w:tr>
          </w:tbl>
          <w:p>
            <w:pPr>
              <w:keepNext w:val="0"/>
              <w:keepLines w:val="0"/>
              <w:pageBreakBefore w:val="0"/>
              <w:widowControl w:val="0"/>
              <w:tabs>
                <w:tab w:val="left" w:pos="1260"/>
              </w:tabs>
              <w:kinsoku/>
              <w:wordWrap/>
              <w:overflowPunct/>
              <w:topLinePunct w:val="0"/>
              <w:autoSpaceDE/>
              <w:autoSpaceDN/>
              <w:bidi w:val="0"/>
              <w:adjustRightInd w:val="0"/>
              <w:snapToGrid/>
              <w:spacing w:line="240" w:lineRule="auto"/>
              <w:ind w:left="0" w:leftChars="0" w:firstLine="422" w:firstLineChars="200"/>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color w:val="auto"/>
                <w:sz w:val="21"/>
                <w:szCs w:val="21"/>
                <w:highlight w:val="none"/>
                <w:lang w:val="en-US" w:eastAsia="zh-CN"/>
              </w:rPr>
              <w:t>备注：项目使用</w:t>
            </w:r>
            <w:r>
              <w:rPr>
                <w:rFonts w:hint="default" w:ascii="Times New Roman" w:hAnsi="Times New Roman" w:cs="Times New Roman"/>
                <w:b/>
                <w:color w:val="auto"/>
                <w:sz w:val="21"/>
                <w:szCs w:val="21"/>
                <w:highlight w:val="none"/>
              </w:rPr>
              <w:t>二氧化氯</w:t>
            </w:r>
            <w:r>
              <w:rPr>
                <w:rFonts w:hint="default" w:ascii="Times New Roman" w:hAnsi="Times New Roman" w:cs="Times New Roman"/>
                <w:b/>
                <w:color w:val="auto"/>
                <w:sz w:val="21"/>
                <w:szCs w:val="21"/>
                <w:highlight w:val="none"/>
                <w:lang w:val="en-US" w:eastAsia="zh-CN"/>
              </w:rPr>
              <w:t>做消毒剂，二氧化氯由</w:t>
            </w:r>
            <w:r>
              <w:rPr>
                <w:rFonts w:hint="default" w:ascii="Times New Roman" w:hAnsi="Times New Roman" w:cs="Times New Roman"/>
                <w:b/>
                <w:color w:val="auto"/>
                <w:sz w:val="21"/>
                <w:szCs w:val="21"/>
                <w:highlight w:val="none"/>
              </w:rPr>
              <w:t>复合氯酸钠及复合硫酸钠制取产生，不在厂区储存</w:t>
            </w:r>
            <w:r>
              <w:rPr>
                <w:rFonts w:hint="default" w:ascii="Times New Roman" w:hAnsi="Times New Roman" w:cs="Times New Roman"/>
                <w:b/>
                <w:color w:val="auto"/>
                <w:sz w:val="21"/>
                <w:szCs w:val="21"/>
                <w:highlight w:val="none"/>
                <w:lang w:val="en-US" w:eastAsia="zh-CN"/>
              </w:rPr>
              <w:t>，仅二氧化氯发生器中存有少量（200g/h）</w:t>
            </w:r>
            <w:r>
              <w:rPr>
                <w:rFonts w:hint="default" w:ascii="Times New Roman" w:hAnsi="Times New Roman" w:cs="Times New Roman"/>
                <w:b/>
                <w:color w:val="auto"/>
                <w:sz w:val="21"/>
                <w:szCs w:val="21"/>
                <w:highlight w:val="none"/>
                <w:lang w:eastAsia="zh-CN"/>
              </w:rPr>
              <w:t>。</w:t>
            </w:r>
          </w:p>
          <w:p>
            <w:pPr>
              <w:keepNext w:val="0"/>
              <w:keepLines w:val="0"/>
              <w:pageBreakBefore w:val="0"/>
              <w:kinsoku/>
              <w:wordWrap/>
              <w:topLinePunct w:val="0"/>
              <w:bidi w:val="0"/>
              <w:spacing w:line="360" w:lineRule="auto"/>
              <w:ind w:left="0" w:leftChars="0" w:firstLine="361" w:firstLineChars="150"/>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（2）风险潜势初判</w:t>
            </w:r>
          </w:p>
          <w:p>
            <w:pPr>
              <w:keepNext w:val="0"/>
              <w:keepLines w:val="0"/>
              <w:pageBreakBefore w:val="0"/>
              <w:kinsoku/>
              <w:wordWrap/>
              <w:topLinePunct w:val="0"/>
              <w:bidi w:val="0"/>
              <w:spacing w:line="360" w:lineRule="auto"/>
              <w:ind w:left="0" w:lef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建设项目环境风险潜势划分为I、</w:t>
            </w:r>
            <w:r>
              <w:rPr>
                <w:rFonts w:hint="default" w:ascii="Times New Roman" w:hAnsi="Times New Roman" w:cs="Times New Roman"/>
                <w:color w:val="auto"/>
                <w:sz w:val="24"/>
                <w:szCs w:val="24"/>
                <w:highlight w:val="none"/>
                <w:lang w:eastAsia="zh-CN"/>
              </w:rPr>
              <w:t>Ⅱ</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Ⅲ</w:t>
            </w:r>
            <w:r>
              <w:rPr>
                <w:rFonts w:hint="default" w:ascii="Times New Roman" w:hAnsi="Times New Roman" w:cs="Times New Roman"/>
                <w:color w:val="auto"/>
                <w:sz w:val="24"/>
                <w:szCs w:val="24"/>
                <w:highlight w:val="none"/>
              </w:rPr>
              <w:t>、IV/IV</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rPr>
              <w:t>级，主要根据建设项目涉及的物质和工艺系统的危险性及其所在地的环境敏感程度，结合事故情形下环境影响途径，按照《建设项目环境风险评价技术导则》（HJ169-2018）表2进行确定，其中：危险物质数量与临界量比值（</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rPr>
              <w:t>）为每种危险物质在厂界内的最大存在总量与其在HJ169-2018附录B中对应临界量的比值，即：</w:t>
            </w:r>
          </w:p>
          <w:p>
            <w:pPr>
              <w:keepNext w:val="0"/>
              <w:keepLines w:val="0"/>
              <w:pageBreakBefore w:val="0"/>
              <w:kinsoku/>
              <w:wordWrap/>
              <w:topLinePunct w:val="0"/>
              <w:bidi w:val="0"/>
              <w:spacing w:line="360" w:lineRule="auto"/>
              <w:ind w:left="0" w:left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position w:val="-30"/>
                <w:sz w:val="24"/>
                <w:szCs w:val="24"/>
                <w:highlight w:val="none"/>
              </w:rPr>
              <w:object>
                <v:shape id="_x0000_i1030" o:spt="75" type="#_x0000_t75" style="height:28.5pt;width:79.5pt;" o:ole="t" filled="f" o:preferrelative="t" stroked="f" coordsize="21600,21600">
                  <v:path/>
                  <v:fill on="f" focussize="0,0"/>
                  <v:stroke on="f" joinstyle="miter"/>
                  <v:imagedata r:id="rId26" o:title=""/>
                  <o:lock v:ext="edit" aspectratio="t"/>
                  <w10:wrap type="none"/>
                  <w10:anchorlock/>
                </v:shape>
                <o:OLEObject Type="Embed" ProgID="Equation.DSMT4" ShapeID="_x0000_i1030" DrawAspect="Content" ObjectID="_1468075730" r:id="rId25">
                  <o:LockedField>false</o:LockedField>
                </o:OLEObject>
              </w:object>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i/>
                <w:color w:val="auto"/>
                <w:sz w:val="24"/>
                <w:szCs w:val="24"/>
                <w:highlight w:val="none"/>
              </w:rPr>
            </w:pPr>
            <w:r>
              <w:rPr>
                <w:rFonts w:hint="default" w:ascii="Times New Roman" w:hAnsi="Times New Roman" w:cs="Times New Roman"/>
                <w:color w:val="auto"/>
                <w:sz w:val="24"/>
                <w:szCs w:val="24"/>
                <w:highlight w:val="none"/>
              </w:rPr>
              <w:t>式中：</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rPr>
              <w:t>，</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w:t>
            </w:r>
            <w:r>
              <w:rPr>
                <w:rFonts w:hint="default" w:ascii="Times New Roman" w:hAnsi="Times New Roman" w:cs="Times New Roman"/>
                <w:i/>
                <w:color w:val="auto"/>
                <w:sz w:val="24"/>
                <w:szCs w:val="24"/>
                <w:highlight w:val="none"/>
              </w:rPr>
              <w:t>q</w:t>
            </w:r>
            <w:r>
              <w:rPr>
                <w:rFonts w:hint="default" w:ascii="Times New Roman" w:hAnsi="Times New Roman" w:cs="Times New Roman"/>
                <w:i/>
                <w:color w:val="auto"/>
                <w:sz w:val="24"/>
                <w:szCs w:val="24"/>
                <w:highlight w:val="none"/>
                <w:vertAlign w:val="subscript"/>
              </w:rPr>
              <w:t>n</w:t>
            </w:r>
            <w:r>
              <w:rPr>
                <w:rFonts w:hint="default" w:ascii="Times New Roman" w:hAnsi="Times New Roman" w:cs="Times New Roman"/>
                <w:color w:val="auto"/>
                <w:sz w:val="24"/>
                <w:szCs w:val="24"/>
                <w:highlight w:val="none"/>
              </w:rPr>
              <w:t>——每种危险物质的最大存在总量，t；</w:t>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rPr>
              <w:t>，</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w:t>
            </w:r>
            <w:r>
              <w:rPr>
                <w:rFonts w:hint="default" w:ascii="Times New Roman" w:hAnsi="Times New Roman" w:cs="Times New Roman"/>
                <w:i/>
                <w:color w:val="auto"/>
                <w:sz w:val="24"/>
                <w:szCs w:val="24"/>
                <w:highlight w:val="none"/>
              </w:rPr>
              <w:t>Q</w:t>
            </w:r>
            <w:r>
              <w:rPr>
                <w:rFonts w:hint="default" w:ascii="Times New Roman" w:hAnsi="Times New Roman" w:cs="Times New Roman"/>
                <w:i/>
                <w:color w:val="auto"/>
                <w:sz w:val="24"/>
                <w:szCs w:val="24"/>
                <w:highlight w:val="none"/>
                <w:vertAlign w:val="subscript"/>
              </w:rPr>
              <w:t>n</w:t>
            </w:r>
            <w:r>
              <w:rPr>
                <w:rFonts w:hint="default" w:ascii="Times New Roman" w:hAnsi="Times New Roman" w:cs="Times New Roman"/>
                <w:color w:val="auto"/>
                <w:sz w:val="24"/>
                <w:szCs w:val="24"/>
                <w:highlight w:val="none"/>
              </w:rPr>
              <w:t>——每种危险物质的临界量，t。</w:t>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当</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rPr>
              <w:t>&lt;1时，该项目环境风险潜势为I；当</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rPr>
              <w:t>≥1时，将</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rPr>
              <w:t>值划分为：a.1≤</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rPr>
              <w:t>&lt;10；b.10≤</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rPr>
              <w:t>&lt;100；c.</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rPr>
              <w:t>≥100。</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根据计算，本项目危险物质数量与临界量比值见表4-</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w:t>
            </w:r>
          </w:p>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b/>
                <w:bCs/>
                <w:color w:val="auto"/>
                <w:szCs w:val="21"/>
                <w:highlight w:val="none"/>
              </w:rPr>
            </w:pPr>
            <w:r>
              <w:rPr>
                <w:rFonts w:hint="default" w:ascii="Times New Roman" w:hAnsi="Times New Roman" w:eastAsia="黑体" w:cs="Times New Roman"/>
                <w:b w:val="0"/>
                <w:bCs/>
                <w:color w:val="auto"/>
                <w:kern w:val="2"/>
                <w:sz w:val="21"/>
                <w:szCs w:val="21"/>
                <w:highlight w:val="none"/>
                <w:lang w:val="en-US" w:eastAsia="zh-CN" w:bidi="ar-SA"/>
              </w:rPr>
              <w:t>表4-1</w:t>
            </w:r>
            <w:r>
              <w:rPr>
                <w:rFonts w:hint="eastAsia" w:ascii="Times New Roman" w:hAnsi="Times New Roman" w:eastAsia="黑体" w:cs="Times New Roman"/>
                <w:b w:val="0"/>
                <w:bCs/>
                <w:color w:val="auto"/>
                <w:kern w:val="2"/>
                <w:sz w:val="21"/>
                <w:szCs w:val="21"/>
                <w:highlight w:val="none"/>
                <w:lang w:val="en-US" w:eastAsia="zh-CN" w:bidi="ar-SA"/>
              </w:rPr>
              <w:t xml:space="preserve">6 </w:t>
            </w:r>
            <w:r>
              <w:rPr>
                <w:rFonts w:hint="default" w:ascii="Times New Roman" w:hAnsi="Times New Roman" w:eastAsia="黑体" w:cs="Times New Roman"/>
                <w:b w:val="0"/>
                <w:bCs/>
                <w:color w:val="auto"/>
                <w:kern w:val="2"/>
                <w:sz w:val="21"/>
                <w:szCs w:val="21"/>
                <w:highlight w:val="none"/>
                <w:lang w:val="en-US" w:eastAsia="zh-CN" w:bidi="ar-SA"/>
              </w:rPr>
              <w:t>危险物质数量与临界量比值表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2261"/>
              <w:gridCol w:w="1872"/>
              <w:gridCol w:w="1983"/>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3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危险物质</w:t>
                  </w:r>
                </w:p>
              </w:tc>
              <w:tc>
                <w:tcPr>
                  <w:tcW w:w="107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储存量（</w:t>
                  </w:r>
                  <w:r>
                    <w:rPr>
                      <w:rFonts w:hint="default" w:ascii="Times New Roman" w:hAnsi="Times New Roman" w:cs="Times New Roman"/>
                      <w:b/>
                      <w:bCs/>
                      <w:i/>
                      <w:color w:val="auto"/>
                      <w:sz w:val="21"/>
                      <w:szCs w:val="21"/>
                      <w:highlight w:val="none"/>
                    </w:rPr>
                    <w:t>q</w:t>
                  </w:r>
                  <w:r>
                    <w:rPr>
                      <w:rFonts w:hint="default" w:ascii="Times New Roman" w:hAnsi="Times New Roman" w:cs="Times New Roman"/>
                      <w:b/>
                      <w:bCs/>
                      <w:color w:val="auto"/>
                      <w:sz w:val="21"/>
                      <w:szCs w:val="21"/>
                      <w:highlight w:val="none"/>
                    </w:rPr>
                    <w:t>）</w:t>
                  </w:r>
                </w:p>
              </w:tc>
              <w:tc>
                <w:tcPr>
                  <w:tcW w:w="113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临界量（</w:t>
                  </w:r>
                  <w:r>
                    <w:rPr>
                      <w:rFonts w:hint="default" w:ascii="Times New Roman" w:hAnsi="Times New Roman" w:cs="Times New Roman"/>
                      <w:b/>
                      <w:bCs/>
                      <w:i/>
                      <w:color w:val="auto"/>
                      <w:sz w:val="21"/>
                      <w:szCs w:val="21"/>
                      <w:highlight w:val="none"/>
                    </w:rPr>
                    <w:t>Q</w:t>
                  </w:r>
                  <w:r>
                    <w:rPr>
                      <w:rFonts w:hint="default" w:ascii="Times New Roman" w:hAnsi="Times New Roman" w:cs="Times New Roman"/>
                      <w:b/>
                      <w:bCs/>
                      <w:color w:val="auto"/>
                      <w:sz w:val="21"/>
                      <w:szCs w:val="21"/>
                      <w:highlight w:val="none"/>
                    </w:rPr>
                    <w:t>）</w:t>
                  </w:r>
                </w:p>
              </w:tc>
              <w:tc>
                <w:tcPr>
                  <w:tcW w:w="95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比值（</w:t>
                  </w:r>
                  <w:r>
                    <w:rPr>
                      <w:rFonts w:hint="default" w:ascii="Times New Roman" w:hAnsi="Times New Roman" w:cs="Times New Roman"/>
                      <w:b/>
                      <w:bCs/>
                      <w:i/>
                      <w:color w:val="auto"/>
                      <w:sz w:val="21"/>
                      <w:szCs w:val="21"/>
                      <w:highlight w:val="none"/>
                    </w:rPr>
                    <w:t>Q</w:t>
                  </w:r>
                  <w:r>
                    <w:rPr>
                      <w:rFonts w:hint="default" w:ascii="Times New Roman" w:hAnsi="Times New Roman" w:cs="Times New Roman"/>
                      <w:b/>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30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复合氯酸钠</w:t>
                  </w:r>
                </w:p>
              </w:tc>
              <w:tc>
                <w:tcPr>
                  <w:tcW w:w="10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4.48</w:t>
                  </w:r>
                </w:p>
              </w:tc>
              <w:tc>
                <w:tcPr>
                  <w:tcW w:w="11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c>
                <w:tcPr>
                  <w:tcW w:w="95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30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复合硫酸钠</w:t>
                  </w:r>
                </w:p>
              </w:tc>
              <w:tc>
                <w:tcPr>
                  <w:tcW w:w="10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7.5</w:t>
                  </w:r>
                </w:p>
              </w:tc>
              <w:tc>
                <w:tcPr>
                  <w:tcW w:w="11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c>
                <w:tcPr>
                  <w:tcW w:w="95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130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二氧化氯</w:t>
                  </w:r>
                </w:p>
              </w:tc>
              <w:tc>
                <w:tcPr>
                  <w:tcW w:w="107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0.0002</w:t>
                  </w:r>
                </w:p>
              </w:tc>
              <w:tc>
                <w:tcPr>
                  <w:tcW w:w="11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w:t>
                  </w:r>
                </w:p>
              </w:tc>
              <w:tc>
                <w:tcPr>
                  <w:tcW w:w="95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3" w:type="pct"/>
                  <w:gridSpan w:val="4"/>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合计</w:t>
                  </w:r>
                </w:p>
              </w:tc>
              <w:tc>
                <w:tcPr>
                  <w:tcW w:w="956" w:type="pct"/>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1202</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由上表可知，本项目危险物质数量与临界量比值（Q）小于1，环境风险潜势为I。</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（3）评价等级</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根据建设项目涉及的物质及工艺系统危险性和所在地的环境敏感性确定环境风险潜势，按照表4-1</w:t>
            </w: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确定评价工作等级。</w:t>
            </w:r>
          </w:p>
          <w:p>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表4-1</w:t>
            </w:r>
            <w:r>
              <w:rPr>
                <w:rFonts w:hint="eastAsia" w:ascii="Times New Roman" w:hAnsi="Times New Roman" w:eastAsia="黑体" w:cs="Times New Roman"/>
                <w:b w:val="0"/>
                <w:bCs/>
                <w:color w:val="auto"/>
                <w:kern w:val="2"/>
                <w:sz w:val="21"/>
                <w:szCs w:val="21"/>
                <w:highlight w:val="none"/>
                <w:lang w:val="en-US" w:eastAsia="zh-CN" w:bidi="ar-SA"/>
              </w:rPr>
              <w:t xml:space="preserve">7 </w:t>
            </w:r>
            <w:r>
              <w:rPr>
                <w:rFonts w:hint="default" w:ascii="Times New Roman" w:hAnsi="Times New Roman" w:eastAsia="黑体" w:cs="Times New Roman"/>
                <w:b w:val="0"/>
                <w:bCs/>
                <w:color w:val="auto"/>
                <w:kern w:val="2"/>
                <w:sz w:val="21"/>
                <w:szCs w:val="21"/>
                <w:highlight w:val="none"/>
                <w:lang w:val="en-US" w:eastAsia="zh-CN" w:bidi="ar-SA"/>
              </w:rPr>
              <w:t>环境风险评价工作等级划分</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9"/>
              <w:gridCol w:w="1739"/>
              <w:gridCol w:w="1739"/>
              <w:gridCol w:w="1739"/>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shd w:val="clear" w:color="auto" w:fill="auto"/>
                  <w:vAlign w:val="center"/>
                </w:tcPr>
                <w:p>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环境风险潜势</w:t>
                  </w:r>
                </w:p>
              </w:tc>
              <w:tc>
                <w:tcPr>
                  <w:tcW w:w="1000" w:type="pct"/>
                  <w:tcBorders>
                    <w:tl2br w:val="nil"/>
                    <w:tr2bl w:val="nil"/>
                  </w:tcBorders>
                  <w:shd w:val="clear" w:color="auto" w:fill="auto"/>
                  <w:vAlign w:val="center"/>
                </w:tcPr>
                <w:p>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IV、IV</w:t>
                  </w:r>
                  <w:r>
                    <w:rPr>
                      <w:rFonts w:hint="default" w:ascii="Times New Roman" w:hAnsi="Times New Roman" w:cs="Times New Roman"/>
                      <w:color w:val="auto"/>
                      <w:sz w:val="21"/>
                      <w:szCs w:val="21"/>
                      <w:highlight w:val="none"/>
                      <w:vertAlign w:val="superscript"/>
                    </w:rPr>
                    <w:t>+</w:t>
                  </w:r>
                </w:p>
              </w:tc>
              <w:tc>
                <w:tcPr>
                  <w:tcW w:w="1000" w:type="pct"/>
                  <w:tcBorders>
                    <w:tl2br w:val="nil"/>
                    <w:tr2bl w:val="nil"/>
                  </w:tcBorders>
                  <w:shd w:val="clear" w:color="auto" w:fill="auto"/>
                  <w:vAlign w:val="center"/>
                </w:tcPr>
                <w:p>
                  <w:pPr>
                    <w:keepNext w:val="0"/>
                    <w:keepLines w:val="0"/>
                    <w:pageBreakBefore w:val="0"/>
                    <w:kinsoku/>
                    <w:wordWrap/>
                    <w:topLinePunct w:val="0"/>
                    <w:bidi w:val="0"/>
                    <w:ind w:left="0" w:leftChars="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Ⅲ</w:t>
                  </w:r>
                </w:p>
              </w:tc>
              <w:tc>
                <w:tcPr>
                  <w:tcW w:w="1000" w:type="pct"/>
                  <w:tcBorders>
                    <w:tl2br w:val="nil"/>
                    <w:tr2bl w:val="nil"/>
                  </w:tcBorders>
                  <w:shd w:val="clear" w:color="auto" w:fill="auto"/>
                  <w:vAlign w:val="center"/>
                </w:tcPr>
                <w:p>
                  <w:pPr>
                    <w:keepNext w:val="0"/>
                    <w:keepLines w:val="0"/>
                    <w:pageBreakBefore w:val="0"/>
                    <w:kinsoku/>
                    <w:wordWrap/>
                    <w:topLinePunct w:val="0"/>
                    <w:bidi w:val="0"/>
                    <w:ind w:left="0" w:leftChars="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Ⅱ</w:t>
                  </w:r>
                </w:p>
              </w:tc>
              <w:tc>
                <w:tcPr>
                  <w:tcW w:w="1000" w:type="pct"/>
                  <w:tcBorders>
                    <w:tl2br w:val="nil"/>
                    <w:tr2bl w:val="nil"/>
                  </w:tcBorders>
                  <w:shd w:val="clear" w:color="auto" w:fill="auto"/>
                  <w:vAlign w:val="center"/>
                </w:tcPr>
                <w:p>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shd w:val="clear" w:color="auto" w:fill="auto"/>
                  <w:vAlign w:val="center"/>
                </w:tcPr>
                <w:p>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评价工作等级</w:t>
                  </w:r>
                </w:p>
              </w:tc>
              <w:tc>
                <w:tcPr>
                  <w:tcW w:w="1000" w:type="pct"/>
                  <w:tcBorders>
                    <w:tl2br w:val="nil"/>
                    <w:tr2bl w:val="nil"/>
                  </w:tcBorders>
                  <w:shd w:val="clear" w:color="auto" w:fill="auto"/>
                  <w:vAlign w:val="center"/>
                </w:tcPr>
                <w:p>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w:t>
                  </w:r>
                </w:p>
              </w:tc>
              <w:tc>
                <w:tcPr>
                  <w:tcW w:w="1000" w:type="pct"/>
                  <w:tcBorders>
                    <w:tl2br w:val="nil"/>
                    <w:tr2bl w:val="nil"/>
                  </w:tcBorders>
                  <w:shd w:val="clear" w:color="auto" w:fill="auto"/>
                  <w:vAlign w:val="center"/>
                </w:tcPr>
                <w:p>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w:t>
                  </w:r>
                </w:p>
              </w:tc>
              <w:tc>
                <w:tcPr>
                  <w:tcW w:w="1000" w:type="pct"/>
                  <w:tcBorders>
                    <w:tl2br w:val="nil"/>
                    <w:tr2bl w:val="nil"/>
                  </w:tcBorders>
                  <w:shd w:val="clear" w:color="auto" w:fill="auto"/>
                  <w:vAlign w:val="center"/>
                </w:tcPr>
                <w:p>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w:t>
                  </w:r>
                </w:p>
              </w:tc>
              <w:tc>
                <w:tcPr>
                  <w:tcW w:w="1000" w:type="pct"/>
                  <w:tcBorders>
                    <w:tl2br w:val="nil"/>
                    <w:tr2bl w:val="nil"/>
                  </w:tcBorders>
                  <w:shd w:val="clear" w:color="auto" w:fill="auto"/>
                  <w:vAlign w:val="center"/>
                </w:tcPr>
                <w:p>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简单分析</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本项目环境风险潜势为I，根据上述判定依据，确定本次环评仅开展简单分析。</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（4）环境风险识别</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1）物质识别内容</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项目主要风险物质理化性质、燃烧爆炸性、危险特性、毒理毒性如下：</w:t>
            </w:r>
          </w:p>
          <w:p>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w:t>
            </w:r>
            <w:r>
              <w:rPr>
                <w:rFonts w:hint="eastAsia" w:ascii="Times New Roman" w:hAnsi="Times New Roman" w:eastAsia="黑体" w:cs="Times New Roman"/>
                <w:b w:val="0"/>
                <w:bCs/>
                <w:color w:val="auto"/>
                <w:kern w:val="2"/>
                <w:sz w:val="21"/>
                <w:szCs w:val="21"/>
                <w:highlight w:val="none"/>
                <w:lang w:val="en-US" w:eastAsia="zh-CN" w:bidi="ar-SA"/>
              </w:rPr>
              <w:t xml:space="preserve">18 </w:t>
            </w:r>
            <w:r>
              <w:rPr>
                <w:rFonts w:hint="default" w:ascii="Times New Roman" w:hAnsi="Times New Roman" w:eastAsia="黑体" w:cs="Times New Roman"/>
                <w:b w:val="0"/>
                <w:bCs/>
                <w:color w:val="auto"/>
                <w:kern w:val="2"/>
                <w:sz w:val="21"/>
                <w:szCs w:val="21"/>
                <w:highlight w:val="none"/>
                <w:lang w:val="en-US" w:eastAsia="zh-CN" w:bidi="ar-SA"/>
              </w:rPr>
              <w:t>主要风险物质理化性质、燃烧爆炸性、危险特性、毒理毒性表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08"/>
              <w:gridCol w:w="942"/>
              <w:gridCol w:w="3627"/>
              <w:gridCol w:w="2213"/>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07"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名称</w:t>
                  </w:r>
                </w:p>
              </w:tc>
              <w:tc>
                <w:tcPr>
                  <w:tcW w:w="542"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分子式</w:t>
                  </w:r>
                </w:p>
              </w:tc>
              <w:tc>
                <w:tcPr>
                  <w:tcW w:w="2086"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理化性质</w:t>
                  </w:r>
                </w:p>
              </w:tc>
              <w:tc>
                <w:tcPr>
                  <w:tcW w:w="1273"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危险特性</w:t>
                  </w:r>
                </w:p>
              </w:tc>
              <w:tc>
                <w:tcPr>
                  <w:tcW w:w="690"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毒理毒性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7"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氯酸钠</w:t>
                  </w:r>
                </w:p>
              </w:tc>
              <w:tc>
                <w:tcPr>
                  <w:tcW w:w="542"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NaClO</w:t>
                  </w:r>
                  <w:r>
                    <w:rPr>
                      <w:rFonts w:hint="default" w:ascii="Times New Roman" w:hAnsi="Times New Roman" w:cs="Times New Roman" w:eastAsiaTheme="minorEastAsia"/>
                      <w:color w:val="auto"/>
                      <w:sz w:val="21"/>
                      <w:szCs w:val="21"/>
                      <w:highlight w:val="none"/>
                      <w:vertAlign w:val="subscript"/>
                    </w:rPr>
                    <w:t>3</w:t>
                  </w:r>
                </w:p>
              </w:tc>
              <w:tc>
                <w:tcPr>
                  <w:tcW w:w="2086"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常温下为无色结晶或白色颗粒。无气味。约300℃时释放出氧气，较高温度全部分解。</w:t>
                  </w:r>
                </w:p>
              </w:tc>
              <w:tc>
                <w:tcPr>
                  <w:tcW w:w="1273"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有强氧化性。与有机物或还原性物质摩擦或撞击能引起烧或爆炸。</w:t>
                  </w:r>
                </w:p>
              </w:tc>
              <w:tc>
                <w:tcPr>
                  <w:tcW w:w="690"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低毒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7"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硫酸氢钠</w:t>
                  </w:r>
                </w:p>
              </w:tc>
              <w:tc>
                <w:tcPr>
                  <w:tcW w:w="542"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NaHSO</w:t>
                  </w:r>
                  <w:r>
                    <w:rPr>
                      <w:rFonts w:hint="default" w:ascii="Times New Roman" w:hAnsi="Times New Roman" w:cs="Times New Roman" w:eastAsiaTheme="minorEastAsia"/>
                      <w:color w:val="auto"/>
                      <w:sz w:val="21"/>
                      <w:szCs w:val="21"/>
                      <w:highlight w:val="none"/>
                      <w:vertAlign w:val="subscript"/>
                    </w:rPr>
                    <w:t>4</w:t>
                  </w:r>
                </w:p>
              </w:tc>
              <w:tc>
                <w:tcPr>
                  <w:tcW w:w="2086"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无色结晶。无气味。强热时生成焦硫酸钠。被乙醇分解成硫酸钠和游离硫酸。</w:t>
                  </w:r>
                </w:p>
              </w:tc>
              <w:tc>
                <w:tcPr>
                  <w:tcW w:w="1273"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不燃，具腐蚀性、强</w:t>
                  </w:r>
                  <w:r>
                    <w:rPr>
                      <w:rFonts w:hint="default" w:ascii="Times New Roman" w:hAnsi="Times New Roman" w:cs="Times New Roman" w:eastAsiaTheme="minorEastAsia"/>
                      <w:color w:val="auto"/>
                      <w:sz w:val="21"/>
                      <w:szCs w:val="21"/>
                      <w:highlight w:val="none"/>
                      <w:lang w:eastAsia="zh-CN"/>
                    </w:rPr>
                    <w:fldChar w:fldCharType="begin"/>
                  </w:r>
                  <w:r>
                    <w:rPr>
                      <w:rFonts w:hint="default" w:ascii="Times New Roman" w:hAnsi="Times New Roman" w:cs="Times New Roman" w:eastAsiaTheme="minorEastAsia"/>
                      <w:color w:val="auto"/>
                      <w:sz w:val="21"/>
                      <w:szCs w:val="21"/>
                      <w:highlight w:val="none"/>
                      <w:lang w:eastAsia="zh-CN"/>
                    </w:rPr>
                    <w:instrText xml:space="preserve"> HYPERLINK "https://baike.so.com/doc/3105569-3273338.html" \t "https://baike.so.com/doc/_blank" </w:instrText>
                  </w:r>
                  <w:r>
                    <w:rPr>
                      <w:rFonts w:hint="default" w:ascii="Times New Roman" w:hAnsi="Times New Roman" w:cs="Times New Roman" w:eastAsiaTheme="minorEastAsia"/>
                      <w:color w:val="auto"/>
                      <w:sz w:val="21"/>
                      <w:szCs w:val="21"/>
                      <w:highlight w:val="none"/>
                      <w:lang w:eastAsia="zh-CN"/>
                    </w:rPr>
                    <w:fldChar w:fldCharType="separate"/>
                  </w:r>
                  <w:r>
                    <w:rPr>
                      <w:rFonts w:hint="default" w:ascii="Times New Roman" w:hAnsi="Times New Roman" w:cs="Times New Roman" w:eastAsiaTheme="minorEastAsia"/>
                      <w:color w:val="auto"/>
                      <w:sz w:val="21"/>
                      <w:szCs w:val="21"/>
                      <w:highlight w:val="none"/>
                      <w:lang w:eastAsia="zh-CN"/>
                    </w:rPr>
                    <w:t>刺激性</w:t>
                  </w:r>
                  <w:r>
                    <w:rPr>
                      <w:rFonts w:hint="default" w:ascii="Times New Roman" w:hAnsi="Times New Roman" w:cs="Times New Roman" w:eastAsiaTheme="minorEastAsia"/>
                      <w:color w:val="auto"/>
                      <w:sz w:val="21"/>
                      <w:szCs w:val="21"/>
                      <w:highlight w:val="none"/>
                      <w:lang w:eastAsia="zh-CN"/>
                    </w:rPr>
                    <w:fldChar w:fldCharType="end"/>
                  </w:r>
                  <w:r>
                    <w:rPr>
                      <w:rFonts w:hint="default" w:ascii="Times New Roman" w:hAnsi="Times New Roman" w:cs="Times New Roman" w:eastAsiaTheme="minorEastAsia"/>
                      <w:color w:val="auto"/>
                      <w:sz w:val="21"/>
                      <w:szCs w:val="21"/>
                      <w:highlight w:val="none"/>
                      <w:lang w:eastAsia="zh-CN"/>
                    </w:rPr>
                    <w:t>。</w:t>
                  </w:r>
                </w:p>
              </w:tc>
              <w:tc>
                <w:tcPr>
                  <w:tcW w:w="690"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对眼睛、皮肤、粘膜和上呼吸道具强烈刺激作用和腐蚀性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7"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val="en-US" w:eastAsia="zh-CN"/>
                    </w:rPr>
                    <w:t>二氧化氯</w:t>
                  </w:r>
                </w:p>
              </w:tc>
              <w:tc>
                <w:tcPr>
                  <w:tcW w:w="542"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eastAsiaTheme="minorEastAsia"/>
                      <w:color w:val="auto"/>
                      <w:sz w:val="21"/>
                      <w:szCs w:val="21"/>
                      <w:highlight w:val="none"/>
                      <w:vertAlign w:val="subscript"/>
                      <w:lang w:val="en-US" w:eastAsia="zh-CN"/>
                    </w:rPr>
                  </w:pPr>
                  <w:r>
                    <w:rPr>
                      <w:rFonts w:hint="default" w:ascii="Times New Roman" w:hAnsi="Times New Roman" w:cs="Times New Roman" w:eastAsiaTheme="minorEastAsia"/>
                      <w:color w:val="auto"/>
                      <w:sz w:val="21"/>
                      <w:szCs w:val="21"/>
                      <w:highlight w:val="none"/>
                    </w:rPr>
                    <w:t>ClO</w:t>
                  </w:r>
                  <w:r>
                    <w:rPr>
                      <w:rFonts w:hint="default" w:ascii="Times New Roman" w:hAnsi="Times New Roman" w:cs="Times New Roman" w:eastAsiaTheme="minorEastAsia"/>
                      <w:color w:val="auto"/>
                      <w:sz w:val="21"/>
                      <w:szCs w:val="21"/>
                      <w:highlight w:val="none"/>
                      <w:vertAlign w:val="subscript"/>
                      <w:lang w:val="en-US" w:eastAsia="zh-CN"/>
                    </w:rPr>
                    <w:t>2</w:t>
                  </w:r>
                </w:p>
              </w:tc>
              <w:tc>
                <w:tcPr>
                  <w:tcW w:w="2086"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rPr>
                    <w:t>是—种黄绿色到橙黄色的气体，有强烈刺激性臭味</w:t>
                  </w:r>
                  <w:r>
                    <w:rPr>
                      <w:rFonts w:hint="default" w:ascii="Times New Roman" w:hAnsi="Times New Roman" w:cs="Times New Roman"/>
                      <w:color w:val="auto"/>
                      <w:sz w:val="21"/>
                      <w:szCs w:val="21"/>
                      <w:highlight w:val="none"/>
                      <w:lang w:val="en-US" w:eastAsia="zh-CN"/>
                    </w:rPr>
                    <w:t>的</w:t>
                  </w:r>
                  <w:r>
                    <w:rPr>
                      <w:rFonts w:hint="default" w:ascii="Times New Roman" w:hAnsi="Times New Roman" w:cs="Times New Roman"/>
                      <w:color w:val="auto"/>
                      <w:sz w:val="21"/>
                      <w:szCs w:val="21"/>
                      <w:highlight w:val="none"/>
                    </w:rPr>
                    <w:t>气体</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有类似氯气和硝酸的特殊刺激臭味。沸点</w:t>
                  </w:r>
                  <w:r>
                    <w:rPr>
                      <w:rFonts w:hint="default" w:ascii="Times New Roman" w:hAnsi="Times New Roman" w:cs="Times New Roman"/>
                      <w:color w:val="auto"/>
                      <w:sz w:val="21"/>
                      <w:szCs w:val="21"/>
                      <w:highlight w:val="none"/>
                      <w:lang w:val="en-US" w:eastAsia="zh-CN"/>
                    </w:rPr>
                    <w:t>11</w:t>
                  </w:r>
                  <w:r>
                    <w:rPr>
                      <w:rFonts w:hint="default" w:ascii="Times New Roman" w:hAnsi="Times New Roman" w:cs="Times New Roman"/>
                      <w:color w:val="auto"/>
                      <w:sz w:val="21"/>
                      <w:szCs w:val="21"/>
                      <w:highlight w:val="none"/>
                    </w:rPr>
                    <w:t>℃，熔点-</w:t>
                  </w:r>
                  <w:r>
                    <w:rPr>
                      <w:rFonts w:hint="default" w:ascii="Times New Roman" w:hAnsi="Times New Roman" w:cs="Times New Roman"/>
                      <w:color w:val="auto"/>
                      <w:sz w:val="21"/>
                      <w:szCs w:val="21"/>
                      <w:highlight w:val="none"/>
                      <w:lang w:val="en-US" w:eastAsia="zh-CN"/>
                    </w:rPr>
                    <w:t>59.5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常态为气态，固体为橙红色。相对蒸气密度2.3g</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L。遇热水则分解成次氦酸、氯气、氧气，受光也易分解，其溶液于冷暗处相对稳定。</w:t>
                  </w:r>
                </w:p>
              </w:tc>
              <w:tc>
                <w:tcPr>
                  <w:tcW w:w="1273"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具有强氧化性。能与许多化学物质发生爆炸性反应。受热、震动、撞击、摩擦，相当敏感，极易分解发生爆炸。燃烧</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分解</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产物</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氯化氢。</w:t>
                  </w:r>
                  <w:r>
                    <w:rPr>
                      <w:rFonts w:hint="default" w:ascii="Times New Roman" w:hAnsi="Times New Roman" w:cs="Times New Roman" w:eastAsiaTheme="minorEastAsia"/>
                      <w:color w:val="auto"/>
                      <w:sz w:val="21"/>
                      <w:szCs w:val="21"/>
                      <w:highlight w:val="none"/>
                      <w:lang w:val="en-US" w:eastAsia="zh-CN"/>
                    </w:rPr>
                    <w:t>腐蚀性很强。</w:t>
                  </w:r>
                </w:p>
              </w:tc>
              <w:tc>
                <w:tcPr>
                  <w:tcW w:w="690" w:type="pct"/>
                  <w:tcBorders>
                    <w:tl2br w:val="nil"/>
                    <w:tr2bl w:val="nil"/>
                  </w:tcBorders>
                  <w:shd w:val="clear" w:color="auto" w:fill="auto"/>
                  <w:vAlign w:val="center"/>
                </w:tcPr>
                <w:p>
                  <w:pPr>
                    <w:keepNext w:val="0"/>
                    <w:keepLines w:val="0"/>
                    <w:pageBreakBefore w:val="0"/>
                    <w:kinsoku/>
                    <w:wordWrap/>
                    <w:topLinePunct w:val="0"/>
                    <w:bidi w:val="0"/>
                    <w:ind w:left="0" w:leftChars="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lang w:val="en-US" w:eastAsia="zh-CN"/>
                    </w:rPr>
                    <w:t>二氧化氯</w:t>
                  </w:r>
                  <w:r>
                    <w:rPr>
                      <w:rFonts w:hint="default" w:ascii="Times New Roman" w:hAnsi="Times New Roman" w:cs="Times New Roman"/>
                      <w:color w:val="auto"/>
                      <w:sz w:val="21"/>
                      <w:szCs w:val="21"/>
                      <w:highlight w:val="none"/>
                    </w:rPr>
                    <w:t>吸入人体能严重中毒</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2）生产系统危险性识别</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①贮存过程风险识别</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原材料（复合氯酸钠、复合硫酸氢钠等）、危险废物等在贮存过程中会若发生渗漏，随地表径流流至土壤和地表水环境，会污染周边水体及地下水，必须做好加氯间等原料储存区的防渗和渗滤液的收集，防止渗漏的废物进入地下污染环境。</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②生产设备风险识别</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运营期主要风险源于贮存的二氧化氯泄漏，泄漏触发因素主要包括：a.发生器破损导致泄漏；b.自然因素，如地震、雷击等；c.生产人员的安全卫生知识缺乏，违章操作或操作不规范导致的泄漏。</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③运输过程风险识别</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复合氯酸钠、复合硫酸氢钠需经公路进行运输，在装卸、运输可能由于碰撞、震动、挤压等，或因操作不当、重装重卸、容器多次回收利用，强度下降，垫圈失落没有拧紧等原因，造成泄漏，甚至引起污染环境事故。同时在运输途中，由于意外各种原因，可能汽车翻车等，造成复合氯酸钠、复合硫酸氢钠抛至水体，造成较大事故。因此，危险物质在运输过程中存在一定环境风险。</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此外，项目输水管道存在破裂、断裂风险，原因主要有两个方面，一是自然因素，即地震、气候变化等；二是人为因素，即选材、施工、防腐、检修、操作以及管沟的回填土没有按规范要求进行以及后续建设项目施工损坏管道等。</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④水源水质污染风险识别</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为供水工程，水质的优劣直接关系到人群健康和社会稳定，受不可预见的因素影响，水质污染是项目运行期潜在的一种风险。本项目水源来自中河，取水口暂未按照相关要求划定保护区范围，主要污染风险来源于河流水质受污染，以及原水管道破裂，其它污染物进入原水输水管道污染水质。</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（5）环境风险分析</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1）环境风险类型</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根据项目建设特点，运营期环境风险类型主要包括：a.二氧化氯、复合氯酸钠、复合硫酸氢钠、危险废物泄漏引发的环境污染事故；b.一般性火灾事故风险。</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2）危险物质向环境转移的途径识别</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根据物质及生产系统危险性识别结果，结合运营期环境风险类型，分析得出危险物质向环境转移的可能途径如下：</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①二氧化氯发生器、复合氯酸钠储罐、复合硫酸氢钠储罐破损、裂缝造成有害物质泄漏，通过地表径流或雨水管道进入地表水环境，此外还可能通过垂直渗透进入地下水环境或土壤环境。</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②生产过程中因管理不规范、操作不当等造成一般性火灾事故产生次生污染物进入大气环境，在灭火过程中事故消防废水通过地表径流或雨水管道进入地表水环境。</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综上所述，本项目环境风险类型、风险源分布及影响途径见下表：</w:t>
            </w:r>
          </w:p>
          <w:p>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w:t>
            </w:r>
            <w:r>
              <w:rPr>
                <w:rFonts w:hint="eastAsia" w:ascii="Times New Roman" w:hAnsi="Times New Roman" w:eastAsia="黑体" w:cs="Times New Roman"/>
                <w:b w:val="0"/>
                <w:bCs/>
                <w:color w:val="auto"/>
                <w:kern w:val="2"/>
                <w:sz w:val="21"/>
                <w:szCs w:val="21"/>
                <w:highlight w:val="none"/>
                <w:lang w:val="en-US" w:eastAsia="zh-CN" w:bidi="ar-SA"/>
              </w:rPr>
              <w:t xml:space="preserve">19 </w:t>
            </w:r>
            <w:r>
              <w:rPr>
                <w:rFonts w:hint="default" w:ascii="Times New Roman" w:hAnsi="Times New Roman" w:eastAsia="黑体" w:cs="Times New Roman"/>
                <w:b w:val="0"/>
                <w:bCs/>
                <w:color w:val="auto"/>
                <w:kern w:val="2"/>
                <w:sz w:val="21"/>
                <w:szCs w:val="21"/>
                <w:highlight w:val="none"/>
                <w:lang w:val="en-US" w:eastAsia="zh-CN" w:bidi="ar-SA"/>
              </w:rPr>
              <w:t>环境风险类型、风险源分布及影响途径表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1534"/>
              <w:gridCol w:w="912"/>
              <w:gridCol w:w="1195"/>
              <w:gridCol w:w="3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76" w:type="pct"/>
                  <w:tcBorders>
                    <w:tl2br w:val="nil"/>
                    <w:tr2bl w:val="nil"/>
                  </w:tcBorders>
                  <w:vAlign w:val="center"/>
                </w:tcPr>
                <w:p>
                  <w:pPr>
                    <w:keepNext w:val="0"/>
                    <w:keepLines w:val="0"/>
                    <w:pageBreakBefore w:val="0"/>
                    <w:kinsoku/>
                    <w:wordWrap/>
                    <w:topLinePunct w:val="0"/>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风险类型</w:t>
                  </w:r>
                </w:p>
              </w:tc>
              <w:tc>
                <w:tcPr>
                  <w:tcW w:w="882" w:type="pct"/>
                  <w:tcBorders>
                    <w:tl2br w:val="nil"/>
                    <w:tr2bl w:val="nil"/>
                  </w:tcBorders>
                  <w:vAlign w:val="center"/>
                </w:tcPr>
                <w:p>
                  <w:pPr>
                    <w:keepNext w:val="0"/>
                    <w:keepLines w:val="0"/>
                    <w:pageBreakBefore w:val="0"/>
                    <w:kinsoku/>
                    <w:wordWrap/>
                    <w:topLinePunct w:val="0"/>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风险源</w:t>
                  </w:r>
                </w:p>
              </w:tc>
              <w:tc>
                <w:tcPr>
                  <w:tcW w:w="524" w:type="pct"/>
                  <w:tcBorders>
                    <w:tl2br w:val="nil"/>
                    <w:tr2bl w:val="nil"/>
                  </w:tcBorders>
                  <w:vAlign w:val="center"/>
                </w:tcPr>
                <w:p>
                  <w:pPr>
                    <w:keepNext w:val="0"/>
                    <w:keepLines w:val="0"/>
                    <w:pageBreakBefore w:val="0"/>
                    <w:kinsoku/>
                    <w:wordWrap/>
                    <w:topLinePunct w:val="0"/>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危险单元</w:t>
                  </w:r>
                </w:p>
              </w:tc>
              <w:tc>
                <w:tcPr>
                  <w:tcW w:w="687" w:type="pct"/>
                  <w:tcBorders>
                    <w:tl2br w:val="nil"/>
                    <w:tr2bl w:val="nil"/>
                  </w:tcBorders>
                  <w:vAlign w:val="center"/>
                </w:tcPr>
                <w:p>
                  <w:pPr>
                    <w:keepNext w:val="0"/>
                    <w:keepLines w:val="0"/>
                    <w:pageBreakBefore w:val="0"/>
                    <w:kinsoku/>
                    <w:wordWrap/>
                    <w:topLinePunct w:val="0"/>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危险物质</w:t>
                  </w:r>
                </w:p>
              </w:tc>
              <w:tc>
                <w:tcPr>
                  <w:tcW w:w="2228" w:type="pct"/>
                  <w:tcBorders>
                    <w:tl2br w:val="nil"/>
                    <w:tr2bl w:val="nil"/>
                  </w:tcBorders>
                  <w:vAlign w:val="center"/>
                </w:tcPr>
                <w:p>
                  <w:pPr>
                    <w:keepNext w:val="0"/>
                    <w:keepLines w:val="0"/>
                    <w:pageBreakBefore w:val="0"/>
                    <w:kinsoku/>
                    <w:wordWrap/>
                    <w:topLinePunct w:val="0"/>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6" w:type="pct"/>
                  <w:tcBorders>
                    <w:tl2br w:val="nil"/>
                    <w:tr2bl w:val="nil"/>
                  </w:tcBorders>
                  <w:shd w:val="clear" w:color="auto" w:fill="auto"/>
                  <w:vAlign w:val="center"/>
                </w:tcPr>
                <w:p>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二氧化氯</w:t>
                  </w:r>
                  <w:r>
                    <w:rPr>
                      <w:rFonts w:hint="default" w:ascii="Times New Roman" w:hAnsi="Times New Roman" w:cs="Times New Roman"/>
                      <w:color w:val="auto"/>
                      <w:sz w:val="21"/>
                      <w:szCs w:val="21"/>
                      <w:highlight w:val="none"/>
                      <w:lang w:val="en-US" w:eastAsia="zh-CN"/>
                    </w:rPr>
                    <w:t>、复合氯酸钠、复合硫酸氢钠</w:t>
                  </w:r>
                  <w:r>
                    <w:rPr>
                      <w:rFonts w:hint="default" w:ascii="Times New Roman" w:hAnsi="Times New Roman" w:eastAsia="宋体" w:cs="Times New Roman"/>
                      <w:color w:val="auto"/>
                      <w:sz w:val="21"/>
                      <w:szCs w:val="21"/>
                      <w:highlight w:val="none"/>
                      <w:lang w:val="en-US" w:eastAsia="zh-CN"/>
                    </w:rPr>
                    <w:t>泄漏</w:t>
                  </w:r>
                </w:p>
              </w:tc>
              <w:tc>
                <w:tcPr>
                  <w:tcW w:w="882" w:type="pct"/>
                  <w:tcBorders>
                    <w:tl2br w:val="nil"/>
                    <w:tr2bl w:val="nil"/>
                  </w:tcBorders>
                  <w:shd w:val="clear" w:color="auto" w:fill="auto"/>
                  <w:vAlign w:val="center"/>
                </w:tcPr>
                <w:p>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二氧化氯</w:t>
                  </w:r>
                  <w:r>
                    <w:rPr>
                      <w:rFonts w:hint="default" w:ascii="Times New Roman" w:hAnsi="Times New Roman" w:cs="Times New Roman"/>
                      <w:color w:val="auto"/>
                      <w:sz w:val="21"/>
                      <w:szCs w:val="21"/>
                      <w:highlight w:val="none"/>
                      <w:lang w:val="en-US" w:eastAsia="zh-CN"/>
                    </w:rPr>
                    <w:t>发生器、复合氯酸钠储罐、复合硫酸氢钠储罐</w:t>
                  </w:r>
                </w:p>
              </w:tc>
              <w:tc>
                <w:tcPr>
                  <w:tcW w:w="524" w:type="pct"/>
                  <w:tcBorders>
                    <w:tl2br w:val="nil"/>
                    <w:tr2bl w:val="nil"/>
                  </w:tcBorders>
                  <w:shd w:val="clear" w:color="auto" w:fill="auto"/>
                  <w:vAlign w:val="center"/>
                </w:tcPr>
                <w:p>
                  <w:pPr>
                    <w:keepNext w:val="0"/>
                    <w:keepLines w:val="0"/>
                    <w:pageBreakBefore w:val="0"/>
                    <w:kinsoku/>
                    <w:wordWrap/>
                    <w:topLinePunct w:val="0"/>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加氯间、原料储备间</w:t>
                  </w:r>
                </w:p>
              </w:tc>
              <w:tc>
                <w:tcPr>
                  <w:tcW w:w="687" w:type="pct"/>
                  <w:tcBorders>
                    <w:tl2br w:val="nil"/>
                    <w:tr2bl w:val="nil"/>
                  </w:tcBorders>
                  <w:vAlign w:val="center"/>
                </w:tcPr>
                <w:p>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二氧化氯、复合氯酸钠、复合硫酸氢钠、危险废物</w:t>
                  </w:r>
                </w:p>
              </w:tc>
              <w:tc>
                <w:tcPr>
                  <w:tcW w:w="2228" w:type="pct"/>
                  <w:tcBorders>
                    <w:tl2br w:val="nil"/>
                    <w:tr2bl w:val="nil"/>
                  </w:tcBorders>
                  <w:vAlign w:val="center"/>
                </w:tcPr>
                <w:p>
                  <w:pPr>
                    <w:keepNext w:val="0"/>
                    <w:keepLines w:val="0"/>
                    <w:pageBreakBefore w:val="0"/>
                    <w:kinsoku/>
                    <w:wordWrap/>
                    <w:topLinePunct w:val="0"/>
                    <w:bidi w:val="0"/>
                    <w:ind w:left="0" w:lef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w:t>
                  </w:r>
                  <w:r>
                    <w:rPr>
                      <w:rFonts w:hint="default" w:ascii="Times New Roman" w:hAnsi="Times New Roman" w:eastAsia="宋体" w:cs="Times New Roman"/>
                      <w:color w:val="auto"/>
                      <w:sz w:val="21"/>
                      <w:szCs w:val="21"/>
                      <w:highlight w:val="none"/>
                      <w:lang w:val="en-US" w:eastAsia="zh-CN"/>
                    </w:rPr>
                    <w:t>二氧化氯</w:t>
                  </w:r>
                  <w:r>
                    <w:rPr>
                      <w:rFonts w:hint="default" w:ascii="Times New Roman" w:hAnsi="Times New Roman" w:cs="Times New Roman"/>
                      <w:color w:val="auto"/>
                      <w:sz w:val="21"/>
                      <w:szCs w:val="21"/>
                      <w:highlight w:val="none"/>
                      <w:lang w:val="en-US" w:eastAsia="zh-CN"/>
                    </w:rPr>
                    <w:t>、复合氯酸钠、复合硫酸氢钠、危险废物</w:t>
                  </w:r>
                  <w:r>
                    <w:rPr>
                      <w:rFonts w:hint="default" w:ascii="Times New Roman" w:hAnsi="Times New Roman" w:cs="Times New Roman"/>
                      <w:color w:val="auto"/>
                      <w:sz w:val="21"/>
                      <w:szCs w:val="21"/>
                      <w:highlight w:val="none"/>
                    </w:rPr>
                    <w:t>泄漏通过地表径流或雨水管道进入地表水环境；</w:t>
                  </w:r>
                </w:p>
                <w:p>
                  <w:pPr>
                    <w:keepNext w:val="0"/>
                    <w:keepLines w:val="0"/>
                    <w:pageBreakBefore w:val="0"/>
                    <w:kinsoku/>
                    <w:wordWrap/>
                    <w:topLinePunct w:val="0"/>
                    <w:bidi w:val="0"/>
                    <w:ind w:left="0" w:lef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地下水环境或土壤环境：</w:t>
                  </w:r>
                  <w:r>
                    <w:rPr>
                      <w:rFonts w:hint="default" w:ascii="Times New Roman" w:hAnsi="Times New Roman" w:eastAsia="宋体" w:cs="Times New Roman"/>
                      <w:color w:val="auto"/>
                      <w:sz w:val="21"/>
                      <w:szCs w:val="21"/>
                      <w:highlight w:val="none"/>
                      <w:lang w:val="en-US" w:eastAsia="zh-CN"/>
                    </w:rPr>
                    <w:t>二氧化氯</w:t>
                  </w:r>
                  <w:r>
                    <w:rPr>
                      <w:rFonts w:hint="default" w:ascii="Times New Roman" w:hAnsi="Times New Roman" w:cs="Times New Roman"/>
                      <w:color w:val="auto"/>
                      <w:sz w:val="21"/>
                      <w:szCs w:val="21"/>
                      <w:highlight w:val="none"/>
                      <w:lang w:val="en-US" w:eastAsia="zh-CN"/>
                    </w:rPr>
                    <w:t>、复合氯酸钠、复合硫酸氢钠、危险废物</w:t>
                  </w:r>
                  <w:r>
                    <w:rPr>
                      <w:rFonts w:hint="default" w:ascii="Times New Roman" w:hAnsi="Times New Roman" w:cs="Times New Roman"/>
                      <w:color w:val="auto"/>
                      <w:sz w:val="21"/>
                      <w:szCs w:val="21"/>
                      <w:highlight w:val="none"/>
                    </w:rPr>
                    <w:t>泄漏通过垂直渗透进入地下水环境或土壤环境。</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（6）环境风险防范措施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1）贮存过程风险防范措施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加氯间、原料储备间应采取重点防渗措施，其中复合氯酸钠储罐区、复合硫酸氢钠储罐区设置防渗围堰（约1.5m），围堰采用不渗透的材料做防渗处理，并设置泄露收集沟和泄露收集坑（0.125m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2）。一旦发生泄漏，不要直接接触泄漏物，在确保安全情况下堵漏。发生小量的泄漏，用砂土或其它惰性材料吸收，然后收集运至危险废物处理场所处置。发生大量泄漏，应及时将围堰里物质的抽取到安全不易泄漏的收集器内，回收或运至危险废物处理场所处置。</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2）操作使用过程风险防范措施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采用密闭真空加氯设备，加强通风。操作人员必须经过专门培训，严格遵守操作规程。操作人员佩戴自吸过滤式防毒面具（半面罩），戴化学安全防护眼镜，穿防毒物渗透工作服，戴橡胶耐油手套，配备相应品种和数量的消防器材及泄漏应急处理设备。</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加氯间设置有余二氧化氧在线检测仪、漏氯监测报警仪及报警装置，避免氯气等易燃气体泄露遇明火引发爆炸，在生产工艺上安装自动灭火控制装置；加强加药间内通排风。</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3）危险化学品运输过程风险防范措施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①应选择具有运送危险品相应资质的单位进行运送，并督促提醒其按照四川省有关道路运输管理办法严格执行、做到安全运输。</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②用于危险化学品运输的容器，必须依照《危险化学品安全管理条例》的规定，由专业生产企业定点生产，并经检测、检验合格方可使用。运输过程中要确保容器不泄露、不倒塌、不坠落、不损坏。</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③对危险品的运输过程进行安全性规划，并派专人进行运输中的安全管理与监督。运输途中应防暴晒、雨淋，防高温。公路运输时要按规定路线行驶，勿在居民区和人口稠密的地区停留。</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④制定事故处理机制，并对相关人员进行培训，配备相关措施。在运输工具上配有一定的急救设施和全身防护服。</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）火灾风险防范措施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①消防通道和建筑物耐火等级应满足消防要求。</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②按照《建筑灭火器配置设计规范》（GBJ140-90）的规定，应配置相应的灭火器类型（干粉灭火器等）与数量，并在火灾危险场所设置报警装置；严禁区内有明火出现。</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③严格执行防火、防爆、防雷击、防毒害等各项要求。</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④加强公司职工的教育培训，实行上岗证制度，增强职工风险意识，提高事故自救能力，制定和强化各种安全管理、安全生产的规程，减少人为风险事故（如误操作）的发生。</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⑤加强管理，防止因管理不善而导致火灾，每天对贮存设施设备进行全面检查，防止因为设备故障发生泄漏而引起火灾。</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⑥防止静电起火：防止静电灾害可以采用的措施有：a.接地：使物体与大地之间构成电气泄漏电路，将产生在物体上的静电泄于大地，防止物体贮存静电；b.工作人员应该穿上防静电工作服；c.防止流动带电：管道输送溶剂时，流速越快，产生的静电越多。为防止高速流动带电，应该对流速作出限制；d.维持湿度：保持现场湿度大于60%，有利于静电的释放。</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）输水管道破裂风险防范措施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①严格施工管理，加强施工材料管理，严禁使用不符合要求的建筑施工材料；加强施工期间的管理、检查，确保施工质量。</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②密切监控供水水压变化情况，及时发现泄水环节和路段。</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③建立事故抢修队伍，配备先进的施工设备，及时抢修。</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④成立事故应急处置机构，一旦输水管道破裂，立即暂停供水，待事故处置完毕，委托专业机构进行原水水质监测合格后，再恢复供水。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7）水源水质污染风险防范措施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原水取自中河，应建立在线自动监测网与预警系统，设立水源水质自动监测点，并设置明显的水域保护标识、标牌；一旦发生饮用水源水质污染事故，立即上报主管单位，取水口停止取水，同时以最快时间查出污染原因，并根据污染采取消除或减缓污染措施，待水源水质满足要求后方可恢复取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目前中河取水口未划分保护区，本环评要求：在项目运营前应取得中河取水口的划分保护区文件，以此保证取水安全。</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针对输水管道破损水源污染风险，环评要求建设单位要落实前文输水管道破裂风险防范措施，并委托第三方单位定期检测水厂进、出水质，一旦发生水质超标情况，应立即停止取水、供水，上报主管部门，启动应急预案，以最快速度查清并消除污染，待水质满足要求后恢复供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8）风险应急措施</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①一旦发生突发性事故立即发出警报。</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②事故发生迅速查明事故源点、外泄部位和原因，采取措施控制事故发展。</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③泄漏时，现场负责人应立即组织抢修，撤离无关人员，抢救中毒者。抢修、救护人员必须佩戴防护面罩。</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④发现漏气应立即关闭漏气阀门，立即停止发生器运行，并及时检修。</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⑤事故应急监测</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事故发生后应立即通知当地环保部门，并通知当地所在地的上一级环保部门，立即启动环境应急监测预案，及时掌握发生事故的危害程度、影响范围及影响程度。监测因子确定为：COD、BOD</w:t>
            </w:r>
            <w:r>
              <w:rPr>
                <w:rFonts w:hint="default" w:ascii="Times New Roman" w:hAnsi="Times New Roman" w:cs="Times New Roman"/>
                <w:color w:val="auto"/>
                <w:sz w:val="24"/>
                <w:szCs w:val="24"/>
                <w:highlight w:val="none"/>
                <w:vertAlign w:val="subscript"/>
                <w:lang w:val="en-US" w:eastAsia="zh-CN"/>
              </w:rPr>
              <w:t>5</w:t>
            </w:r>
            <w:r>
              <w:rPr>
                <w:rFonts w:hint="default" w:ascii="Times New Roman" w:hAnsi="Times New Roman" w:cs="Times New Roman"/>
                <w:color w:val="auto"/>
                <w:sz w:val="24"/>
                <w:szCs w:val="24"/>
                <w:highlight w:val="none"/>
                <w:lang w:val="en-US" w:eastAsia="zh-CN"/>
              </w:rPr>
              <w:t>、氨氮、总氮、总磷、石油类、SS、粪大肠菌群数等。</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⑥设立专职安全员岗位，负责生产一线安全工作的日常监督巡查；专职安全人员必须经过安全生产管理部门组织的职业培训，并取得注册安员资格。</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⑦用于原辅材料贮存工具的容器必须依照《危险化学品管理条例》要求由专业生产企业定点生产，并经检测、检验合格，方可使用。容器必须定期送相应的质检部门检查，运输过程中封口严密，确保贮运原辅材料的容器在贮运过程中不因温度、湿度、压力的变化发生任何渗漏。</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9）风险事故应急预案</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为保证企业及人民生命财产安全，防止突发性重大环境事故发生，或在发生事故时能迅速有序地开展救援工作，尽最大努力减少事故的危害和损失。根据《工作场所安全使用化学品规定》和《化学事故应急救援管理办法》的规定，企业必须制定化学事故应急救援预案和实施细则，并组织专业队伍学习和演练，防患于未然，以便应急救援工作的顺利开展。制订应急预案的原则如下：</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①确定救援组织、队伍和联络方式；</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②制定事故类型、等级和相应的应急响应程序；</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③配备必要的救灾防毒器具及防护用品；</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④对生产系统制定应急状态切断终止或自动报警连锁保护程序；</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⑤岗位培训和演习，设置事故应急学习手册及报告、记录和评估；</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⑥制定区域防灾救援方案，厂外受影响人群的疏散、撤离方案，与当地政府、消防、环保和医疗救助等部门加强联系，以便风险事故发生时得到及时救援。</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企业在制定环境风险应急预案时，还应包括表4-2</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val="en-US" w:eastAsia="zh-CN"/>
              </w:rPr>
              <w:t>所示内容。</w:t>
            </w:r>
          </w:p>
          <w:p>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表4-2</w:t>
            </w:r>
            <w:r>
              <w:rPr>
                <w:rFonts w:hint="eastAsia" w:ascii="Times New Roman" w:hAnsi="Times New Roman" w:eastAsia="黑体" w:cs="Times New Roman"/>
                <w:b w:val="0"/>
                <w:bCs/>
                <w:color w:val="auto"/>
                <w:kern w:val="2"/>
                <w:sz w:val="21"/>
                <w:szCs w:val="21"/>
                <w:highlight w:val="none"/>
                <w:lang w:val="en-US" w:eastAsia="zh-CN" w:bidi="ar-SA"/>
              </w:rPr>
              <w:t xml:space="preserve">0 </w:t>
            </w:r>
            <w:r>
              <w:rPr>
                <w:rFonts w:hint="default" w:ascii="Times New Roman" w:hAnsi="Times New Roman" w:eastAsia="黑体" w:cs="Times New Roman"/>
                <w:b w:val="0"/>
                <w:bCs/>
                <w:color w:val="auto"/>
                <w:kern w:val="2"/>
                <w:sz w:val="21"/>
                <w:szCs w:val="21"/>
                <w:highlight w:val="none"/>
                <w:lang w:val="en-US" w:eastAsia="zh-CN" w:bidi="ar-SA"/>
              </w:rPr>
              <w:t>应急预案内容</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2340"/>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1345"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项目</w:t>
                  </w:r>
                </w:p>
              </w:tc>
              <w:tc>
                <w:tcPr>
                  <w:tcW w:w="3173"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345"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应急计划区</w:t>
                  </w:r>
                </w:p>
              </w:tc>
              <w:tc>
                <w:tcPr>
                  <w:tcW w:w="3173"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危险目标：</w:t>
                  </w:r>
                  <w:r>
                    <w:rPr>
                      <w:rFonts w:hint="default" w:ascii="Times New Roman" w:hAnsi="Times New Roman" w:cs="Times New Roman"/>
                      <w:color w:val="auto"/>
                      <w:szCs w:val="21"/>
                      <w:highlight w:val="none"/>
                      <w:lang w:val="en-US" w:eastAsia="zh-CN"/>
                    </w:rPr>
                    <w:t>供水厂</w:t>
                  </w:r>
                  <w:r>
                    <w:rPr>
                      <w:rFonts w:hint="default" w:ascii="Times New Roman" w:hAnsi="Times New Roman" w:cs="Times New Roman"/>
                      <w:color w:val="auto"/>
                      <w:szCs w:val="21"/>
                      <w:highlight w:val="none"/>
                    </w:rPr>
                    <w:t>各构筑物、环境保护目标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345"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应急组织机构、人员</w:t>
                  </w:r>
                </w:p>
              </w:tc>
              <w:tc>
                <w:tcPr>
                  <w:tcW w:w="3173"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工厂、地区应急组织机构、人员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1345"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预案分级响应条件</w:t>
                  </w:r>
                </w:p>
              </w:tc>
              <w:tc>
                <w:tcPr>
                  <w:tcW w:w="3173"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345"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应急救援保障</w:t>
                  </w:r>
                </w:p>
              </w:tc>
              <w:tc>
                <w:tcPr>
                  <w:tcW w:w="3173"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应急设施、设备及器材等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1345"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报警、通讯联络方式</w:t>
                  </w:r>
                </w:p>
              </w:tc>
              <w:tc>
                <w:tcPr>
                  <w:tcW w:w="3173"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1345"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应急环境监测、抢险、救援及控制措施</w:t>
                  </w:r>
                </w:p>
              </w:tc>
              <w:tc>
                <w:tcPr>
                  <w:tcW w:w="3173"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由专业队伍负责对事故现场进行侦察监测，对事故性质、参数与后果进行评估，为指挥部门提供决策依据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1345"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应急检测、防护措施、清除泄露措施和器材</w:t>
                  </w:r>
                </w:p>
              </w:tc>
              <w:tc>
                <w:tcPr>
                  <w:tcW w:w="3173"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w:t>
                  </w:r>
                </w:p>
              </w:tc>
              <w:tc>
                <w:tcPr>
                  <w:tcW w:w="1345"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人员紧急撤离、疏散、应急剂量控制、撤离组织计划</w:t>
                  </w:r>
                </w:p>
              </w:tc>
              <w:tc>
                <w:tcPr>
                  <w:tcW w:w="3173"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事故现场、工厂临近区、受事故影响的区域人员及公众对毒物应急剂量控制规定，撤离组织计划及救护，医疗救护与公众健康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1345"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事故应急救援关闭程序与恢复措施</w:t>
                  </w:r>
                </w:p>
              </w:tc>
              <w:tc>
                <w:tcPr>
                  <w:tcW w:w="3173"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规定应急状态终止程序；事故现场善后处理，恢复措施；邻近区域解除事故警戒及善后恢复措施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1345"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应急培训计划</w:t>
                  </w:r>
                </w:p>
              </w:tc>
              <w:tc>
                <w:tcPr>
                  <w:tcW w:w="3173"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w:t>
                  </w:r>
                </w:p>
              </w:tc>
              <w:tc>
                <w:tcPr>
                  <w:tcW w:w="1345"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公众教育和信息</w:t>
                  </w:r>
                </w:p>
              </w:tc>
              <w:tc>
                <w:tcPr>
                  <w:tcW w:w="3173" w:type="pct"/>
                  <w:tcBorders>
                    <w:tl2br w:val="nil"/>
                    <w:tr2bl w:val="nil"/>
                  </w:tcBorders>
                  <w:vAlign w:val="center"/>
                </w:tcPr>
                <w:p>
                  <w:pPr>
                    <w:keepNext w:val="0"/>
                    <w:keepLines w:val="0"/>
                    <w:pageBreakBefore w:val="0"/>
                    <w:kinsoku/>
                    <w:wordWrap/>
                    <w:topLinePunct w:val="0"/>
                    <w:bidi w:val="0"/>
                    <w:ind w:left="0" w:leftChars="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对工厂邻近地区展开公众教育、培训和发布有关信息</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（7）环境风险分析结论</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本项目环境风险简单分析内容见表4-2</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w:t>
            </w:r>
          </w:p>
          <w:p>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表4-2</w:t>
            </w:r>
            <w:r>
              <w:rPr>
                <w:rFonts w:hint="eastAsia" w:ascii="Times New Roman" w:hAnsi="Times New Roman" w:eastAsia="黑体" w:cs="Times New Roman"/>
                <w:b w:val="0"/>
                <w:bCs/>
                <w:color w:val="auto"/>
                <w:kern w:val="2"/>
                <w:sz w:val="21"/>
                <w:szCs w:val="21"/>
                <w:highlight w:val="none"/>
                <w:lang w:val="en-US" w:eastAsia="zh-CN" w:bidi="ar-SA"/>
              </w:rPr>
              <w:t xml:space="preserve">1 </w:t>
            </w:r>
            <w:r>
              <w:rPr>
                <w:rFonts w:hint="default" w:ascii="Times New Roman" w:hAnsi="Times New Roman" w:eastAsia="黑体" w:cs="Times New Roman"/>
                <w:b w:val="0"/>
                <w:bCs/>
                <w:color w:val="auto"/>
                <w:kern w:val="2"/>
                <w:sz w:val="21"/>
                <w:szCs w:val="21"/>
                <w:highlight w:val="none"/>
                <w:lang w:val="en-US" w:eastAsia="zh-CN" w:bidi="ar-SA"/>
              </w:rPr>
              <w:t>建设项目环境风险简单分析内容表</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2"/>
              <w:gridCol w:w="2285"/>
              <w:gridCol w:w="1704"/>
              <w:gridCol w:w="1579"/>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建设项目名称</w:t>
                  </w:r>
                </w:p>
              </w:tc>
              <w:tc>
                <w:tcPr>
                  <w:tcW w:w="4112" w:type="pct"/>
                  <w:gridSpan w:val="4"/>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宣汉县乡村水务试点县供水保障工程（新华供水工程）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建设地点</w:t>
                  </w:r>
                </w:p>
              </w:tc>
              <w:tc>
                <w:tcPr>
                  <w:tcW w:w="1314"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四川省</w:t>
                  </w:r>
                </w:p>
              </w:tc>
              <w:tc>
                <w:tcPr>
                  <w:tcW w:w="980"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达州市</w:t>
                  </w:r>
                </w:p>
              </w:tc>
              <w:tc>
                <w:tcPr>
                  <w:tcW w:w="908"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宣汉县</w:t>
                  </w:r>
                </w:p>
              </w:tc>
              <w:tc>
                <w:tcPr>
                  <w:tcW w:w="909"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新华镇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地理坐标</w:t>
                  </w:r>
                </w:p>
              </w:tc>
              <w:tc>
                <w:tcPr>
                  <w:tcW w:w="1314"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经度</w:t>
                  </w:r>
                </w:p>
              </w:tc>
              <w:tc>
                <w:tcPr>
                  <w:tcW w:w="980"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107°59′58.569″</w:t>
                  </w:r>
                </w:p>
              </w:tc>
              <w:tc>
                <w:tcPr>
                  <w:tcW w:w="908"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纬度</w:t>
                  </w:r>
                </w:p>
              </w:tc>
              <w:tc>
                <w:tcPr>
                  <w:tcW w:w="909"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31°44′50.895″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主要危险物质及分布</w:t>
                  </w:r>
                </w:p>
              </w:tc>
              <w:tc>
                <w:tcPr>
                  <w:tcW w:w="4112" w:type="pct"/>
                  <w:gridSpan w:val="4"/>
                  <w:tcBorders>
                    <w:tl2br w:val="nil"/>
                    <w:tr2bl w:val="nil"/>
                  </w:tcBorders>
                  <w:vAlign w:val="center"/>
                </w:tcPr>
                <w:p>
                  <w:pPr>
                    <w:keepNext w:val="0"/>
                    <w:keepLines w:val="0"/>
                    <w:pageBreakBefore w:val="0"/>
                    <w:kinsoku/>
                    <w:wordWrap/>
                    <w:topLinePunct w:val="0"/>
                    <w:bidi w:val="0"/>
                    <w:ind w:left="0" w:leftChars="0" w:right="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加氯间：二氧化氯</w:t>
                  </w:r>
                </w:p>
                <w:p>
                  <w:pPr>
                    <w:keepNext w:val="0"/>
                    <w:keepLines w:val="0"/>
                    <w:pageBreakBefore w:val="0"/>
                    <w:kinsoku/>
                    <w:wordWrap/>
                    <w:topLinePunct w:val="0"/>
                    <w:bidi w:val="0"/>
                    <w:ind w:left="0" w:leftChars="0" w:right="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原料储备间：复合氯酸钠、复合硫酸钠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pct"/>
                  <w:tcBorders>
                    <w:tl2br w:val="nil"/>
                    <w:tr2bl w:val="nil"/>
                  </w:tcBorders>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环境影响途径及危害后果（大气、地表水、地下水等）</w:t>
                  </w:r>
                </w:p>
              </w:tc>
              <w:tc>
                <w:tcPr>
                  <w:tcW w:w="4112" w:type="pct"/>
                  <w:gridSpan w:val="4"/>
                  <w:tcBorders>
                    <w:tl2br w:val="nil"/>
                    <w:tr2bl w:val="nil"/>
                  </w:tcBorders>
                  <w:vAlign w:val="center"/>
                </w:tcPr>
                <w:p>
                  <w:pPr>
                    <w:keepNext w:val="0"/>
                    <w:keepLines w:val="0"/>
                    <w:pageBreakBefore w:val="0"/>
                    <w:kinsoku/>
                    <w:wordWrap/>
                    <w:topLinePunct w:val="0"/>
                    <w:bidi w:val="0"/>
                    <w:ind w:left="0" w:lef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地表水环境：二氧化氯、复合氯酸钠、复合硫酸氢钠</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危险废物</w:t>
                  </w:r>
                  <w:r>
                    <w:rPr>
                      <w:rFonts w:hint="default" w:ascii="Times New Roman" w:hAnsi="Times New Roman" w:eastAsia="宋体" w:cs="Times New Roman"/>
                      <w:color w:val="auto"/>
                      <w:sz w:val="21"/>
                      <w:szCs w:val="21"/>
                      <w:highlight w:val="none"/>
                    </w:rPr>
                    <w:t>泄漏通过地表径流或雨水管道进入地表水环境，火灾消防过程废水通过地表径流或雨水管网排入地表水环境；</w:t>
                  </w:r>
                </w:p>
                <w:p>
                  <w:pPr>
                    <w:keepNext w:val="0"/>
                    <w:keepLines w:val="0"/>
                    <w:pageBreakBefore w:val="0"/>
                    <w:kinsoku/>
                    <w:wordWrap/>
                    <w:topLinePunct w:val="0"/>
                    <w:bidi w:val="0"/>
                    <w:ind w:left="0"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地下水环境或土壤环境：二氧化氯、复合氯酸钠、复合硫酸氢钠</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危险废物</w:t>
                  </w:r>
                  <w:r>
                    <w:rPr>
                      <w:rFonts w:hint="default" w:ascii="Times New Roman" w:hAnsi="Times New Roman" w:eastAsia="宋体" w:cs="Times New Roman"/>
                      <w:color w:val="auto"/>
                      <w:sz w:val="21"/>
                      <w:szCs w:val="21"/>
                      <w:highlight w:val="none"/>
                    </w:rPr>
                    <w:t>泄漏通过垂直渗透进入地下水环境或土壤环境。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7" w:type="pct"/>
                  <w:vAlign w:val="center"/>
                </w:tcPr>
                <w:p>
                  <w:pPr>
                    <w:keepNext w:val="0"/>
                    <w:keepLines w:val="0"/>
                    <w:pageBreakBefore w:val="0"/>
                    <w:kinsoku/>
                    <w:wordWrap/>
                    <w:topLinePunct w:val="0"/>
                    <w:bidi w:val="0"/>
                    <w:ind w:left="0" w:leftChars="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风险防范措施要求</w:t>
                  </w:r>
                </w:p>
              </w:tc>
              <w:tc>
                <w:tcPr>
                  <w:tcW w:w="4112" w:type="pct"/>
                  <w:gridSpan w:val="4"/>
                  <w:vAlign w:val="center"/>
                </w:tcPr>
                <w:p>
                  <w:pPr>
                    <w:keepNext w:val="0"/>
                    <w:keepLines w:val="0"/>
                    <w:pageBreakBefore w:val="0"/>
                    <w:kinsoku/>
                    <w:wordWrap/>
                    <w:topLinePunct w:val="0"/>
                    <w:bidi w:val="0"/>
                    <w:ind w:left="0" w:lef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①加氯间、</w:t>
                  </w:r>
                  <w:r>
                    <w:rPr>
                      <w:rFonts w:hint="default" w:ascii="Times New Roman" w:hAnsi="Times New Roman" w:cs="Times New Roman"/>
                      <w:color w:val="auto"/>
                      <w:sz w:val="21"/>
                      <w:szCs w:val="21"/>
                      <w:highlight w:val="none"/>
                      <w:lang w:val="en-US" w:eastAsia="zh-CN"/>
                    </w:rPr>
                    <w:t>原料储备间</w:t>
                  </w:r>
                  <w:r>
                    <w:rPr>
                      <w:rFonts w:hint="default" w:ascii="Times New Roman" w:hAnsi="Times New Roman" w:eastAsia="宋体" w:cs="Times New Roman"/>
                      <w:color w:val="auto"/>
                      <w:sz w:val="21"/>
                      <w:szCs w:val="21"/>
                      <w:highlight w:val="none"/>
                    </w:rPr>
                    <w:t>应采取重点防渗措施，其中复合氯酸钠储罐区、复合硫酸氢钠储罐区设置防渗围堰（约1.5m），围堰采用不渗透的材料做防渗处理，并设置泄露收集沟和泄露收集坑（0.125m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×2）；</w:t>
                  </w:r>
                </w:p>
                <w:p>
                  <w:pPr>
                    <w:keepNext w:val="0"/>
                    <w:keepLines w:val="0"/>
                    <w:pageBreakBefore w:val="0"/>
                    <w:kinsoku/>
                    <w:wordWrap/>
                    <w:topLinePunct w:val="0"/>
                    <w:bidi w:val="0"/>
                    <w:ind w:left="0" w:lef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②严格落实消防设计规范，设置警示标识，配备相应数量灭火器，开展员工安全培训；</w:t>
                  </w:r>
                </w:p>
                <w:p>
                  <w:pPr>
                    <w:keepNext w:val="0"/>
                    <w:keepLines w:val="0"/>
                    <w:pageBreakBefore w:val="0"/>
                    <w:kinsoku/>
                    <w:wordWrap/>
                    <w:topLinePunct w:val="0"/>
                    <w:bidi w:val="0"/>
                    <w:ind w:left="0" w:left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③加强输水管道施工质量，密切监控供水水压变化情况，建立事故抢修队伍，成立事故应急处置机构，一旦输水管道破裂，立即暂停供水，待事故处置完毕，委托专业机构进行原水水质监测合格后，再恢复供水</w:t>
                  </w:r>
                  <w:r>
                    <w:rPr>
                      <w:rFonts w:hint="default" w:ascii="Times New Roman" w:hAnsi="Times New Roman" w:eastAsia="宋体" w:cs="Times New Roman"/>
                      <w:color w:val="auto"/>
                      <w:sz w:val="21"/>
                      <w:szCs w:val="21"/>
                      <w:highlight w:val="none"/>
                      <w:lang w:eastAsia="zh-CN"/>
                    </w:rPr>
                    <w:t>；</w:t>
                  </w:r>
                </w:p>
                <w:p>
                  <w:pPr>
                    <w:keepNext w:val="0"/>
                    <w:keepLines w:val="0"/>
                    <w:pageBreakBefore w:val="0"/>
                    <w:kinsoku/>
                    <w:wordWrap/>
                    <w:topLinePunct w:val="0"/>
                    <w:bidi w:val="0"/>
                    <w:ind w:left="0" w:lef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④设置在线自动监测网与预警系统；委托第三方单位定期检测水厂进、出水质；</w:t>
                  </w:r>
                </w:p>
                <w:p>
                  <w:pPr>
                    <w:keepNext w:val="0"/>
                    <w:keepLines w:val="0"/>
                    <w:pageBreakBefore w:val="0"/>
                    <w:kinsoku/>
                    <w:wordWrap/>
                    <w:topLinePunct w:val="0"/>
                    <w:bidi w:val="0"/>
                    <w:ind w:left="0"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⑤严格规范化操作、建立必要的预备系统或设备、制定事故及时处理计划、编制应急预案。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vAlign w:val="center"/>
                </w:tcPr>
                <w:p>
                  <w:pPr>
                    <w:keepNext w:val="0"/>
                    <w:keepLines w:val="0"/>
                    <w:pageBreakBefore w:val="0"/>
                    <w:kinsoku/>
                    <w:wordWrap/>
                    <w:topLinePunct w:val="0"/>
                    <w:bidi w:val="0"/>
                    <w:ind w:left="0" w:leftChars="0" w:right="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填表说明（列出项目相关信息及评价说明）：</w:t>
                  </w:r>
                </w:p>
                <w:p>
                  <w:pPr>
                    <w:keepNext w:val="0"/>
                    <w:keepLines w:val="0"/>
                    <w:pageBreakBefore w:val="0"/>
                    <w:kinsoku/>
                    <w:wordWrap/>
                    <w:topLinePunct w:val="0"/>
                    <w:bidi w:val="0"/>
                    <w:ind w:left="0" w:leftChars="0" w:right="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本项目主要危险物质为二氧化氯、复合氯酸钠、复合硫酸氢钠、危险废物，分布在加氯间、原料储备间，项目环境风险潜势为I，评价等级为简单分析，在落实环评提出的风险防范措施后，环境风险可控。</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综上所述，本项目环境风险潜势为I，营运期落实本报告提出的各项措施、建立和落实各项风险预警防范措施和事故应急计划，杜绝重大安全事故和重大环境污染事故的发生，可使项目建成后风险水平处于可接受程度。</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7、环保投资</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本项目总投资</w:t>
            </w:r>
            <w:r>
              <w:rPr>
                <w:rFonts w:hint="default" w:ascii="Times New Roman" w:hAnsi="Times New Roman" w:eastAsia="宋体" w:cs="Times New Roman"/>
                <w:color w:val="auto"/>
                <w:kern w:val="2"/>
                <w:sz w:val="24"/>
                <w:szCs w:val="24"/>
                <w:highlight w:val="none"/>
                <w:lang w:val="en-US" w:eastAsia="zh-CN" w:bidi="ar-SA"/>
              </w:rPr>
              <w:t>8515</w:t>
            </w:r>
            <w:r>
              <w:rPr>
                <w:rFonts w:hint="default" w:ascii="Times New Roman" w:hAnsi="Times New Roman" w:cs="Times New Roman"/>
                <w:color w:val="auto"/>
                <w:sz w:val="24"/>
                <w:szCs w:val="24"/>
                <w:highlight w:val="none"/>
                <w:lang w:val="en-US" w:eastAsia="zh-CN"/>
              </w:rPr>
              <w:t>万元，环保投资约119.5万元，占总投资的1.40%，主要环保措施及投资估算见表4-2</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w:t>
            </w:r>
          </w:p>
          <w:p>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表4-2</w:t>
            </w:r>
            <w:r>
              <w:rPr>
                <w:rFonts w:hint="eastAsia" w:ascii="Times New Roman" w:hAnsi="Times New Roman" w:eastAsia="黑体" w:cs="Times New Roman"/>
                <w:b w:val="0"/>
                <w:bCs/>
                <w:color w:val="auto"/>
                <w:kern w:val="2"/>
                <w:sz w:val="21"/>
                <w:szCs w:val="21"/>
                <w:highlight w:val="none"/>
                <w:lang w:val="en-US" w:eastAsia="zh-CN" w:bidi="ar-SA"/>
              </w:rPr>
              <w:t xml:space="preserve">2 </w:t>
            </w:r>
            <w:r>
              <w:rPr>
                <w:rFonts w:hint="default" w:ascii="Times New Roman" w:hAnsi="Times New Roman" w:eastAsia="黑体" w:cs="Times New Roman"/>
                <w:b w:val="0"/>
                <w:bCs/>
                <w:color w:val="auto"/>
                <w:kern w:val="2"/>
                <w:sz w:val="21"/>
                <w:szCs w:val="21"/>
                <w:highlight w:val="none"/>
                <w:lang w:val="en-US" w:eastAsia="zh-CN" w:bidi="ar-SA"/>
              </w:rPr>
              <w:t>环保投资估算一览表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859"/>
              <w:gridCol w:w="5785"/>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3820" w:type="pct"/>
                  <w:gridSpan w:val="2"/>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w:t>
                  </w:r>
                </w:p>
              </w:tc>
              <w:tc>
                <w:tcPr>
                  <w:tcW w:w="565"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投资</w:t>
                  </w:r>
                </w:p>
                <w:p>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万元</w:t>
                  </w:r>
                  <w:r>
                    <w:rPr>
                      <w:rFonts w:hint="default" w:ascii="Times New Roman" w:hAnsi="Times New Roman" w:cs="Times New Roman"/>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3" w:type="pct"/>
                  <w:vMerge w:val="restar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治理</w:t>
                  </w:r>
                </w:p>
              </w:tc>
              <w:tc>
                <w:tcPr>
                  <w:tcW w:w="494"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施工期</w:t>
                  </w:r>
                </w:p>
              </w:tc>
              <w:tc>
                <w:tcPr>
                  <w:tcW w:w="3326" w:type="pct"/>
                  <w:tcBorders>
                    <w:tl2br w:val="nil"/>
                    <w:tr2bl w:val="nil"/>
                  </w:tcBorders>
                  <w:noWrap w:val="0"/>
                  <w:vAlign w:val="center"/>
                </w:tcPr>
                <w:p>
                  <w:pPr>
                    <w:pStyle w:val="34"/>
                    <w:keepNext w:val="0"/>
                    <w:keepLines w:val="0"/>
                    <w:pageBreakBefore w:val="0"/>
                    <w:kinsoku/>
                    <w:wordWrap/>
                    <w:topLinePunct w:val="0"/>
                    <w:bidi w:val="0"/>
                    <w:ind w:left="0" w:leftChars="0" w:firstLine="0" w:firstLineChars="0"/>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取水泵房和净水厂</w:t>
                  </w:r>
                  <w:r>
                    <w:rPr>
                      <w:rFonts w:hint="default" w:ascii="Times New Roman" w:hAnsi="Times New Roman" w:eastAsia="宋体" w:cs="Times New Roman"/>
                      <w:color w:val="auto"/>
                      <w:sz w:val="21"/>
                      <w:szCs w:val="21"/>
                      <w:highlight w:val="none"/>
                    </w:rPr>
                    <w:t>施工现场设不低于2.5m高封闭围挡、设置雾状喷淋，主要道路硬化、</w:t>
                  </w:r>
                  <w:r>
                    <w:rPr>
                      <w:rFonts w:hint="default" w:ascii="Times New Roman" w:hAnsi="Times New Roman" w:eastAsia="宋体" w:cs="Times New Roman"/>
                      <w:color w:val="auto"/>
                      <w:sz w:val="21"/>
                      <w:szCs w:val="21"/>
                      <w:highlight w:val="none"/>
                      <w:lang w:val="en-US" w:eastAsia="zh-CN"/>
                    </w:rPr>
                    <w:t>设</w:t>
                  </w:r>
                  <w:r>
                    <w:rPr>
                      <w:rFonts w:hint="default" w:ascii="Times New Roman" w:hAnsi="Times New Roman" w:eastAsia="宋体" w:cs="Times New Roman"/>
                      <w:color w:val="auto"/>
                      <w:sz w:val="21"/>
                      <w:szCs w:val="21"/>
                      <w:highlight w:val="none"/>
                    </w:rPr>
                    <w:t>高压冲洗设施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车辆密闭运输</w:t>
                  </w:r>
                  <w:r>
                    <w:rPr>
                      <w:rFonts w:hint="default" w:ascii="Times New Roman" w:hAnsi="Times New Roman" w:cs="Times New Roman"/>
                      <w:bCs/>
                      <w:color w:val="auto"/>
                      <w:sz w:val="21"/>
                      <w:szCs w:val="21"/>
                      <w:highlight w:val="none"/>
                      <w:lang w:bidi="ar"/>
                    </w:rPr>
                    <w:t>、及时清扫路面尘土、对裸露地面</w:t>
                  </w:r>
                  <w:r>
                    <w:rPr>
                      <w:rFonts w:hint="default" w:ascii="Times New Roman" w:hAnsi="Times New Roman" w:eastAsia="宋体" w:cs="Times New Roman"/>
                      <w:bCs/>
                      <w:color w:val="auto"/>
                      <w:sz w:val="21"/>
                      <w:szCs w:val="21"/>
                      <w:highlight w:val="none"/>
                      <w:lang w:val="en-US" w:eastAsia="zh-CN" w:bidi="ar"/>
                    </w:rPr>
                    <w:t>临时堆场</w:t>
                  </w:r>
                  <w:r>
                    <w:rPr>
                      <w:rFonts w:hint="default" w:ascii="Times New Roman" w:hAnsi="Times New Roman" w:cs="Times New Roman"/>
                      <w:bCs/>
                      <w:color w:val="auto"/>
                      <w:sz w:val="21"/>
                      <w:szCs w:val="21"/>
                      <w:highlight w:val="none"/>
                      <w:lang w:bidi="ar"/>
                    </w:rPr>
                    <w:t>覆盖防尘布或防尘网等</w:t>
                  </w:r>
                  <w:r>
                    <w:rPr>
                      <w:rFonts w:hint="default" w:ascii="Times New Roman" w:hAnsi="Times New Roman" w:eastAsia="宋体" w:cs="Times New Roman"/>
                      <w:bCs/>
                      <w:color w:val="auto"/>
                      <w:sz w:val="21"/>
                      <w:szCs w:val="21"/>
                      <w:highlight w:val="none"/>
                      <w:lang w:eastAsia="zh-CN" w:bidi="ar"/>
                    </w:rPr>
                    <w:t>；</w:t>
                  </w:r>
                  <w:r>
                    <w:rPr>
                      <w:rFonts w:hint="default" w:ascii="Times New Roman" w:hAnsi="Times New Roman" w:eastAsia="宋体" w:cs="Times New Roman"/>
                      <w:bCs/>
                      <w:color w:val="auto"/>
                      <w:sz w:val="21"/>
                      <w:szCs w:val="21"/>
                      <w:highlight w:val="none"/>
                      <w:lang w:val="en-US" w:eastAsia="zh-CN" w:bidi="ar"/>
                    </w:rPr>
                    <w:t>管网施工</w:t>
                  </w:r>
                  <w:r>
                    <w:rPr>
                      <w:rFonts w:hint="default" w:ascii="Times New Roman" w:hAnsi="Times New Roman" w:cs="Times New Roman"/>
                      <w:color w:val="auto"/>
                      <w:kern w:val="2"/>
                      <w:sz w:val="21"/>
                      <w:szCs w:val="21"/>
                      <w:highlight w:val="none"/>
                    </w:rPr>
                    <w:t>设施工围挡，半幅封闭施工，设喷雾降尘、喷淋、冲洗等防尘措施，密闭运输（使用防尘布覆盖）</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494"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营运期</w:t>
                  </w:r>
                </w:p>
              </w:tc>
              <w:tc>
                <w:tcPr>
                  <w:tcW w:w="3326"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
                    </w:rPr>
                    <w:t>食堂油烟：安</w:t>
                  </w:r>
                  <w:r>
                    <w:rPr>
                      <w:rFonts w:hint="default" w:ascii="Times New Roman" w:hAnsi="Times New Roman" w:eastAsia="宋体" w:cs="Times New Roman"/>
                      <w:color w:val="auto"/>
                      <w:sz w:val="21"/>
                      <w:szCs w:val="21"/>
                      <w:highlight w:val="none"/>
                      <w:lang w:bidi="ar"/>
                    </w:rPr>
                    <w:t>装1</w:t>
                  </w:r>
                  <w:r>
                    <w:rPr>
                      <w:rFonts w:hint="default" w:ascii="Times New Roman" w:hAnsi="Times New Roman" w:cs="Times New Roman"/>
                      <w:color w:val="auto"/>
                      <w:sz w:val="21"/>
                      <w:szCs w:val="21"/>
                      <w:highlight w:val="none"/>
                      <w:lang w:val="en-US" w:eastAsia="zh-CN" w:bidi="ar"/>
                    </w:rPr>
                    <w:t>台油烟净化器</w:t>
                  </w:r>
                  <w:r>
                    <w:rPr>
                      <w:rFonts w:hint="default" w:ascii="Times New Roman" w:hAnsi="Times New Roman" w:eastAsia="宋体" w:cs="Times New Roman"/>
                      <w:bCs/>
                      <w:color w:val="auto"/>
                      <w:sz w:val="21"/>
                      <w:szCs w:val="21"/>
                      <w:highlight w:val="none"/>
                    </w:rPr>
                    <w:t>处理食堂油烟</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vMerge w:val="restar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废水治理</w:t>
                  </w:r>
                </w:p>
              </w:tc>
              <w:tc>
                <w:tcPr>
                  <w:tcW w:w="494" w:type="pct"/>
                  <w:vMerge w:val="restar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施工期</w:t>
                  </w:r>
                </w:p>
              </w:tc>
              <w:tc>
                <w:tcPr>
                  <w:tcW w:w="3326"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left"/>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生活污水依托</w:t>
                  </w:r>
                  <w:r>
                    <w:rPr>
                      <w:rFonts w:hint="default" w:ascii="Times New Roman" w:hAnsi="Times New Roman" w:cs="Times New Roman"/>
                      <w:color w:val="auto"/>
                      <w:sz w:val="21"/>
                      <w:szCs w:val="21"/>
                      <w:highlight w:val="none"/>
                      <w:lang w:val="en-US" w:eastAsia="zh-CN"/>
                    </w:rPr>
                    <w:t>周边</w:t>
                  </w:r>
                  <w:r>
                    <w:rPr>
                      <w:rFonts w:hint="default" w:ascii="Times New Roman" w:hAnsi="Times New Roman" w:eastAsia="宋体" w:cs="Times New Roman"/>
                      <w:color w:val="auto"/>
                      <w:sz w:val="21"/>
                      <w:szCs w:val="21"/>
                      <w:highlight w:val="none"/>
                    </w:rPr>
                    <w:t>民房现有的污水处理设施进行处理</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49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3326" w:type="pct"/>
                  <w:tcBorders>
                    <w:tl2br w:val="nil"/>
                    <w:tr2bl w:val="nil"/>
                  </w:tcBorders>
                  <w:noWrap w:val="0"/>
                  <w:vAlign w:val="center"/>
                </w:tcPr>
                <w:p>
                  <w:pPr>
                    <w:keepNext w:val="0"/>
                    <w:keepLines w:val="0"/>
                    <w:pageBreakBefore w:val="0"/>
                    <w:kinsoku/>
                    <w:wordWrap/>
                    <w:topLinePunct w:val="0"/>
                    <w:bidi w:val="0"/>
                    <w:ind w:left="0" w:left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设沉淀池设施及配套排水沟</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pPr>
                    <w:keepNext w:val="0"/>
                    <w:keepLines w:val="0"/>
                    <w:pageBreakBefore w:val="0"/>
                    <w:kinsoku/>
                    <w:wordWrap/>
                    <w:topLinePunct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494" w:type="pct"/>
                  <w:vMerge w:val="restar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营运期</w:t>
                  </w:r>
                </w:p>
              </w:tc>
              <w:tc>
                <w:tcPr>
                  <w:tcW w:w="332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生产废水：</w:t>
                  </w:r>
                  <w:r>
                    <w:rPr>
                      <w:rFonts w:hint="default" w:ascii="Times New Roman" w:hAnsi="Times New Roman" w:cs="Times New Roman"/>
                      <w:color w:val="auto"/>
                      <w:sz w:val="21"/>
                      <w:szCs w:val="21"/>
                      <w:highlight w:val="none"/>
                      <w:lang w:val="en-US" w:eastAsia="zh-CN"/>
                    </w:rPr>
                    <w:t>项目排泥水和反冲洗废水经泥水混合池收集后，经泵提升至浓缩池进行浓缩，其上清液回用至预沉池，底部泥水进入脱水间脱水，其脱水滤液回到泥水混合池，生产废水循环使用，不外排</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计入主体投资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49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332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生活污水：</w:t>
                  </w:r>
                  <w:r>
                    <w:rPr>
                      <w:rFonts w:hint="default" w:ascii="Times New Roman" w:hAnsi="Times New Roman" w:eastAsia="宋体" w:cs="Times New Roman"/>
                      <w:color w:val="auto"/>
                      <w:sz w:val="21"/>
                      <w:szCs w:val="21"/>
                      <w:highlight w:val="none"/>
                    </w:rPr>
                    <w:t>设1个</w:t>
                  </w:r>
                  <w:r>
                    <w:rPr>
                      <w:rFonts w:hint="default" w:ascii="Times New Roman" w:hAnsi="Times New Roman" w:eastAsia="宋体" w:cs="Times New Roman"/>
                      <w:color w:val="auto"/>
                      <w:sz w:val="21"/>
                      <w:szCs w:val="21"/>
                      <w:highlight w:val="none"/>
                      <w:lang w:val="en-US" w:eastAsia="zh-CN"/>
                    </w:rPr>
                    <w:t>化粪池</w:t>
                  </w:r>
                  <w:r>
                    <w:rPr>
                      <w:rFonts w:hint="default" w:ascii="Times New Roman" w:hAnsi="Times New Roman" w:eastAsia="宋体" w:cs="Times New Roman"/>
                      <w:color w:val="auto"/>
                      <w:sz w:val="21"/>
                      <w:szCs w:val="21"/>
                      <w:highlight w:val="none"/>
                    </w:rPr>
                    <w:t>（容积</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食堂废水经隔油池</w:t>
                  </w:r>
                  <w:r>
                    <w:rPr>
                      <w:rFonts w:hint="default" w:ascii="Times New Roman" w:hAnsi="Times New Roman" w:eastAsia="宋体" w:cs="Times New Roman"/>
                      <w:color w:val="auto"/>
                      <w:sz w:val="21"/>
                      <w:szCs w:val="21"/>
                      <w:highlight w:val="none"/>
                    </w:rPr>
                    <w:t>（容积</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处理后同生活污水一同进入化粪池</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vMerge w:val="restar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噪声治理</w:t>
                  </w:r>
                </w:p>
              </w:tc>
              <w:tc>
                <w:tcPr>
                  <w:tcW w:w="494"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施工期</w:t>
                  </w:r>
                </w:p>
              </w:tc>
              <w:tc>
                <w:tcPr>
                  <w:tcW w:w="3326"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选低噪声设备，合理安排施工时间，文明施工，合理布置施工平面，车辆限速、禁鸣等</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494"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营运期</w:t>
                  </w:r>
                </w:p>
              </w:tc>
              <w:tc>
                <w:tcPr>
                  <w:tcW w:w="33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选用低噪声设备；各类水泵采用潜水泵，噪声源位于液面以下；高噪声设备置于单独的房间内，安装设备减震器，加强管理，通过隔声和距离衰减使噪声达标</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vMerge w:val="restar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494"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施工期</w:t>
                  </w:r>
                </w:p>
              </w:tc>
              <w:tc>
                <w:tcPr>
                  <w:tcW w:w="33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开挖土石方及时回填、覆土，弃渣运至政府指定弃渣场；建筑垃圾分类处理，不能回收的运至建筑垃圾处置场；生活垃圾、清管废渣</w:t>
                  </w:r>
                  <w:r>
                    <w:rPr>
                      <w:rFonts w:hint="default" w:ascii="Times New Roman" w:hAnsi="Times New Roman" w:cs="Times New Roman"/>
                      <w:color w:val="auto"/>
                      <w:kern w:val="2"/>
                      <w:sz w:val="21"/>
                      <w:szCs w:val="21"/>
                      <w:highlight w:val="none"/>
                      <w:lang w:val="en-US" w:eastAsia="zh-CN" w:bidi="ar-SA"/>
                    </w:rPr>
                    <w:t>、焊渣等</w:t>
                  </w:r>
                  <w:r>
                    <w:rPr>
                      <w:rFonts w:hint="default" w:ascii="Times New Roman" w:hAnsi="Times New Roman" w:eastAsia="宋体" w:cs="Times New Roman"/>
                      <w:color w:val="auto"/>
                      <w:kern w:val="2"/>
                      <w:sz w:val="21"/>
                      <w:szCs w:val="21"/>
                      <w:highlight w:val="none"/>
                      <w:lang w:val="en-US" w:eastAsia="zh-CN" w:bidi="ar-SA"/>
                    </w:rPr>
                    <w:t>由环卫部门统一处理</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494"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营运期</w:t>
                  </w:r>
                </w:p>
              </w:tc>
              <w:tc>
                <w:tcPr>
                  <w:tcW w:w="33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Cs w:val="21"/>
                      <w:highlight w:val="none"/>
                    </w:rPr>
                    <w:t>生活垃圾经袋装收集后定期交由环卫部门统一清运</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餐厨垃圾委托有合法手续的餐厨垃圾处置单位进行处置；栅渣及沉砂、</w:t>
                  </w:r>
                  <w:r>
                    <w:rPr>
                      <w:rFonts w:hint="default" w:ascii="Times New Roman" w:hAnsi="Times New Roman" w:cs="Times New Roman"/>
                      <w:color w:val="auto"/>
                      <w:szCs w:val="21"/>
                      <w:highlight w:val="none"/>
                    </w:rPr>
                    <w:t>污泥</w:t>
                  </w:r>
                  <w:r>
                    <w:rPr>
                      <w:rFonts w:hint="default" w:ascii="Times New Roman" w:hAnsi="Times New Roman" w:cs="Times New Roman"/>
                      <w:color w:val="auto"/>
                      <w:szCs w:val="21"/>
                      <w:highlight w:val="none"/>
                      <w:lang w:val="en-US" w:eastAsia="zh-CN"/>
                    </w:rPr>
                    <w:t>定期运往宣汉县生活垃圾填埋场处理；</w:t>
                  </w:r>
                  <w:r>
                    <w:rPr>
                      <w:rFonts w:hint="default" w:ascii="Times New Roman" w:hAnsi="Times New Roman" w:cs="Times New Roman"/>
                      <w:color w:val="auto"/>
                      <w:szCs w:val="21"/>
                      <w:highlight w:val="none"/>
                    </w:rPr>
                    <w:t>V型滤池废填料</w:t>
                  </w:r>
                  <w:r>
                    <w:rPr>
                      <w:rFonts w:hint="default" w:ascii="Times New Roman" w:hAnsi="Times New Roman" w:cs="Times New Roman"/>
                      <w:color w:val="auto"/>
                      <w:szCs w:val="21"/>
                      <w:highlight w:val="none"/>
                      <w:lang w:eastAsia="zh-CN"/>
                    </w:rPr>
                    <w:t>交由厂商回收处理；</w:t>
                  </w:r>
                  <w:r>
                    <w:rPr>
                      <w:rFonts w:hint="default" w:ascii="Times New Roman" w:hAnsi="Times New Roman" w:cs="Times New Roman"/>
                      <w:color w:val="auto"/>
                      <w:szCs w:val="21"/>
                      <w:highlight w:val="none"/>
                    </w:rPr>
                    <w:t>废包装材料</w:t>
                  </w:r>
                  <w:r>
                    <w:rPr>
                      <w:rFonts w:hint="default" w:ascii="Times New Roman" w:hAnsi="Times New Roman" w:cs="Times New Roman"/>
                      <w:color w:val="auto"/>
                      <w:szCs w:val="21"/>
                      <w:highlight w:val="none"/>
                      <w:lang w:eastAsia="zh-CN"/>
                    </w:rPr>
                    <w:t>定期交由废品收购站回收</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地下水</w:t>
                  </w:r>
                </w:p>
              </w:tc>
              <w:tc>
                <w:tcPr>
                  <w:tcW w:w="3820" w:type="pct"/>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left="0" w:leftChars="0"/>
                    <w:jc w:val="both"/>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重点防渗区</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lang w:val="en-US" w:eastAsia="zh-CN"/>
                    </w:rPr>
                    <w:t>加氯间、原料储备间</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color w:val="auto"/>
                      <w:kern w:val="2"/>
                      <w:sz w:val="21"/>
                      <w:szCs w:val="21"/>
                      <w:highlight w:val="none"/>
                    </w:rPr>
                    <w:t>采用</w:t>
                  </w:r>
                  <w:r>
                    <w:rPr>
                      <w:rFonts w:hint="default" w:ascii="Times New Roman" w:hAnsi="Times New Roman" w:cs="Times New Roman"/>
                      <w:color w:val="auto"/>
                      <w:sz w:val="21"/>
                      <w:szCs w:val="21"/>
                      <w:highlight w:val="none"/>
                    </w:rPr>
                    <w:t>防渗混凝土+2mm厚HDPE防渗层进行防渗、防腐处理</w:t>
                  </w:r>
                  <w:r>
                    <w:rPr>
                      <w:rFonts w:hint="default" w:ascii="Times New Roman" w:hAnsi="Times New Roman" w:cs="Times New Roman" w:eastAsiaTheme="minorEastAsia"/>
                      <w:color w:val="auto"/>
                      <w:sz w:val="21"/>
                      <w:szCs w:val="21"/>
                      <w:highlight w:val="none"/>
                    </w:rPr>
                    <w:t>，一般防渗区</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lang w:val="en-US" w:eastAsia="zh-CN"/>
                    </w:rPr>
                    <w:t>预沉池、清水池、泥水混合池、浓缩池、泥渣泵房、贮泥池、脱水间及回收泵井、泥棚、PAC投加间、PAM投加间、反冲洗泵房、化粪池、隔油池</w:t>
                  </w:r>
                  <w:r>
                    <w:rPr>
                      <w:rFonts w:hint="default" w:ascii="Times New Roman" w:hAnsi="Times New Roman" w:eastAsia="宋体" w:cs="Times New Roman"/>
                      <w:color w:val="auto"/>
                      <w:sz w:val="21"/>
                      <w:szCs w:val="21"/>
                      <w:highlight w:val="none"/>
                      <w:lang w:val="en-US" w:eastAsia="zh-CN" w:bidi="ar"/>
                    </w:rPr>
                    <w:t>等</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采用</w:t>
                  </w:r>
                  <w:r>
                    <w:rPr>
                      <w:rFonts w:hint="default" w:ascii="Times New Roman" w:hAnsi="Times New Roman" w:cs="Times New Roman"/>
                      <w:color w:val="auto"/>
                      <w:sz w:val="21"/>
                      <w:szCs w:val="21"/>
                      <w:highlight w:val="none"/>
                      <w:lang w:val="en-US" w:eastAsia="zh-CN" w:bidi="ar"/>
                    </w:rPr>
                    <w:t>25cmC30</w:t>
                  </w:r>
                  <w:r>
                    <w:rPr>
                      <w:rFonts w:hint="default" w:ascii="Times New Roman" w:hAnsi="Times New Roman" w:cs="Times New Roman" w:eastAsiaTheme="minorEastAsia"/>
                      <w:color w:val="auto"/>
                      <w:sz w:val="21"/>
                      <w:szCs w:val="21"/>
                      <w:highlight w:val="none"/>
                    </w:rPr>
                    <w:t>防渗混凝土+黏土防渗层，简单防渗区</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综合楼、厂区道路、除重点及一般防渗区以外的区域</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采取</w:t>
                  </w:r>
                  <w:r>
                    <w:rPr>
                      <w:rFonts w:hint="default" w:ascii="Times New Roman" w:hAnsi="Times New Roman" w:cs="Times New Roman"/>
                      <w:color w:val="auto"/>
                      <w:sz w:val="21"/>
                      <w:szCs w:val="21"/>
                      <w:highlight w:val="none"/>
                      <w:lang w:val="en-US" w:eastAsia="zh-CN"/>
                    </w:rPr>
                    <w:t>混凝土</w:t>
                  </w:r>
                  <w:r>
                    <w:rPr>
                      <w:rFonts w:hint="default" w:ascii="Times New Roman" w:hAnsi="Times New Roman" w:cs="Times New Roman" w:eastAsiaTheme="minorEastAsia"/>
                      <w:color w:val="auto"/>
                      <w:sz w:val="21"/>
                      <w:szCs w:val="21"/>
                      <w:highlight w:val="none"/>
                    </w:rPr>
                    <w:t>地面硬化</w:t>
                  </w:r>
                  <w:r>
                    <w:rPr>
                      <w:rFonts w:hint="default" w:ascii="Times New Roman" w:hAnsi="Times New Roman" w:cs="Times New Roman"/>
                      <w:color w:val="auto"/>
                      <w:sz w:val="21"/>
                      <w:szCs w:val="21"/>
                      <w:highlight w:val="none"/>
                      <w:lang w:eastAsia="zh-CN"/>
                    </w:rPr>
                    <w:t>。</w:t>
                  </w:r>
                </w:p>
              </w:tc>
              <w:tc>
                <w:tcPr>
                  <w:tcW w:w="565"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w:t>
                  </w:r>
                </w:p>
              </w:tc>
              <w:tc>
                <w:tcPr>
                  <w:tcW w:w="3820" w:type="pct"/>
                  <w:gridSpan w:val="2"/>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加氯间、</w:t>
                  </w:r>
                  <w:r>
                    <w:rPr>
                      <w:rFonts w:hint="default" w:ascii="Times New Roman" w:hAnsi="Times New Roman" w:cs="Times New Roman"/>
                      <w:color w:val="auto"/>
                      <w:sz w:val="21"/>
                      <w:szCs w:val="21"/>
                      <w:highlight w:val="none"/>
                      <w:lang w:val="en-US" w:eastAsia="zh-CN"/>
                    </w:rPr>
                    <w:t>原料储备间</w:t>
                  </w:r>
                  <w:r>
                    <w:rPr>
                      <w:rFonts w:hint="default" w:ascii="Times New Roman" w:hAnsi="Times New Roman" w:eastAsia="宋体" w:cs="Times New Roman"/>
                      <w:color w:val="auto"/>
                      <w:sz w:val="21"/>
                      <w:szCs w:val="21"/>
                      <w:highlight w:val="none"/>
                    </w:rPr>
                    <w:t>应采取重点防渗措施，其中复合氯酸钠储罐区、复合硫酸氢钠储罐区设置防渗围堰（约1.5m），围堰采用不渗透的材料做防渗处理，并设置泄露收集沟和泄露收集坑（0.125m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严格落实消防设计规范，设置警示标识，配备相应数量灭火器，开展员工安全培训</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加强输水管道施工质量，密切监控供水水压变化情况，建立事故抢修队伍，成立事故应急处置机构，一旦输水管道破裂，立即暂停供水，待事故处置完毕，委托专业机构进行原水水质监测合格后，再恢复供水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设置在线自动监测网与预警系统；委托第三方单位定期检测水厂进、出水质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严格规范化操作、建立必要的预备系统或设备、制定事故及时处理计划、编制应急预案</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color w:val="auto"/>
                      <w:sz w:val="21"/>
                      <w:szCs w:val="21"/>
                      <w:highlight w:val="none"/>
                    </w:rPr>
                    <w:t>生态保护</w:t>
                  </w:r>
                </w:p>
              </w:tc>
              <w:tc>
                <w:tcPr>
                  <w:tcW w:w="3820" w:type="pct"/>
                  <w:gridSpan w:val="2"/>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both"/>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eastAsiaTheme="minorEastAsia"/>
                      <w:color w:val="auto"/>
                      <w:sz w:val="21"/>
                      <w:szCs w:val="21"/>
                      <w:highlight w:val="none"/>
                    </w:rPr>
                    <w:t>妥善处理施工期产生的各类污染物，防止对重点地段的生态环境造成较大的污染</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lang w:val="en-US" w:eastAsia="zh-CN"/>
                    </w:rPr>
                    <w:t>做好迹地恢复</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植被恢复</w:t>
                  </w:r>
                  <w:r>
                    <w:rPr>
                      <w:rFonts w:hint="default" w:ascii="Times New Roman" w:hAnsi="Times New Roman" w:cs="Times New Roman"/>
                      <w:color w:val="auto"/>
                      <w:sz w:val="21"/>
                      <w:szCs w:val="21"/>
                      <w:highlight w:val="none"/>
                      <w:lang w:val="en-US" w:eastAsia="zh-CN"/>
                    </w:rPr>
                    <w:t>等</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tcBorders>
                    <w:tl2br w:val="nil"/>
                    <w:tr2bl w:val="nil"/>
                  </w:tcBorders>
                  <w:noWrap w:val="0"/>
                  <w:vAlign w:val="center"/>
                </w:tcPr>
                <w:p>
                  <w:pPr>
                    <w:pStyle w:val="34"/>
                    <w:keepNext w:val="0"/>
                    <w:keepLines w:val="0"/>
                    <w:pageBreakBefore w:val="0"/>
                    <w:kinsoku/>
                    <w:wordWrap/>
                    <w:topLinePunct w:val="0"/>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环境监测</w:t>
                  </w:r>
                </w:p>
              </w:tc>
              <w:tc>
                <w:tcPr>
                  <w:tcW w:w="3820" w:type="pct"/>
                  <w:gridSpan w:val="2"/>
                  <w:tcBorders>
                    <w:tl2br w:val="nil"/>
                    <w:tr2bl w:val="nil"/>
                  </w:tcBorders>
                  <w:noWrap w:val="0"/>
                  <w:vAlign w:val="center"/>
                </w:tcPr>
                <w:p>
                  <w:pPr>
                    <w:keepNext w:val="0"/>
                    <w:keepLines w:val="0"/>
                    <w:pageBreakBefore w:val="0"/>
                    <w:kinsoku/>
                    <w:wordWrap/>
                    <w:topLinePunct w:val="0"/>
                    <w:bidi w:val="0"/>
                    <w:ind w:left="0" w:left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制定自行监测方案，定期开展污染源监测</w:t>
                  </w:r>
                </w:p>
              </w:tc>
              <w:tc>
                <w:tcPr>
                  <w:tcW w:w="565"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3"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3820" w:type="pct"/>
                  <w:gridSpan w:val="2"/>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65" w:type="pct"/>
                  <w:tcBorders>
                    <w:tl2br w:val="nil"/>
                    <w:tr2bl w:val="nil"/>
                  </w:tcBorders>
                  <w:noWrap w:val="0"/>
                  <w:vAlign w:val="center"/>
                </w:tcPr>
                <w:p>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119.5</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pPr>
              <w:keepNext w:val="0"/>
              <w:keepLines w:val="0"/>
              <w:pageBreakBefore w:val="0"/>
              <w:kinsoku/>
              <w:wordWrap/>
              <w:topLinePunct w:val="0"/>
              <w:bidi w:val="0"/>
              <w:spacing w:line="360" w:lineRule="auto"/>
              <w:ind w:left="0" w:leftChars="0"/>
              <w:rPr>
                <w:rFonts w:hint="eastAsia" w:ascii="Times New Roman" w:hAnsi="Times New Roman" w:cs="Times New Roman"/>
                <w:color w:val="auto"/>
                <w:sz w:val="24"/>
                <w:szCs w:val="32"/>
                <w:highlight w:val="none"/>
                <w:vertAlign w:val="baseline"/>
                <w:lang w:eastAsia="zh-CN"/>
              </w:rPr>
            </w:pPr>
          </w:p>
          <w:p>
            <w:pPr>
              <w:keepNext w:val="0"/>
              <w:keepLines w:val="0"/>
              <w:pageBreakBefore w:val="0"/>
              <w:kinsoku/>
              <w:wordWrap/>
              <w:topLinePunct w:val="0"/>
              <w:bidi w:val="0"/>
              <w:spacing w:line="360" w:lineRule="auto"/>
              <w:ind w:left="0" w:leftChars="0"/>
              <w:rPr>
                <w:rFonts w:hint="eastAsia" w:ascii="Times New Roman" w:hAnsi="Times New Roman" w:cs="Times New Roman"/>
                <w:color w:val="auto"/>
                <w:sz w:val="24"/>
                <w:szCs w:val="32"/>
                <w:highlight w:val="none"/>
                <w:vertAlign w:val="baseline"/>
                <w:lang w:eastAsia="zh-CN"/>
              </w:rPr>
            </w:pPr>
          </w:p>
          <w:p>
            <w:pPr>
              <w:keepNext w:val="0"/>
              <w:keepLines w:val="0"/>
              <w:pageBreakBefore w:val="0"/>
              <w:kinsoku/>
              <w:wordWrap/>
              <w:topLinePunct w:val="0"/>
              <w:bidi w:val="0"/>
              <w:spacing w:line="360" w:lineRule="auto"/>
              <w:ind w:left="0" w:leftChars="0"/>
              <w:rPr>
                <w:rFonts w:hint="eastAsia" w:ascii="Times New Roman" w:hAnsi="Times New Roman" w:cs="Times New Roman"/>
                <w:color w:val="auto"/>
                <w:sz w:val="24"/>
                <w:szCs w:val="32"/>
                <w:highlight w:val="none"/>
                <w:vertAlign w:val="baseline"/>
                <w:lang w:eastAsia="zh-CN"/>
              </w:rPr>
            </w:pPr>
          </w:p>
          <w:p>
            <w:pPr>
              <w:keepNext w:val="0"/>
              <w:keepLines w:val="0"/>
              <w:pageBreakBefore w:val="0"/>
              <w:kinsoku/>
              <w:wordWrap/>
              <w:topLinePunct w:val="0"/>
              <w:bidi w:val="0"/>
              <w:spacing w:line="360" w:lineRule="auto"/>
              <w:ind w:left="0" w:leftChars="0"/>
              <w:rPr>
                <w:rFonts w:hint="default" w:ascii="Times New Roman" w:hAnsi="Times New Roman" w:cs="Times New Roman"/>
                <w:color w:val="auto"/>
                <w:sz w:val="24"/>
                <w:szCs w:val="32"/>
                <w:highlight w:val="none"/>
                <w:vertAlign w:val="baseline"/>
                <w:lang w:eastAsia="zh-CN"/>
              </w:rPr>
            </w:pPr>
          </w:p>
        </w:tc>
      </w:tr>
    </w:tbl>
    <w:p>
      <w:pPr>
        <w:keepNext w:val="0"/>
        <w:keepLines w:val="0"/>
        <w:pageBreakBefore w:val="0"/>
        <w:kinsoku/>
        <w:wordWrap/>
        <w:topLinePunct w:val="0"/>
        <w:bidi w:val="0"/>
        <w:spacing w:line="360" w:lineRule="auto"/>
        <w:ind w:left="0" w:leftChars="0"/>
        <w:rPr>
          <w:rFonts w:hint="default" w:ascii="Times New Roman" w:hAnsi="Times New Roman" w:cs="Times New Roman"/>
          <w:color w:val="auto"/>
          <w:sz w:val="24"/>
          <w:szCs w:val="32"/>
          <w:highlight w:val="none"/>
          <w:lang w:eastAsia="zh-CN"/>
        </w:rPr>
      </w:pPr>
    </w:p>
    <w:p>
      <w:pPr>
        <w:pStyle w:val="25"/>
        <w:keepNext w:val="0"/>
        <w:keepLines w:val="0"/>
        <w:pageBreakBefore w:val="0"/>
        <w:kinsoku/>
        <w:wordWrap/>
        <w:topLinePunct w:val="0"/>
        <w:bidi w:val="0"/>
        <w:ind w:left="0" w:leftChars="0"/>
        <w:jc w:val="center"/>
        <w:rPr>
          <w:rFonts w:hint="default" w:ascii="Times New Roman" w:hAnsi="Times New Roman" w:eastAsia="黑体" w:cs="Times New Roman"/>
          <w:b w:val="0"/>
          <w:color w:val="auto"/>
          <w:sz w:val="30"/>
          <w:szCs w:val="30"/>
          <w:highlight w:val="none"/>
        </w:rPr>
        <w:sectPr>
          <w:pgSz w:w="11906" w:h="16838"/>
          <w:pgMar w:top="1440" w:right="1361" w:bottom="1440" w:left="1361"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25"/>
        <w:keepNext w:val="0"/>
        <w:keepLines w:val="0"/>
        <w:pageBreakBefore w:val="0"/>
        <w:kinsoku/>
        <w:wordWrap/>
        <w:topLinePunct w:val="0"/>
        <w:bidi w:val="0"/>
        <w:ind w:left="0" w:leftChars="0"/>
        <w:jc w:val="center"/>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b w:val="0"/>
          <w:color w:val="auto"/>
          <w:sz w:val="30"/>
          <w:szCs w:val="30"/>
          <w:highlight w:val="none"/>
        </w:rPr>
        <w:t>五、环境保护措施监督检查清单</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244"/>
        <w:gridCol w:w="1742"/>
        <w:gridCol w:w="1296"/>
        <w:gridCol w:w="3142"/>
        <w:gridCol w:w="1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669" w:type="pct"/>
            <w:tcBorders>
              <w:tl2br w:val="single" w:color="auto" w:sz="4" w:space="0"/>
            </w:tcBorders>
            <w:vAlign w:val="center"/>
          </w:tcPr>
          <w:p>
            <w:pPr>
              <w:keepNext w:val="0"/>
              <w:keepLines w:val="0"/>
              <w:pageBreakBefore w:val="0"/>
              <w:kinsoku/>
              <w:wordWrap/>
              <w:topLinePunct w:val="0"/>
              <w:bidi w:val="0"/>
              <w:spacing w:line="240" w:lineRule="auto"/>
              <w:ind w:left="0" w:leftChars="0"/>
              <w:jc w:val="right"/>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内容</w:t>
            </w:r>
          </w:p>
          <w:p>
            <w:pPr>
              <w:keepNext w:val="0"/>
              <w:keepLines w:val="0"/>
              <w:pageBreakBefore w:val="0"/>
              <w:kinsoku/>
              <w:wordWrap/>
              <w:topLinePunct w:val="0"/>
              <w:bidi w:val="0"/>
              <w:spacing w:line="240" w:lineRule="auto"/>
              <w:ind w:left="0" w:leftChars="0"/>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要素</w:t>
            </w:r>
          </w:p>
        </w:tc>
        <w:tc>
          <w:tcPr>
            <w:tcW w:w="937"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排放口（编号、名称）/污染源</w:t>
            </w:r>
          </w:p>
        </w:tc>
        <w:tc>
          <w:tcPr>
            <w:tcW w:w="697"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污染物项目</w:t>
            </w:r>
          </w:p>
        </w:tc>
        <w:tc>
          <w:tcPr>
            <w:tcW w:w="1690"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环境保护措施</w:t>
            </w:r>
          </w:p>
        </w:tc>
        <w:tc>
          <w:tcPr>
            <w:tcW w:w="1004"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669"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大气环境</w:t>
            </w:r>
          </w:p>
        </w:tc>
        <w:tc>
          <w:tcPr>
            <w:tcW w:w="937" w:type="pct"/>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食堂油烟</w:t>
            </w:r>
          </w:p>
        </w:tc>
        <w:tc>
          <w:tcPr>
            <w:tcW w:w="69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油烟</w:t>
            </w:r>
          </w:p>
        </w:tc>
        <w:tc>
          <w:tcPr>
            <w:tcW w:w="1690" w:type="pct"/>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
              </w:rPr>
              <w:t>安</w:t>
            </w:r>
            <w:r>
              <w:rPr>
                <w:rFonts w:hint="default" w:ascii="Times New Roman" w:hAnsi="Times New Roman" w:cs="Times New Roman"/>
                <w:color w:val="auto"/>
                <w:sz w:val="21"/>
                <w:szCs w:val="21"/>
                <w:highlight w:val="none"/>
                <w:lang w:bidi="ar"/>
              </w:rPr>
              <w:t>装1套</w:t>
            </w:r>
            <w:r>
              <w:rPr>
                <w:rFonts w:hint="default" w:ascii="Times New Roman" w:hAnsi="Times New Roman" w:cs="Times New Roman"/>
                <w:color w:val="auto"/>
                <w:sz w:val="21"/>
                <w:szCs w:val="21"/>
                <w:highlight w:val="none"/>
                <w:lang w:val="en-US" w:eastAsia="zh-CN" w:bidi="ar"/>
              </w:rPr>
              <w:t>油烟净化器</w:t>
            </w:r>
            <w:r>
              <w:rPr>
                <w:rFonts w:hint="default" w:ascii="Times New Roman" w:hAnsi="Times New Roman" w:cs="Times New Roman"/>
                <w:bCs/>
                <w:color w:val="auto"/>
                <w:sz w:val="21"/>
                <w:szCs w:val="21"/>
                <w:highlight w:val="none"/>
              </w:rPr>
              <w:t>处理食堂油烟</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lang w:val="en-US" w:eastAsia="zh-CN"/>
              </w:rPr>
              <w:t>处理后外排</w:t>
            </w:r>
          </w:p>
        </w:tc>
        <w:tc>
          <w:tcPr>
            <w:tcW w:w="1004"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《饮食业油烟排放标准》（GB18483-2001）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7" w:hRule="atLeast"/>
          <w:jc w:val="center"/>
        </w:trPr>
        <w:tc>
          <w:tcPr>
            <w:tcW w:w="669" w:type="pct"/>
            <w:vMerge w:val="restar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地表水环境</w:t>
            </w:r>
          </w:p>
        </w:tc>
        <w:tc>
          <w:tcPr>
            <w:tcW w:w="937" w:type="pct"/>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生活污水</w:t>
            </w:r>
          </w:p>
        </w:tc>
        <w:tc>
          <w:tcPr>
            <w:tcW w:w="697" w:type="pct"/>
            <w:vMerge w:val="restar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rPr>
              <w:t>pH、COD、BOD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动植物油等</w:t>
            </w:r>
          </w:p>
        </w:tc>
        <w:tc>
          <w:tcPr>
            <w:tcW w:w="1690" w:type="pct"/>
            <w:vMerge w:val="restar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食堂废水经隔油池（容积1m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lang w:val="en-US" w:eastAsia="zh-CN"/>
              </w:rPr>
              <w:t>）处理后同生活污水一同进入化粪池（容积10m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处理后用于农肥</w:t>
            </w:r>
          </w:p>
        </w:tc>
        <w:tc>
          <w:tcPr>
            <w:tcW w:w="1004" w:type="pct"/>
            <w:vMerge w:val="restar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669" w:type="pct"/>
            <w:vMerge w:val="continue"/>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p>
        </w:tc>
        <w:tc>
          <w:tcPr>
            <w:tcW w:w="937" w:type="pct"/>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食堂废水</w:t>
            </w:r>
          </w:p>
        </w:tc>
        <w:tc>
          <w:tcPr>
            <w:tcW w:w="697" w:type="pct"/>
            <w:vMerge w:val="continue"/>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p>
        </w:tc>
        <w:tc>
          <w:tcPr>
            <w:tcW w:w="1690" w:type="pct"/>
            <w:vMerge w:val="continue"/>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p>
        </w:tc>
        <w:tc>
          <w:tcPr>
            <w:tcW w:w="1004" w:type="pct"/>
            <w:vMerge w:val="continue"/>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669" w:type="pct"/>
            <w:vMerge w:val="continue"/>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p>
        </w:tc>
        <w:tc>
          <w:tcPr>
            <w:tcW w:w="937" w:type="pct"/>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生产废水</w:t>
            </w:r>
          </w:p>
        </w:tc>
        <w:tc>
          <w:tcPr>
            <w:tcW w:w="697"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lang w:val="en-US" w:eastAsia="zh-CN"/>
              </w:rPr>
              <w:t>SS</w:t>
            </w: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r>
              <w:rPr>
                <w:rFonts w:hint="default" w:ascii="Times New Roman" w:hAnsi="Times New Roman" w:cs="Times New Roman"/>
                <w:color w:val="auto"/>
                <w:sz w:val="21"/>
                <w:szCs w:val="21"/>
                <w:highlight w:val="none"/>
                <w:lang w:val="en-US" w:eastAsia="zh-CN"/>
              </w:rPr>
              <w:t>等</w:t>
            </w:r>
          </w:p>
        </w:tc>
        <w:tc>
          <w:tcPr>
            <w:tcW w:w="1690" w:type="pct"/>
            <w:vAlign w:val="center"/>
          </w:tcPr>
          <w:p>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项目排泥水和反冲洗废水经泥水混合池收集后，经泵提升至浓缩池进行浓缩，其上清液回用至预沉池，底部泥水进入脱水间脱水，其脱水滤液回到泥水混合池，生产废水循环使用，不外排</w:t>
            </w:r>
          </w:p>
        </w:tc>
        <w:tc>
          <w:tcPr>
            <w:tcW w:w="1004"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669"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声环境</w:t>
            </w:r>
          </w:p>
        </w:tc>
        <w:tc>
          <w:tcPr>
            <w:tcW w:w="937"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设备噪声</w:t>
            </w:r>
          </w:p>
        </w:tc>
        <w:tc>
          <w:tcPr>
            <w:tcW w:w="697"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噪声</w:t>
            </w:r>
          </w:p>
        </w:tc>
        <w:tc>
          <w:tcPr>
            <w:tcW w:w="1690"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选用低噪声设备；各类污水泵采用潜水泵，噪声源位于液面以下；高噪声设备置于单独的房间内，安装设备减震器，加强管理，通过隔声和距离衰减使噪声达标。</w:t>
            </w:r>
          </w:p>
        </w:tc>
        <w:tc>
          <w:tcPr>
            <w:tcW w:w="1004"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《工业企业厂界环境噪声排放标准》（GB12348-2008）</w:t>
            </w:r>
            <w:r>
              <w:rPr>
                <w:rFonts w:hint="default" w:ascii="Times New Roman" w:hAnsi="Times New Roman" w:cs="Times New Roman" w:eastAsiaTheme="minorEastAsia"/>
                <w:color w:val="auto"/>
                <w:sz w:val="21"/>
                <w:szCs w:val="21"/>
                <w:highlight w:val="none"/>
                <w:lang w:val="en-US" w:eastAsia="zh-CN"/>
              </w:rPr>
              <w:t>2</w:t>
            </w:r>
            <w:r>
              <w:rPr>
                <w:rFonts w:hint="default" w:ascii="Times New Roman" w:hAnsi="Times New Roman" w:cs="Times New Roman" w:eastAsiaTheme="minorEastAsia"/>
                <w:color w:val="auto"/>
                <w:sz w:val="21"/>
                <w:szCs w:val="21"/>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669"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电磁辐射</w:t>
            </w:r>
          </w:p>
        </w:tc>
        <w:tc>
          <w:tcPr>
            <w:tcW w:w="937"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c>
          <w:tcPr>
            <w:tcW w:w="697"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c>
          <w:tcPr>
            <w:tcW w:w="1690"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c>
          <w:tcPr>
            <w:tcW w:w="1004"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669"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固体废物</w:t>
            </w:r>
          </w:p>
        </w:tc>
        <w:tc>
          <w:tcPr>
            <w:tcW w:w="4330" w:type="pct"/>
            <w:gridSpan w:val="4"/>
            <w:vAlign w:val="center"/>
          </w:tcPr>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Cs w:val="21"/>
                <w:highlight w:val="none"/>
              </w:rPr>
              <w:t>生活垃圾经袋装收集后定期交由环卫部门统一清运</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餐厨垃圾委托有合法手续的餐厨垃圾处置单位进行处置；栅渣及沉砂、</w:t>
            </w:r>
            <w:r>
              <w:rPr>
                <w:rFonts w:hint="default" w:ascii="Times New Roman" w:hAnsi="Times New Roman" w:cs="Times New Roman"/>
                <w:color w:val="auto"/>
                <w:szCs w:val="21"/>
                <w:highlight w:val="none"/>
              </w:rPr>
              <w:t>污泥</w:t>
            </w:r>
            <w:r>
              <w:rPr>
                <w:rFonts w:hint="default" w:ascii="Times New Roman" w:hAnsi="Times New Roman" w:cs="Times New Roman"/>
                <w:color w:val="auto"/>
                <w:szCs w:val="21"/>
                <w:highlight w:val="none"/>
                <w:lang w:val="en-US" w:eastAsia="zh-CN"/>
              </w:rPr>
              <w:t>定期运往宣汉县生活垃圾填埋场处理；</w:t>
            </w:r>
            <w:r>
              <w:rPr>
                <w:rFonts w:hint="default" w:ascii="Times New Roman" w:hAnsi="Times New Roman" w:cs="Times New Roman"/>
                <w:color w:val="auto"/>
                <w:szCs w:val="21"/>
                <w:highlight w:val="none"/>
              </w:rPr>
              <w:t>V型滤池废填料</w:t>
            </w:r>
            <w:r>
              <w:rPr>
                <w:rFonts w:hint="default" w:ascii="Times New Roman" w:hAnsi="Times New Roman" w:cs="Times New Roman"/>
                <w:color w:val="auto"/>
                <w:szCs w:val="21"/>
                <w:highlight w:val="none"/>
                <w:lang w:eastAsia="zh-CN"/>
              </w:rPr>
              <w:t>交由厂商回收处理；</w:t>
            </w:r>
            <w:r>
              <w:rPr>
                <w:rFonts w:hint="default" w:ascii="Times New Roman" w:hAnsi="Times New Roman" w:cs="Times New Roman"/>
                <w:color w:val="auto"/>
                <w:szCs w:val="21"/>
                <w:highlight w:val="none"/>
              </w:rPr>
              <w:t>废包装材料</w:t>
            </w:r>
            <w:r>
              <w:rPr>
                <w:rFonts w:hint="default" w:ascii="Times New Roman" w:hAnsi="Times New Roman" w:cs="Times New Roman"/>
                <w:color w:val="auto"/>
                <w:szCs w:val="21"/>
                <w:highlight w:val="none"/>
                <w:lang w:eastAsia="zh-CN"/>
              </w:rPr>
              <w:t>定期交由废品收购站回收</w:t>
            </w:r>
            <w:r>
              <w:rPr>
                <w:rFonts w:hint="default" w:ascii="Times New Roman" w:hAnsi="Times New Roman"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669"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土壤及地下水污染防治措施</w:t>
            </w:r>
          </w:p>
        </w:tc>
        <w:tc>
          <w:tcPr>
            <w:tcW w:w="4330" w:type="pct"/>
            <w:gridSpan w:val="4"/>
            <w:vAlign w:val="center"/>
          </w:tcPr>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重点防渗区</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lang w:val="en-US" w:eastAsia="zh-CN"/>
              </w:rPr>
              <w:t>加氯间、原料储备间</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color w:val="auto"/>
                <w:kern w:val="2"/>
                <w:sz w:val="21"/>
                <w:szCs w:val="21"/>
                <w:highlight w:val="none"/>
              </w:rPr>
              <w:t>采用</w:t>
            </w:r>
            <w:r>
              <w:rPr>
                <w:rFonts w:hint="default" w:ascii="Times New Roman" w:hAnsi="Times New Roman" w:cs="Times New Roman"/>
                <w:color w:val="auto"/>
                <w:sz w:val="21"/>
                <w:szCs w:val="21"/>
                <w:highlight w:val="none"/>
              </w:rPr>
              <w:t>防渗混凝土+2mm厚HDPE防渗层进行防渗、防腐处理</w:t>
            </w:r>
            <w:r>
              <w:rPr>
                <w:rFonts w:hint="default" w:ascii="Times New Roman" w:hAnsi="Times New Roman" w:cs="Times New Roman" w:eastAsiaTheme="minorEastAsia"/>
                <w:color w:val="auto"/>
                <w:sz w:val="21"/>
                <w:szCs w:val="21"/>
                <w:highlight w:val="none"/>
              </w:rPr>
              <w:t>，一般防渗区</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lang w:val="en-US" w:eastAsia="zh-CN"/>
              </w:rPr>
              <w:t>预沉池、清水池、泥水混合池、浓缩池、泥渣泵房、贮泥池、脱水间及回收泵井、泥棚、PAC投加间、PAM投加间、反冲洗泵房、化粪池、隔油池</w:t>
            </w:r>
            <w:r>
              <w:rPr>
                <w:rFonts w:hint="default" w:ascii="Times New Roman" w:hAnsi="Times New Roman" w:eastAsia="宋体" w:cs="Times New Roman"/>
                <w:color w:val="auto"/>
                <w:sz w:val="21"/>
                <w:szCs w:val="21"/>
                <w:highlight w:val="none"/>
                <w:lang w:val="en-US" w:eastAsia="zh-CN" w:bidi="ar"/>
              </w:rPr>
              <w:t>等</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采用</w:t>
            </w:r>
            <w:r>
              <w:rPr>
                <w:rFonts w:hint="default" w:ascii="Times New Roman" w:hAnsi="Times New Roman" w:cs="Times New Roman"/>
                <w:color w:val="auto"/>
                <w:sz w:val="21"/>
                <w:szCs w:val="21"/>
                <w:highlight w:val="none"/>
                <w:lang w:val="en-US" w:eastAsia="zh-CN" w:bidi="ar"/>
              </w:rPr>
              <w:t>25cmC30</w:t>
            </w:r>
            <w:r>
              <w:rPr>
                <w:rFonts w:hint="default" w:ascii="Times New Roman" w:hAnsi="Times New Roman" w:cs="Times New Roman" w:eastAsiaTheme="minorEastAsia"/>
                <w:color w:val="auto"/>
                <w:sz w:val="21"/>
                <w:szCs w:val="21"/>
                <w:highlight w:val="none"/>
              </w:rPr>
              <w:t>防渗混凝土+黏土防渗层，简单防渗区</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综合楼、厂区道路、除重点及一般防渗区以外的区域</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采取</w:t>
            </w:r>
            <w:r>
              <w:rPr>
                <w:rFonts w:hint="default" w:ascii="Times New Roman" w:hAnsi="Times New Roman" w:cs="Times New Roman"/>
                <w:color w:val="auto"/>
                <w:sz w:val="21"/>
                <w:szCs w:val="21"/>
                <w:highlight w:val="none"/>
                <w:lang w:val="en-US" w:eastAsia="zh-CN"/>
              </w:rPr>
              <w:t>混凝土</w:t>
            </w:r>
            <w:r>
              <w:rPr>
                <w:rFonts w:hint="default" w:ascii="Times New Roman" w:hAnsi="Times New Roman" w:cs="Times New Roman" w:eastAsiaTheme="minorEastAsia"/>
                <w:color w:val="auto"/>
                <w:sz w:val="21"/>
                <w:szCs w:val="21"/>
                <w:highlight w:val="none"/>
              </w:rPr>
              <w:t>地面硬化</w:t>
            </w:r>
            <w:r>
              <w:rPr>
                <w:rFonts w:hint="default" w:ascii="Times New Roman" w:hAnsi="Times New Roman"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669"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生态保护措施</w:t>
            </w:r>
          </w:p>
        </w:tc>
        <w:tc>
          <w:tcPr>
            <w:tcW w:w="4330" w:type="pct"/>
            <w:gridSpan w:val="4"/>
            <w:vAlign w:val="center"/>
          </w:tcPr>
          <w:p>
            <w:pPr>
              <w:keepNext w:val="0"/>
              <w:keepLines w:val="0"/>
              <w:pageBreakBefore w:val="0"/>
              <w:kinsoku/>
              <w:wordWrap/>
              <w:topLinePunct w:val="0"/>
              <w:bidi w:val="0"/>
              <w:spacing w:line="240" w:lineRule="auto"/>
              <w:ind w:left="0" w:leftChars="0"/>
              <w:jc w:val="left"/>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①强化施工阶段的环境管理，在施工期间，为了保证施工质量，应由质量监理部门派人进行监督，为了更好地落实环境保护措施，也应建立环境保护监理制度。</w:t>
            </w:r>
          </w:p>
          <w:p>
            <w:pPr>
              <w:keepNext w:val="0"/>
              <w:keepLines w:val="0"/>
              <w:pageBreakBefore w:val="0"/>
              <w:kinsoku/>
              <w:wordWrap/>
              <w:topLinePunct w:val="0"/>
              <w:bidi w:val="0"/>
              <w:spacing w:line="240" w:lineRule="auto"/>
              <w:ind w:left="0" w:leftChars="0"/>
              <w:jc w:val="left"/>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②加强施工队伍职工环境教育，规范施工人员行为。教育职工爱护环境，保护施工场所周围的一草一木，不随意摘花、折木，严禁砍伐、破坏施工区以外的作物和树木。</w:t>
            </w:r>
          </w:p>
          <w:p>
            <w:pPr>
              <w:keepNext w:val="0"/>
              <w:keepLines w:val="0"/>
              <w:pageBreakBefore w:val="0"/>
              <w:kinsoku/>
              <w:wordWrap/>
              <w:topLinePunct w:val="0"/>
              <w:bidi w:val="0"/>
              <w:spacing w:line="240" w:lineRule="auto"/>
              <w:ind w:left="0" w:leftChars="0"/>
              <w:jc w:val="left"/>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③严格划定施工作业范围，在施工带内施工。在保证施工顺利进行前提下，尽量减少占地面积。严格限制施工人员及施工机械活动范围。在绿化带内施工，应少用机械作业，以最大限度地减少对林木的破坏。</w:t>
            </w:r>
          </w:p>
          <w:p>
            <w:pPr>
              <w:keepNext w:val="0"/>
              <w:keepLines w:val="0"/>
              <w:pageBreakBefore w:val="0"/>
              <w:kinsoku/>
              <w:wordWrap/>
              <w:topLinePunct w:val="0"/>
              <w:bidi w:val="0"/>
              <w:spacing w:line="240" w:lineRule="auto"/>
              <w:ind w:left="0" w:leftChars="0"/>
              <w:jc w:val="left"/>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④施工中应执行分层开挖的操作规范。在管沟开挖时，表土（耕作层土）与底层土应分别堆放，回填时也应分层回填，尽可能恢复表土以保护土壤结构和肥力，保持作物原有的生态环境。回填时，还应留足适宜的堆积层，防止因降水、径流造成地表下陷和水土流失。回填后剩余的弃土应及时运走，指定地点回填或堆放，不得随意丢弃。</w:t>
            </w:r>
          </w:p>
          <w:p>
            <w:pPr>
              <w:keepNext w:val="0"/>
              <w:keepLines w:val="0"/>
              <w:pageBreakBefore w:val="0"/>
              <w:kinsoku/>
              <w:wordWrap/>
              <w:topLinePunct w:val="0"/>
              <w:bidi w:val="0"/>
              <w:spacing w:line="240" w:lineRule="auto"/>
              <w:ind w:left="0" w:leftChars="0"/>
              <w:jc w:val="left"/>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⑤妥善处理施工期产生的各类污染物，防止对重点地段的生态环境造成较大的污染。</w:t>
            </w:r>
          </w:p>
          <w:p>
            <w:pPr>
              <w:keepNext w:val="0"/>
              <w:keepLines w:val="0"/>
              <w:pageBreakBefore w:val="0"/>
              <w:kinsoku/>
              <w:wordWrap/>
              <w:topLinePunct w:val="0"/>
              <w:bidi w:val="0"/>
              <w:spacing w:line="240" w:lineRule="auto"/>
              <w:ind w:left="0" w:leftChars="0"/>
              <w:jc w:val="left"/>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⑥做好土地的复垦工作。施工结束后，施工单位应负责清理现场，按照国务院的《土地复垦规定》进行复垦。凡受到施工车辆、机械破坏的地方都要及时修整，恢复原貌，植被一时难以恢复的可在来年予以恢复。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669"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环境风险</w:t>
            </w:r>
          </w:p>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防范措施</w:t>
            </w:r>
          </w:p>
        </w:tc>
        <w:tc>
          <w:tcPr>
            <w:tcW w:w="4330" w:type="pct"/>
            <w:gridSpan w:val="4"/>
            <w:vAlign w:val="center"/>
          </w:tcPr>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加氯间、原料储备间</w:t>
            </w:r>
            <w:r>
              <w:rPr>
                <w:rFonts w:hint="default" w:ascii="Times New Roman" w:hAnsi="Times New Roman" w:cs="Times New Roman"/>
                <w:color w:val="auto"/>
                <w:sz w:val="21"/>
                <w:szCs w:val="21"/>
                <w:highlight w:val="none"/>
                <w:lang w:val="en-US" w:eastAsia="zh-CN"/>
              </w:rPr>
              <w:t>采取重点防渗，且复合氯酸钠储罐和复合硫酸钠储罐设置1.5m围堰，并设置泄露收集沟和泄露收集坑，在厂区</w:t>
            </w:r>
            <w:r>
              <w:rPr>
                <w:rFonts w:hint="default" w:ascii="Times New Roman" w:hAnsi="Times New Roman" w:eastAsia="宋体" w:cs="Times New Roman"/>
                <w:color w:val="auto"/>
                <w:sz w:val="21"/>
                <w:szCs w:val="21"/>
                <w:highlight w:val="none"/>
              </w:rPr>
              <w:t>配备相应数量灭火器，加强输水管道施工质量，密切监控供水水压变化情况，建立事故抢修队伍，成立事故应急处置机构，</w:t>
            </w:r>
            <w:r>
              <w:rPr>
                <w:rFonts w:hint="default" w:ascii="Times New Roman" w:hAnsi="Times New Roman" w:eastAsia="宋体" w:cs="Times New Roman"/>
                <w:color w:val="auto"/>
                <w:sz w:val="21"/>
                <w:szCs w:val="21"/>
                <w:highlight w:val="none"/>
                <w:lang w:val="en-US" w:eastAsia="zh-CN"/>
              </w:rPr>
              <w:t>设置</w:t>
            </w:r>
            <w:r>
              <w:rPr>
                <w:rFonts w:hint="default" w:ascii="Times New Roman" w:hAnsi="Times New Roman" w:eastAsia="宋体" w:cs="Times New Roman"/>
                <w:color w:val="auto"/>
                <w:sz w:val="21"/>
                <w:szCs w:val="21"/>
                <w:highlight w:val="none"/>
              </w:rPr>
              <w:t>水源在线自动监测网与预警系统；委托第三方单位定期检测</w:t>
            </w:r>
            <w:r>
              <w:rPr>
                <w:rFonts w:hint="default" w:ascii="Times New Roman" w:hAnsi="Times New Roman" w:eastAsia="宋体" w:cs="Times New Roman"/>
                <w:color w:val="auto"/>
                <w:sz w:val="21"/>
                <w:szCs w:val="21"/>
                <w:highlight w:val="none"/>
                <w:lang w:eastAsia="zh-CN"/>
              </w:rPr>
              <w:t>水厂</w:t>
            </w:r>
            <w:r>
              <w:rPr>
                <w:rFonts w:hint="default" w:ascii="Times New Roman" w:hAnsi="Times New Roman" w:eastAsia="宋体" w:cs="Times New Roman"/>
                <w:color w:val="auto"/>
                <w:sz w:val="21"/>
                <w:szCs w:val="21"/>
                <w:highlight w:val="none"/>
              </w:rPr>
              <w:t>进、出水质；制定环境风险应急预案</w:t>
            </w:r>
            <w:r>
              <w:rPr>
                <w:rFonts w:hint="default" w:ascii="Times New Roman" w:hAnsi="Times New Roman"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69" w:type="pct"/>
            <w:vAlign w:val="center"/>
          </w:tcPr>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其他环境</w:t>
            </w:r>
          </w:p>
          <w:p>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管理要求</w:t>
            </w:r>
          </w:p>
        </w:tc>
        <w:tc>
          <w:tcPr>
            <w:tcW w:w="4330" w:type="pct"/>
            <w:gridSpan w:val="4"/>
            <w:vAlign w:val="center"/>
          </w:tcPr>
          <w:p>
            <w:pPr>
              <w:keepNext w:val="0"/>
              <w:keepLines w:val="0"/>
              <w:pageBreakBefore w:val="0"/>
              <w:kinsoku/>
              <w:wordWrap/>
              <w:topLinePunct w:val="0"/>
              <w:bidi w:val="0"/>
              <w:spacing w:line="240" w:lineRule="auto"/>
              <w:ind w:left="0" w:leftChars="0" w:firstLine="422" w:firstLineChars="200"/>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1、竣工环境保护验收</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根据《建设项目竣工环境保护验收暂行办法》（国环规环评〔2017〕4号）文件，建设单位作为项目竣工环保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项目配套建设的环保设施经验收合格，方可投入生产或使用。</w:t>
            </w:r>
          </w:p>
          <w:p>
            <w:pPr>
              <w:keepNext w:val="0"/>
              <w:keepLines w:val="0"/>
              <w:pageBreakBefore w:val="0"/>
              <w:kinsoku/>
              <w:wordWrap/>
              <w:topLinePunct w:val="0"/>
              <w:bidi w:val="0"/>
              <w:spacing w:line="240" w:lineRule="auto"/>
              <w:ind w:left="0" w:leftChars="0" w:firstLine="422" w:firstLineChars="200"/>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2、排污许可</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根据《固定污染源排污许可分类管理名录（2019年版）》，项目属于“四十一、水的生产和供应业-46-自来水生产和供应461其他”，为登记管理范畴，应在启动生产设施或者在实际排污之前参照《排污许可证申请与核发技术规范总则》（HJ942-2018）相关要求申请排污许可。本项目建成后，须依照名录要求办理排污许可登记回执，依证排污。</w:t>
            </w:r>
          </w:p>
          <w:p>
            <w:pPr>
              <w:keepNext w:val="0"/>
              <w:keepLines w:val="0"/>
              <w:pageBreakBefore w:val="0"/>
              <w:kinsoku/>
              <w:wordWrap/>
              <w:topLinePunct w:val="0"/>
              <w:bidi w:val="0"/>
              <w:spacing w:line="240" w:lineRule="auto"/>
              <w:ind w:left="0" w:leftChars="0" w:firstLine="422" w:firstLineChars="200"/>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3、项目建成后应及时完成环境风险应急预案编制并备案。</w:t>
            </w:r>
          </w:p>
          <w:p>
            <w:pPr>
              <w:keepNext w:val="0"/>
              <w:keepLines w:val="0"/>
              <w:pageBreakBefore w:val="0"/>
              <w:kinsoku/>
              <w:wordWrap/>
              <w:topLinePunct w:val="0"/>
              <w:bidi w:val="0"/>
              <w:spacing w:line="240" w:lineRule="auto"/>
              <w:ind w:left="0" w:leftChars="0" w:firstLine="422" w:firstLineChars="200"/>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4、进行水源保护区的划分及保护。</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根据</w:t>
            </w:r>
            <w:r>
              <w:rPr>
                <w:rFonts w:hint="default" w:ascii="Times New Roman" w:hAnsi="Times New Roman" w:cs="Times New Roman"/>
                <w:color w:val="auto"/>
                <w:sz w:val="21"/>
                <w:szCs w:val="21"/>
                <w:highlight w:val="none"/>
                <w:lang w:eastAsia="zh-CN"/>
              </w:rPr>
              <w:t>《四川省饮用水水源保护管理条例》要求：地表水饮用水水源一级保护区内，除遵守地表水饮用水准保护区规定、二级保护区内规定外，应当遵守下列规定：（1）禁止新建、改建、扩建与供水设施和保护水源无关的建设项目，已建成的与供水设施和保护水源无关的建设项目，由县级以上地方人民政府责令拆除或者关闭；（2）禁止使用化肥；（3）禁止设置畜禽养殖场；（4）禁止与保护水源无关的船舶停靠、装卸；（5）禁止在水体清洗机动车辆；（6）禁止从事旅游、游泳、垂钓或者其他污染饮用水水体的活动。</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为保证饮用水水源安全，保障人体健康，防止工农业生产、城市建设、居民生活对水源地造成污染和破坏，取水口所在河段暂未编制饮用水水源保护区划分方案，</w:t>
            </w:r>
            <w:r>
              <w:rPr>
                <w:rFonts w:hint="default" w:ascii="Times New Roman" w:hAnsi="Times New Roman" w:cs="Times New Roman" w:eastAsiaTheme="minorEastAsia"/>
                <w:b/>
                <w:bCs/>
                <w:color w:val="auto"/>
                <w:sz w:val="21"/>
                <w:szCs w:val="21"/>
                <w:highlight w:val="none"/>
                <w:lang w:val="en-US" w:eastAsia="zh-CN"/>
              </w:rPr>
              <w:t>环评要求取水河段尽快按照相关规定划定保护区，对取水河段进行保护</w:t>
            </w:r>
            <w:r>
              <w:rPr>
                <w:rFonts w:hint="default" w:ascii="Times New Roman" w:hAnsi="Times New Roman" w:cs="Times New Roman" w:eastAsiaTheme="minorEastAsia"/>
                <w:b w:val="0"/>
                <w:bCs w:val="0"/>
                <w:color w:val="auto"/>
                <w:sz w:val="21"/>
                <w:szCs w:val="21"/>
                <w:highlight w:val="none"/>
                <w:lang w:val="en-US" w:eastAsia="zh-CN"/>
              </w:rPr>
              <w:t>，要求按照集中式饮用水源一级保护区划分，水源水质要求为地表水</w:t>
            </w:r>
            <w:r>
              <w:rPr>
                <w:rFonts w:hint="default" w:ascii="Times New Roman" w:hAnsi="Times New Roman" w:cs="Times New Roman"/>
                <w:color w:val="auto"/>
                <w:kern w:val="0"/>
                <w:sz w:val="21"/>
                <w:szCs w:val="21"/>
                <w:highlight w:val="none"/>
                <w:lang w:val="en-US" w:eastAsia="zh-CN" w:bidi="ar"/>
              </w:rPr>
              <w:t>Ⅱ</w:t>
            </w:r>
            <w:r>
              <w:rPr>
                <w:rFonts w:hint="default" w:ascii="Times New Roman" w:hAnsi="Times New Roman" w:cs="Times New Roman" w:eastAsiaTheme="minorEastAsia"/>
                <w:b w:val="0"/>
                <w:bCs w:val="0"/>
                <w:color w:val="auto"/>
                <w:sz w:val="21"/>
                <w:szCs w:val="21"/>
                <w:highlight w:val="none"/>
                <w:lang w:val="en-US" w:eastAsia="zh-CN"/>
              </w:rPr>
              <w:t>类标准。县生态环境部门应根据《中华人民共和国水污染防治法》，牵头制定《乡镇“千人以上”饮用水水源保护区污染防治管理办法》，报请上级部门审批后实施。</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（1）饮用水地表水源各级保护区及准保护区内必须遵守下列规定：</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禁止一切破坏水环境生态平衡的活动以及破坏水源林、护岸林、与水源保护相关植被的活动。</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禁止向水域倾倒工业废渣、城市垃圾、粪便及其他废弃物。</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运输有毒有害物质、油类、粪便的船舶和车辆一般不准进入保护区，必须进入者应事先申请并经有关部门批准、登记并设置防渗、防溢、防漏设施。</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禁止使用剧毒和高残留农药，不得滥用化肥，不得使用炸药、毒品捕杀鱼类。</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（2）一级保护区内必须遵守下列规定</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禁止新建、扩建与供水设施和保护水源无关的建设项目；</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禁止向水域排放污水，已设置的排污口必须拆除；</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不得设置与供水需要无关的码头，禁止停靠船舶；</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禁止堆置和存放工业废渣、城市垃圾、粪便和其他废弃物；</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禁止设置油库；</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禁止从事种植、放养禽畜和网箱养殖活动；</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禁止可能污染水源的旅游活动和其他活动。</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（3）二级保护区内必须遵守下列规定</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禁止新建、改建、扩建排放污染物的建设项目；</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原有排污口依法拆除或者关闭；</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禁止设立装卸垃圾、粪便、油类和有毒物品的码头。</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（4）保护区环境监察</w:t>
            </w:r>
          </w:p>
          <w:p>
            <w:pPr>
              <w:keepNext w:val="0"/>
              <w:keepLines w:val="0"/>
              <w:pageBreakBefore w:val="0"/>
              <w:kinsoku/>
              <w:wordWrap/>
              <w:topLinePunct w:val="0"/>
              <w:bidi w:val="0"/>
              <w:spacing w:line="276" w:lineRule="auto"/>
              <w:ind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环评建议，本项目按照《饮用水水源保护区划分技术规范》（HJ338-2018）及时启动保护区的划定工作。</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建立饮用水水源保护区环境监察管理制度，按照“属地管理、各司其责”的原则，依据《中华人民共和国水污染防治法》、《饮用水水源保护区污染防治管理规定》、《饮用水水源保护区划分技术规范》等相关规定，查处饮用水水源保护区内的环境违法行为。监察内容主要包括饮用水水源保护区的建设管理情况、饮用水安全应急预案制定情况以及保护区内的违法建设项目和违法行为。</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对检查中发现的饮用水水源保护区内的排污口要坚决取缔。</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对保护区内违反法律规定的建设项目依法予以处罚，同时报经有批准权的人民政府批准，责令拆除或者关闭。对一级保护区内从事网箱养殖或者组织进行旅游、垂钓或者其他可能污染饮用水水体的活动的，责令停止违法行为并处罚款。</w:t>
            </w: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通过定期巡查、突击巡查、专项巡查和重点巡查等方式，监视水源保护区内的饮用水、水域、水工程及其他设施的变化状态，掌握工程的安全情况，为正确管理运行提供科学依据，及时发现工程的不正常迹象，防止事件发生，查处各类水事违法案件。对一、二级保护区污染源现场巡查每月应不少于一次，准保护区污染源现场巡查每季度应不少于一次。</w:t>
            </w:r>
          </w:p>
          <w:p>
            <w:pPr>
              <w:keepNext w:val="0"/>
              <w:keepLines w:val="0"/>
              <w:pageBreakBefore w:val="0"/>
              <w:kinsoku/>
              <w:wordWrap/>
              <w:topLinePunct w:val="0"/>
              <w:bidi w:val="0"/>
              <w:spacing w:line="240" w:lineRule="auto"/>
              <w:ind w:left="0" w:leftChars="0" w:firstLine="422" w:firstLineChars="200"/>
              <w:rPr>
                <w:rFonts w:hint="default" w:ascii="Times New Roman" w:hAnsi="Times New Roman" w:cs="Times New Roman" w:eastAsiaTheme="minorEastAsia"/>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lang w:val="en-US" w:eastAsia="zh-CN"/>
              </w:rPr>
              <w:t>、制定自行监测方案，定期开展污染源监测。</w:t>
            </w:r>
          </w:p>
          <w:p>
            <w:pPr>
              <w:keepNext w:val="0"/>
              <w:keepLines w:val="0"/>
              <w:pageBreakBefore w:val="0"/>
              <w:kinsoku/>
              <w:wordWrap/>
              <w:overflowPunct w:val="0"/>
              <w:topLinePunct w:val="0"/>
              <w:autoSpaceDE w:val="0"/>
              <w:autoSpaceDN w:val="0"/>
              <w:bidi w:val="0"/>
              <w:adjustRightInd w:val="0"/>
              <w:ind w:left="0" w:leftChars="0" w:right="0" w:firstLine="420" w:firstLineChars="200"/>
              <w:textAlignment w:val="baseline"/>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cs="Times New Roman"/>
                <w:color w:val="auto"/>
                <w:kern w:val="0"/>
                <w:szCs w:val="21"/>
                <w:highlight w:val="none"/>
              </w:rPr>
              <w:t>依法开展自行监测，安装或使用监测设备应符合国家有关环境监测、计量认证规定和技术规范，保障数据合法有效，保证设备正常运行，妥善保存原始记录，建立准确完整的环境管理台账。依法向社会公开污染物排放数据并对数据真实性负责。</w:t>
            </w:r>
            <w:r>
              <w:rPr>
                <w:rFonts w:hint="default" w:ascii="Times New Roman" w:hAnsi="Times New Roman" w:cs="Times New Roman"/>
                <w:b w:val="0"/>
                <w:bCs w:val="0"/>
                <w:color w:val="auto"/>
                <w:kern w:val="0"/>
                <w:szCs w:val="21"/>
                <w:highlight w:val="none"/>
                <w:lang w:val="en-US" w:eastAsia="zh-CN"/>
              </w:rPr>
              <w:t>项目运营期应按照环境监测计划对原水水质、厂界噪声进行例行监测。</w:t>
            </w:r>
          </w:p>
          <w:p>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表5-1 项目运营期环境监测计划表</w:t>
            </w:r>
          </w:p>
          <w:tbl>
            <w:tblPr>
              <w:tblStyle w:val="1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44"/>
              <w:gridCol w:w="2870"/>
              <w:gridCol w:w="1173"/>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9" w:type="pct"/>
                  <w:vAlign w:val="center"/>
                </w:tcPr>
                <w:p>
                  <w:pPr>
                    <w:keepNext w:val="0"/>
                    <w:keepLines w:val="0"/>
                    <w:pageBreakBefore w:val="0"/>
                    <w:kinsoku/>
                    <w:wordWrap/>
                    <w:topLinePunct w:val="0"/>
                    <w:bidi w:val="0"/>
                    <w:spacing w:line="240" w:lineRule="auto"/>
                    <w:ind w:left="0" w:leftChars="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785" w:type="pct"/>
                  <w:vAlign w:val="center"/>
                </w:tcPr>
                <w:p>
                  <w:pPr>
                    <w:keepNext w:val="0"/>
                    <w:keepLines w:val="0"/>
                    <w:pageBreakBefore w:val="0"/>
                    <w:kinsoku/>
                    <w:wordWrap/>
                    <w:topLinePunct w:val="0"/>
                    <w:bidi w:val="0"/>
                    <w:spacing w:line="240" w:lineRule="auto"/>
                    <w:ind w:left="0" w:leftChars="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1811" w:type="pct"/>
                  <w:vAlign w:val="center"/>
                </w:tcPr>
                <w:p>
                  <w:pPr>
                    <w:keepNext w:val="0"/>
                    <w:keepLines w:val="0"/>
                    <w:pageBreakBefore w:val="0"/>
                    <w:kinsoku/>
                    <w:wordWrap/>
                    <w:topLinePunct w:val="0"/>
                    <w:bidi w:val="0"/>
                    <w:spacing w:line="240" w:lineRule="auto"/>
                    <w:ind w:left="0" w:leftChars="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c>
                <w:tcPr>
                  <w:tcW w:w="740" w:type="pct"/>
                  <w:vAlign w:val="center"/>
                </w:tcPr>
                <w:p>
                  <w:pPr>
                    <w:keepNext w:val="0"/>
                    <w:keepLines w:val="0"/>
                    <w:pageBreakBefore w:val="0"/>
                    <w:kinsoku/>
                    <w:wordWrap/>
                    <w:topLinePunct w:val="0"/>
                    <w:bidi w:val="0"/>
                    <w:spacing w:line="240" w:lineRule="auto"/>
                    <w:ind w:left="0" w:leftChars="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监测频次</w:t>
                  </w:r>
                </w:p>
              </w:tc>
              <w:tc>
                <w:tcPr>
                  <w:tcW w:w="1232" w:type="pct"/>
                  <w:vAlign w:val="center"/>
                </w:tcPr>
                <w:p>
                  <w:pPr>
                    <w:keepNext w:val="0"/>
                    <w:keepLines w:val="0"/>
                    <w:pageBreakBefore w:val="0"/>
                    <w:kinsoku/>
                    <w:wordWrap/>
                    <w:topLinePunct w:val="0"/>
                    <w:bidi w:val="0"/>
                    <w:spacing w:line="240" w:lineRule="auto"/>
                    <w:ind w:left="0" w:leftChars="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9" w:type="pct"/>
                  <w:vAlign w:val="center"/>
                </w:tcPr>
                <w:p>
                  <w:pPr>
                    <w:keepNext w:val="0"/>
                    <w:keepLines w:val="0"/>
                    <w:pageBreakBefore w:val="0"/>
                    <w:kinsoku/>
                    <w:wordWrap/>
                    <w:topLinePunct w:val="0"/>
                    <w:bidi w:val="0"/>
                    <w:spacing w:line="240" w:lineRule="auto"/>
                    <w:ind w:left="0" w:leftChars="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原水</w:t>
                  </w:r>
                  <w:r>
                    <w:rPr>
                      <w:rFonts w:hint="default" w:ascii="Times New Roman" w:hAnsi="Times New Roman" w:eastAsia="宋体" w:cs="Times New Roman"/>
                      <w:color w:val="auto"/>
                      <w:sz w:val="21"/>
                      <w:szCs w:val="21"/>
                      <w:highlight w:val="none"/>
                    </w:rPr>
                    <w:t>水质</w:t>
                  </w:r>
                </w:p>
              </w:tc>
              <w:tc>
                <w:tcPr>
                  <w:tcW w:w="785" w:type="pct"/>
                  <w:vAlign w:val="center"/>
                </w:tcPr>
                <w:p>
                  <w:pPr>
                    <w:keepNext w:val="0"/>
                    <w:keepLines w:val="0"/>
                    <w:pageBreakBefore w:val="0"/>
                    <w:kinsoku/>
                    <w:wordWrap/>
                    <w:topLinePunct w:val="0"/>
                    <w:bidi w:val="0"/>
                    <w:spacing w:line="240" w:lineRule="auto"/>
                    <w:ind w:left="0" w:leftChars="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取水点</w:t>
                  </w:r>
                </w:p>
              </w:tc>
              <w:tc>
                <w:tcPr>
                  <w:tcW w:w="1811" w:type="pct"/>
                  <w:vAlign w:val="center"/>
                </w:tcPr>
                <w:p>
                  <w:pPr>
                    <w:keepNext w:val="0"/>
                    <w:keepLines w:val="0"/>
                    <w:pageBreakBefore w:val="0"/>
                    <w:kinsoku/>
                    <w:wordWrap/>
                    <w:topLinePunct w:val="0"/>
                    <w:bidi w:val="0"/>
                    <w:spacing w:line="240" w:lineRule="auto"/>
                    <w:ind w:left="0" w:leftChars="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溶解氧、高锰酸盐指数、五日生化需氧量、化学需氧量、氨氮、总磷、总氮、铜、锌、氟化物、硒、砷、汞、镉、六价铬、铅、氰化物、挥发酚、石油类、阴离子表面活性剂、硫化物、粪大肠菌群、硫酸盐、氯化物、硝酸盐、铁、锰</w:t>
                  </w:r>
                </w:p>
              </w:tc>
              <w:tc>
                <w:tcPr>
                  <w:tcW w:w="740" w:type="pct"/>
                  <w:vAlign w:val="center"/>
                </w:tcPr>
                <w:p>
                  <w:pPr>
                    <w:keepNext w:val="0"/>
                    <w:keepLines w:val="0"/>
                    <w:pageBreakBefore w:val="0"/>
                    <w:kinsoku/>
                    <w:wordWrap/>
                    <w:topLinePunct w:val="0"/>
                    <w:bidi w:val="0"/>
                    <w:spacing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1次/</w:t>
                  </w:r>
                  <w:r>
                    <w:rPr>
                      <w:rFonts w:hint="default" w:ascii="Times New Roman" w:hAnsi="Times New Roman" w:eastAsia="宋体" w:cs="Times New Roman"/>
                      <w:color w:val="auto"/>
                      <w:sz w:val="21"/>
                      <w:szCs w:val="21"/>
                      <w:highlight w:val="none"/>
                    </w:rPr>
                    <w:t>季度</w:t>
                  </w:r>
                </w:p>
              </w:tc>
              <w:tc>
                <w:tcPr>
                  <w:tcW w:w="1232" w:type="pct"/>
                  <w:vAlign w:val="center"/>
                </w:tcPr>
                <w:p>
                  <w:pPr>
                    <w:keepNext w:val="0"/>
                    <w:keepLines w:val="0"/>
                    <w:pageBreakBefore w:val="0"/>
                    <w:kinsoku/>
                    <w:wordWrap/>
                    <w:topLinePunct w:val="0"/>
                    <w:bidi w:val="0"/>
                    <w:spacing w:line="240" w:lineRule="auto"/>
                    <w:ind w:left="0" w:leftChars="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《地表水环境质量标准》（GB3838-2002）中</w:t>
                  </w:r>
                  <w:r>
                    <w:rPr>
                      <w:rFonts w:hint="default" w:ascii="Times New Roman" w:hAnsi="Times New Roman" w:eastAsia="宋体" w:cs="Times New Roman"/>
                      <w:color w:val="auto"/>
                      <w:sz w:val="21"/>
                      <w:szCs w:val="21"/>
                      <w:highlight w:val="none"/>
                      <w:lang w:eastAsia="zh-CN"/>
                    </w:rPr>
                    <w:t>Ⅲ</w:t>
                  </w:r>
                  <w:r>
                    <w:rPr>
                      <w:rFonts w:hint="default" w:ascii="Times New Roman" w:hAnsi="Times New Roman" w:eastAsia="宋体" w:cs="Times New Roman"/>
                      <w:color w:val="auto"/>
                      <w:sz w:val="21"/>
                      <w:szCs w:val="21"/>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9" w:type="pct"/>
                  <w:vAlign w:val="center"/>
                </w:tcPr>
                <w:p>
                  <w:pPr>
                    <w:keepNext w:val="0"/>
                    <w:keepLines w:val="0"/>
                    <w:pageBreakBefore w:val="0"/>
                    <w:kinsoku/>
                    <w:wordWrap/>
                    <w:topLinePunct w:val="0"/>
                    <w:bidi w:val="0"/>
                    <w:spacing w:line="240" w:lineRule="auto"/>
                    <w:ind w:left="0" w:leftChars="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噪声</w:t>
                  </w:r>
                </w:p>
              </w:tc>
              <w:tc>
                <w:tcPr>
                  <w:tcW w:w="785" w:type="pct"/>
                  <w:vAlign w:val="center"/>
                </w:tcPr>
                <w:p>
                  <w:pPr>
                    <w:keepNext w:val="0"/>
                    <w:keepLines w:val="0"/>
                    <w:pageBreakBefore w:val="0"/>
                    <w:kinsoku/>
                    <w:wordWrap/>
                    <w:topLinePunct w:val="0"/>
                    <w:bidi w:val="0"/>
                    <w:spacing w:line="240" w:lineRule="auto"/>
                    <w:ind w:left="0" w:leftChars="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供水厂、取水泵房四周，厂界外1m处</w:t>
                  </w:r>
                </w:p>
              </w:tc>
              <w:tc>
                <w:tcPr>
                  <w:tcW w:w="1811" w:type="pct"/>
                  <w:vAlign w:val="center"/>
                </w:tcPr>
                <w:p>
                  <w:pPr>
                    <w:keepNext w:val="0"/>
                    <w:keepLines w:val="0"/>
                    <w:pageBreakBefore w:val="0"/>
                    <w:kinsoku/>
                    <w:wordWrap/>
                    <w:topLinePunct w:val="0"/>
                    <w:bidi w:val="0"/>
                    <w:spacing w:line="240" w:lineRule="auto"/>
                    <w:ind w:left="0" w:leftChars="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Leq(A)</w:t>
                  </w:r>
                </w:p>
              </w:tc>
              <w:tc>
                <w:tcPr>
                  <w:tcW w:w="740" w:type="pct"/>
                  <w:vAlign w:val="center"/>
                </w:tcPr>
                <w:p>
                  <w:pPr>
                    <w:keepNext w:val="0"/>
                    <w:keepLines w:val="0"/>
                    <w:pageBreakBefore w:val="0"/>
                    <w:kinsoku/>
                    <w:wordWrap/>
                    <w:topLinePunct w:val="0"/>
                    <w:bidi w:val="0"/>
                    <w:spacing w:line="240" w:lineRule="auto"/>
                    <w:ind w:left="0" w:leftChars="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1季度/次，昼夜各一次</w:t>
                  </w:r>
                </w:p>
              </w:tc>
              <w:tc>
                <w:tcPr>
                  <w:tcW w:w="1232" w:type="pct"/>
                  <w:vAlign w:val="center"/>
                </w:tcPr>
                <w:p>
                  <w:pPr>
                    <w:keepNext w:val="0"/>
                    <w:keepLines w:val="0"/>
                    <w:pageBreakBefore w:val="0"/>
                    <w:kinsoku/>
                    <w:wordWrap/>
                    <w:topLinePunct w:val="0"/>
                    <w:bidi w:val="0"/>
                    <w:spacing w:line="240" w:lineRule="auto"/>
                    <w:ind w:left="0" w:leftChars="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《工业企业厂界环境噪声排放标准》（GB12348-2008）2类标准</w:t>
                  </w:r>
                </w:p>
              </w:tc>
            </w:tr>
          </w:tbl>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eastAsia" w:ascii="Times New Roman" w:hAnsi="Times New Roman" w:cs="Times New Roman"/>
                <w:color w:val="auto"/>
                <w:sz w:val="21"/>
                <w:szCs w:val="21"/>
                <w:highlight w:val="none"/>
                <w:lang w:val="en-US" w:eastAsia="zh-CN"/>
              </w:rPr>
            </w:pPr>
          </w:p>
          <w:p>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color w:val="auto"/>
                <w:sz w:val="21"/>
                <w:szCs w:val="21"/>
                <w:highlight w:val="none"/>
                <w:lang w:val="en-US" w:eastAsia="zh-CN"/>
              </w:rPr>
            </w:pPr>
          </w:p>
        </w:tc>
      </w:tr>
    </w:tbl>
    <w:p>
      <w:pPr>
        <w:pStyle w:val="25"/>
        <w:keepNext w:val="0"/>
        <w:keepLines w:val="0"/>
        <w:pageBreakBefore w:val="0"/>
        <w:kinsoku/>
        <w:wordWrap/>
        <w:topLinePunct w:val="0"/>
        <w:bidi w:val="0"/>
        <w:ind w:left="0" w:leftChars="0"/>
        <w:jc w:val="center"/>
        <w:rPr>
          <w:rFonts w:hint="default" w:ascii="Times New Roman" w:hAnsi="Times New Roman" w:eastAsia="黑体" w:cs="Times New Roman"/>
          <w:b w:val="0"/>
          <w:color w:val="auto"/>
          <w:sz w:val="30"/>
          <w:szCs w:val="30"/>
          <w:highlight w:val="none"/>
        </w:rPr>
        <w:sectPr>
          <w:pgSz w:w="11906" w:h="16838"/>
          <w:pgMar w:top="1440" w:right="1361" w:bottom="1440" w:left="1361"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25"/>
        <w:keepNext w:val="0"/>
        <w:keepLines w:val="0"/>
        <w:pageBreakBefore w:val="0"/>
        <w:kinsoku/>
        <w:wordWrap/>
        <w:topLinePunct w:val="0"/>
        <w:bidi w:val="0"/>
        <w:ind w:left="0" w:leftChars="0"/>
        <w:jc w:val="center"/>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b w:val="0"/>
          <w:color w:val="auto"/>
          <w:sz w:val="30"/>
          <w:szCs w:val="30"/>
          <w:highlight w:val="none"/>
        </w:rPr>
        <w:t>六、结论</w:t>
      </w:r>
    </w:p>
    <w:tbl>
      <w:tblPr>
        <w:tblStyle w:val="19"/>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4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shd w:val="clear" w:color="auto" w:fill="auto"/>
          </w:tcPr>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综上所述，</w:t>
            </w:r>
            <w:r>
              <w:rPr>
                <w:rFonts w:hint="default" w:ascii="Times New Roman" w:hAnsi="Times New Roman" w:eastAsia="宋体" w:cs="Times New Roman"/>
                <w:color w:val="auto"/>
                <w:sz w:val="24"/>
                <w:szCs w:val="32"/>
                <w:highlight w:val="none"/>
                <w:vertAlign w:val="baseline"/>
                <w:lang w:eastAsia="zh-CN"/>
              </w:rPr>
              <w:t>宣汉县乡村水务试点县供水保障工程（新华供水工程）</w:t>
            </w:r>
            <w:r>
              <w:rPr>
                <w:rFonts w:hint="default" w:ascii="Times New Roman" w:hAnsi="Times New Roman" w:cs="Times New Roman"/>
                <w:color w:val="auto"/>
                <w:sz w:val="24"/>
                <w:szCs w:val="24"/>
                <w:highlight w:val="none"/>
              </w:rPr>
              <w:t>符合国家产业政策，选址合理，对于运营过程中产生的各类污染物，建设单位应认真落实本环评提出的污染防治措施，加强环保设施的运行管理和维护，建立和完善厂内环保机构和规范环保管理制度，保证各类污染物达标排放。在上述前提条件下，项目的建设不会使当地水环境、环境空气、声环境发生现状质量级别的改变。因此，从环境保护角度考虑，该项目的建设是可行的。</w:t>
            </w: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tc>
      </w:tr>
    </w:tbl>
    <w:p>
      <w:pPr>
        <w:pStyle w:val="25"/>
        <w:keepNext w:val="0"/>
        <w:keepLines w:val="0"/>
        <w:pageBreakBefore w:val="0"/>
        <w:kinsoku/>
        <w:wordWrap/>
        <w:topLinePunct w:val="0"/>
        <w:bidi w:val="0"/>
        <w:ind w:left="0" w:leftChars="0"/>
        <w:jc w:val="center"/>
        <w:outlineLvl w:val="9"/>
        <w:rPr>
          <w:rFonts w:hint="default" w:ascii="Times New Roman" w:hAnsi="Times New Roman" w:cs="Times New Roman"/>
          <w:color w:val="auto"/>
          <w:sz w:val="24"/>
          <w:szCs w:val="32"/>
          <w:highlight w:val="none"/>
          <w:lang w:eastAsia="zh-CN"/>
        </w:rPr>
        <w:sectPr>
          <w:pgSz w:w="11906" w:h="16838"/>
          <w:pgMar w:top="1440" w:right="1361" w:bottom="1440" w:left="1361"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25"/>
        <w:keepNext w:val="0"/>
        <w:keepLines w:val="0"/>
        <w:pageBreakBefore w:val="0"/>
        <w:kinsoku/>
        <w:wordWrap/>
        <w:topLinePunct w:val="0"/>
        <w:bidi w:val="0"/>
        <w:spacing w:line="240" w:lineRule="auto"/>
        <w:ind w:left="0" w:leftChars="0"/>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b w:val="0"/>
          <w:color w:val="auto"/>
          <w:sz w:val="30"/>
          <w:szCs w:val="30"/>
          <w:highlight w:val="none"/>
        </w:rPr>
        <w:t>附表</w:t>
      </w:r>
    </w:p>
    <w:p>
      <w:pPr>
        <w:keepNext w:val="0"/>
        <w:keepLines w:val="0"/>
        <w:pageBreakBefore w:val="0"/>
        <w:kinsoku/>
        <w:wordWrap/>
        <w:topLinePunct w:val="0"/>
        <w:bidi w:val="0"/>
        <w:spacing w:line="240" w:lineRule="auto"/>
        <w:ind w:left="0" w:leftChars="0"/>
        <w:jc w:val="center"/>
        <w:rPr>
          <w:rFonts w:hint="default" w:ascii="Times New Roman" w:hAnsi="Times New Roman" w:eastAsia="方正小标宋_GBK" w:cs="Times New Roman"/>
          <w:color w:val="auto"/>
          <w:sz w:val="36"/>
          <w:szCs w:val="36"/>
          <w:highlight w:val="none"/>
        </w:rPr>
      </w:pPr>
      <w:r>
        <w:rPr>
          <w:rFonts w:hint="default" w:ascii="Times New Roman" w:hAnsi="Times New Roman" w:eastAsia="方正小标宋_GBK" w:cs="Times New Roman"/>
          <w:color w:val="auto"/>
          <w:sz w:val="36"/>
          <w:szCs w:val="36"/>
          <w:highlight w:val="none"/>
        </w:rPr>
        <w:t>建设项目污染物排放量汇总表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2050"/>
        <w:gridCol w:w="1710"/>
        <w:gridCol w:w="1525"/>
        <w:gridCol w:w="1708"/>
        <w:gridCol w:w="1709"/>
        <w:gridCol w:w="1589"/>
        <w:gridCol w:w="1831"/>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tcBorders>
              <w:tl2br w:val="single" w:color="auto" w:sz="4" w:space="0"/>
            </w:tcBorders>
            <w:vAlign w:val="center"/>
          </w:tcPr>
          <w:p>
            <w:pPr>
              <w:keepNext w:val="0"/>
              <w:keepLines w:val="0"/>
              <w:pageBreakBefore w:val="0"/>
              <w:kinsoku/>
              <w:wordWrap/>
              <w:topLinePunct w:val="0"/>
              <w:bidi w:val="0"/>
              <w:spacing w:line="276" w:lineRule="auto"/>
              <w:ind w:left="0" w:leftChars="0"/>
              <w:jc w:val="righ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p>
            <w:pPr>
              <w:keepNext w:val="0"/>
              <w:keepLines w:val="0"/>
              <w:pageBreakBefore w:val="0"/>
              <w:kinsoku/>
              <w:wordWrap/>
              <w:topLinePunct w:val="0"/>
              <w:bidi w:val="0"/>
              <w:spacing w:line="276" w:lineRule="auto"/>
              <w:ind w:left="0" w:lef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分类</w:t>
            </w:r>
          </w:p>
        </w:tc>
        <w:tc>
          <w:tcPr>
            <w:tcW w:w="2050"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污染物名称</w:t>
            </w:r>
          </w:p>
        </w:tc>
        <w:tc>
          <w:tcPr>
            <w:tcW w:w="1710"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现有工程</w:t>
            </w:r>
          </w:p>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排放量（固体废物产生量）①</w:t>
            </w:r>
          </w:p>
        </w:tc>
        <w:tc>
          <w:tcPr>
            <w:tcW w:w="1525"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现有工程</w:t>
            </w:r>
          </w:p>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许可排放量②</w:t>
            </w:r>
          </w:p>
        </w:tc>
        <w:tc>
          <w:tcPr>
            <w:tcW w:w="1708"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在建工程</w:t>
            </w:r>
          </w:p>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排放量（固体废物产生量）③</w:t>
            </w:r>
          </w:p>
        </w:tc>
        <w:tc>
          <w:tcPr>
            <w:tcW w:w="170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w:t>
            </w:r>
          </w:p>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排放量（固体废物产生量）④</w:t>
            </w:r>
          </w:p>
        </w:tc>
        <w:tc>
          <w:tcPr>
            <w:tcW w:w="158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以新带老削减量（新建项目不填）⑤</w:t>
            </w:r>
          </w:p>
        </w:tc>
        <w:tc>
          <w:tcPr>
            <w:tcW w:w="1831"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本项目建成后</w:t>
            </w:r>
          </w:p>
          <w:p>
            <w:pPr>
              <w:keepNext w:val="0"/>
              <w:keepLines w:val="0"/>
              <w:pageBreakBefore w:val="0"/>
              <w:kinsoku/>
              <w:wordWrap/>
              <w:topLinePunct w:val="0"/>
              <w:bidi w:val="0"/>
              <w:spacing w:line="276" w:lineRule="auto"/>
              <w:ind w:left="0" w:lef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全厂排放量（固体废物产生量）⑥</w:t>
            </w:r>
          </w:p>
        </w:tc>
        <w:tc>
          <w:tcPr>
            <w:tcW w:w="974"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变化量</w:t>
            </w:r>
          </w:p>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restart"/>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2050"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1710"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8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831"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974"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2050"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二氧化硫</w:t>
            </w:r>
          </w:p>
        </w:tc>
        <w:tc>
          <w:tcPr>
            <w:tcW w:w="1710"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8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831"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974"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2050"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氮氧化物</w:t>
            </w:r>
          </w:p>
        </w:tc>
        <w:tc>
          <w:tcPr>
            <w:tcW w:w="1710"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8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831"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974"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2050"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VOCs</w:t>
            </w:r>
          </w:p>
        </w:tc>
        <w:tc>
          <w:tcPr>
            <w:tcW w:w="1710"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8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831"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974"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restart"/>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2050"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1710"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58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831"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974"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2050"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1710"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58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831"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974"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2050"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TP</w:t>
            </w:r>
          </w:p>
        </w:tc>
        <w:tc>
          <w:tcPr>
            <w:tcW w:w="1710"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58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831"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974"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restart"/>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一般工业</w:t>
            </w:r>
          </w:p>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2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9" w:type="dxa"/>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2.74</w:t>
            </w:r>
          </w:p>
        </w:tc>
        <w:tc>
          <w:tcPr>
            <w:tcW w:w="158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831" w:type="dxa"/>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2.74</w:t>
            </w:r>
          </w:p>
        </w:tc>
        <w:tc>
          <w:tcPr>
            <w:tcW w:w="97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2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餐厨垃圾（含</w:t>
            </w:r>
            <w:r>
              <w:rPr>
                <w:rFonts w:hint="default" w:ascii="Times New Roman" w:hAnsi="Times New Roman" w:cs="Times New Roman"/>
                <w:color w:val="auto"/>
                <w:kern w:val="2"/>
                <w:sz w:val="21"/>
                <w:szCs w:val="21"/>
                <w:highlight w:val="none"/>
                <w:lang w:val="en-US" w:eastAsia="zh-CN" w:bidi="ar-SA"/>
              </w:rPr>
              <w:t>废油</w:t>
            </w:r>
            <w:r>
              <w:rPr>
                <w:rFonts w:hint="default" w:ascii="Times New Roman" w:hAnsi="Times New Roman" w:eastAsia="宋体" w:cs="Times New Roman"/>
                <w:color w:val="auto"/>
                <w:kern w:val="2"/>
                <w:sz w:val="21"/>
                <w:szCs w:val="21"/>
                <w:highlight w:val="none"/>
                <w:lang w:val="en-US" w:eastAsia="zh-CN" w:bidi="ar-SA"/>
              </w:rPr>
              <w:t>）</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709" w:type="dxa"/>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1.10</w:t>
            </w:r>
          </w:p>
        </w:tc>
        <w:tc>
          <w:tcPr>
            <w:tcW w:w="158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831" w:type="dxa"/>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1.10</w:t>
            </w:r>
          </w:p>
        </w:tc>
        <w:tc>
          <w:tcPr>
            <w:tcW w:w="97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2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栅渣及沉砂</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9" w:type="dxa"/>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245.28</w:t>
            </w:r>
          </w:p>
        </w:tc>
        <w:tc>
          <w:tcPr>
            <w:tcW w:w="158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831" w:type="dxa"/>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245.28</w:t>
            </w:r>
          </w:p>
        </w:tc>
        <w:tc>
          <w:tcPr>
            <w:tcW w:w="97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2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污泥</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9" w:type="dxa"/>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1177.125</w:t>
            </w:r>
          </w:p>
        </w:tc>
        <w:tc>
          <w:tcPr>
            <w:tcW w:w="1589" w:type="dxa"/>
            <w:vAlign w:val="center"/>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831" w:type="dxa"/>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1177.125</w:t>
            </w:r>
          </w:p>
        </w:tc>
        <w:tc>
          <w:tcPr>
            <w:tcW w:w="97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2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废填料</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0" w:type="auto"/>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0" w:type="auto"/>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w:t>
            </w:r>
          </w:p>
        </w:tc>
        <w:tc>
          <w:tcPr>
            <w:tcW w:w="1589" w:type="dxa"/>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831" w:type="dxa"/>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Pr>
          <w:p>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sz w:val="21"/>
                <w:szCs w:val="21"/>
                <w:highlight w:val="none"/>
                <w:lang w:val="en-US" w:eastAsia="zh-CN"/>
              </w:rPr>
            </w:pPr>
          </w:p>
        </w:tc>
        <w:tc>
          <w:tcPr>
            <w:tcW w:w="2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废包装材料</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0" w:type="auto"/>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0" w:type="auto"/>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0.05</w:t>
            </w:r>
          </w:p>
        </w:tc>
        <w:tc>
          <w:tcPr>
            <w:tcW w:w="1589" w:type="dxa"/>
            <w:vAlign w:val="top"/>
          </w:tcPr>
          <w:p>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831" w:type="dxa"/>
            <w:vAlign w:val="center"/>
          </w:tcPr>
          <w:p>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0.05</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r>
    </w:tbl>
    <w:p>
      <w:pPr>
        <w:keepNext w:val="0"/>
        <w:keepLines w:val="0"/>
        <w:pageBreakBefore w:val="0"/>
        <w:kinsoku/>
        <w:wordWrap/>
        <w:topLinePunct w:val="0"/>
        <w:bidi w:val="0"/>
        <w:ind w:left="0" w:leftChars="0"/>
        <w:rPr>
          <w:rFonts w:hint="default" w:ascii="Times New Roman" w:hAnsi="Times New Roman" w:cs="Times New Roman"/>
          <w:color w:val="auto"/>
          <w:sz w:val="24"/>
          <w:szCs w:val="32"/>
          <w:highlight w:val="none"/>
          <w:lang w:eastAsia="zh-CN"/>
        </w:rPr>
      </w:pPr>
      <w:r>
        <w:rPr>
          <w:rFonts w:hint="default" w:ascii="Times New Roman" w:hAnsi="Times New Roman" w:cs="Times New Roman"/>
          <w:color w:val="auto"/>
          <w:szCs w:val="21"/>
          <w:highlight w:val="none"/>
        </w:rPr>
        <w:t>注：⑥=①+③+④-⑤；⑦=⑥-①。</w:t>
      </w:r>
    </w:p>
    <w:p>
      <w:pPr>
        <w:keepNext w:val="0"/>
        <w:keepLines w:val="0"/>
        <w:pageBreakBefore w:val="0"/>
        <w:kinsoku/>
        <w:wordWrap/>
        <w:topLinePunct w:val="0"/>
        <w:bidi w:val="0"/>
        <w:spacing w:line="360" w:lineRule="auto"/>
        <w:ind w:left="0" w:leftChars="0"/>
        <w:rPr>
          <w:rFonts w:hint="default" w:ascii="Times New Roman" w:hAnsi="Times New Roman" w:cs="Times New Roman"/>
          <w:color w:val="auto"/>
          <w:sz w:val="24"/>
          <w:szCs w:val="32"/>
          <w:highlight w:val="none"/>
          <w:lang w:eastAsia="zh-CN"/>
        </w:rPr>
      </w:pPr>
    </w:p>
    <w:sectPr>
      <w:pgSz w:w="16838" w:h="11906" w:orient="landscape"/>
      <w:pgMar w:top="1440" w:right="1361" w:bottom="1440" w:left="1361"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Helvetica">
    <w:altName w:val="Arial"/>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249775"/>
    <w:multiLevelType w:val="singleLevel"/>
    <w:tmpl w:val="00249775"/>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4ODAwMTJiZjk0MzE5ODE1ODU3ZDdjYWQ4NTY1MzYifQ=="/>
  </w:docVars>
  <w:rsids>
    <w:rsidRoot w:val="00172A27"/>
    <w:rsid w:val="005A3EE3"/>
    <w:rsid w:val="00623453"/>
    <w:rsid w:val="01177351"/>
    <w:rsid w:val="013D5FBE"/>
    <w:rsid w:val="01527EDF"/>
    <w:rsid w:val="01536CCC"/>
    <w:rsid w:val="01D01FFF"/>
    <w:rsid w:val="01E00CE2"/>
    <w:rsid w:val="01F573F5"/>
    <w:rsid w:val="020166A7"/>
    <w:rsid w:val="0204742C"/>
    <w:rsid w:val="020B0882"/>
    <w:rsid w:val="026370DF"/>
    <w:rsid w:val="02F0273C"/>
    <w:rsid w:val="02F079B0"/>
    <w:rsid w:val="03101E00"/>
    <w:rsid w:val="0332397A"/>
    <w:rsid w:val="033E071B"/>
    <w:rsid w:val="035A307B"/>
    <w:rsid w:val="03D86F36"/>
    <w:rsid w:val="04095165"/>
    <w:rsid w:val="044A4F10"/>
    <w:rsid w:val="044C0C16"/>
    <w:rsid w:val="045070C7"/>
    <w:rsid w:val="045D5BC2"/>
    <w:rsid w:val="047819B6"/>
    <w:rsid w:val="04AB278A"/>
    <w:rsid w:val="05091A55"/>
    <w:rsid w:val="05346FC7"/>
    <w:rsid w:val="05363E1F"/>
    <w:rsid w:val="053A4F12"/>
    <w:rsid w:val="05740256"/>
    <w:rsid w:val="05AB5E10"/>
    <w:rsid w:val="05CD1C2A"/>
    <w:rsid w:val="05CF5FA2"/>
    <w:rsid w:val="05E10DA9"/>
    <w:rsid w:val="06451158"/>
    <w:rsid w:val="068E643C"/>
    <w:rsid w:val="069523FE"/>
    <w:rsid w:val="06954AF6"/>
    <w:rsid w:val="069845E6"/>
    <w:rsid w:val="06A51EF3"/>
    <w:rsid w:val="06C3163B"/>
    <w:rsid w:val="06E646A5"/>
    <w:rsid w:val="06EE319F"/>
    <w:rsid w:val="07677245"/>
    <w:rsid w:val="0794255C"/>
    <w:rsid w:val="07A1446C"/>
    <w:rsid w:val="07AA03DF"/>
    <w:rsid w:val="07DA39BA"/>
    <w:rsid w:val="07F76A43"/>
    <w:rsid w:val="07F9658E"/>
    <w:rsid w:val="080946AB"/>
    <w:rsid w:val="08357E18"/>
    <w:rsid w:val="0847222C"/>
    <w:rsid w:val="08A16ACD"/>
    <w:rsid w:val="08B01682"/>
    <w:rsid w:val="08F1544C"/>
    <w:rsid w:val="090F7036"/>
    <w:rsid w:val="092C4981"/>
    <w:rsid w:val="09311994"/>
    <w:rsid w:val="094A03AC"/>
    <w:rsid w:val="094B46B8"/>
    <w:rsid w:val="095617CB"/>
    <w:rsid w:val="09652EA6"/>
    <w:rsid w:val="09716023"/>
    <w:rsid w:val="097F383C"/>
    <w:rsid w:val="09975029"/>
    <w:rsid w:val="09BE5E69"/>
    <w:rsid w:val="09C13E54"/>
    <w:rsid w:val="09D2336D"/>
    <w:rsid w:val="09E75EDE"/>
    <w:rsid w:val="0A0B51CB"/>
    <w:rsid w:val="0A140428"/>
    <w:rsid w:val="0A7858FE"/>
    <w:rsid w:val="0A886CD4"/>
    <w:rsid w:val="0AB26AC6"/>
    <w:rsid w:val="0ACA17BF"/>
    <w:rsid w:val="0AD36ED6"/>
    <w:rsid w:val="0AF43971"/>
    <w:rsid w:val="0AF76584"/>
    <w:rsid w:val="0AFB3E35"/>
    <w:rsid w:val="0B0443BA"/>
    <w:rsid w:val="0B9B37D9"/>
    <w:rsid w:val="0BA23811"/>
    <w:rsid w:val="0BB51797"/>
    <w:rsid w:val="0C1C1816"/>
    <w:rsid w:val="0C233095"/>
    <w:rsid w:val="0C6F6E83"/>
    <w:rsid w:val="0C7D44E0"/>
    <w:rsid w:val="0C8F023A"/>
    <w:rsid w:val="0CA13776"/>
    <w:rsid w:val="0CA90A22"/>
    <w:rsid w:val="0CB10B0C"/>
    <w:rsid w:val="0CF7422C"/>
    <w:rsid w:val="0D344206"/>
    <w:rsid w:val="0D365CE2"/>
    <w:rsid w:val="0D3B55CD"/>
    <w:rsid w:val="0D3F3A0E"/>
    <w:rsid w:val="0D73125D"/>
    <w:rsid w:val="0D914E3C"/>
    <w:rsid w:val="0DF732B0"/>
    <w:rsid w:val="0E031844"/>
    <w:rsid w:val="0E097B78"/>
    <w:rsid w:val="0E3E791A"/>
    <w:rsid w:val="0E6F20D1"/>
    <w:rsid w:val="0E981627"/>
    <w:rsid w:val="0E9D0085"/>
    <w:rsid w:val="0EC202DE"/>
    <w:rsid w:val="0ED71A24"/>
    <w:rsid w:val="0ED865FD"/>
    <w:rsid w:val="0EE721D9"/>
    <w:rsid w:val="0EEF1FAA"/>
    <w:rsid w:val="0F4F78B0"/>
    <w:rsid w:val="0F815DA9"/>
    <w:rsid w:val="0FDC05A2"/>
    <w:rsid w:val="0FE60C31"/>
    <w:rsid w:val="0FEF171B"/>
    <w:rsid w:val="109261E9"/>
    <w:rsid w:val="10A17768"/>
    <w:rsid w:val="10A35B8B"/>
    <w:rsid w:val="10C77FE7"/>
    <w:rsid w:val="10E61059"/>
    <w:rsid w:val="115B231D"/>
    <w:rsid w:val="11795171"/>
    <w:rsid w:val="119447BB"/>
    <w:rsid w:val="119B1480"/>
    <w:rsid w:val="11D5310E"/>
    <w:rsid w:val="1251734D"/>
    <w:rsid w:val="12677142"/>
    <w:rsid w:val="127759F8"/>
    <w:rsid w:val="12B82803"/>
    <w:rsid w:val="12C9599C"/>
    <w:rsid w:val="12DE5A77"/>
    <w:rsid w:val="13162A0E"/>
    <w:rsid w:val="131A3751"/>
    <w:rsid w:val="13240975"/>
    <w:rsid w:val="133F6D99"/>
    <w:rsid w:val="1363441C"/>
    <w:rsid w:val="136B6F50"/>
    <w:rsid w:val="1380268A"/>
    <w:rsid w:val="1382682A"/>
    <w:rsid w:val="139A55D8"/>
    <w:rsid w:val="139E2B38"/>
    <w:rsid w:val="13EE7E50"/>
    <w:rsid w:val="1412709D"/>
    <w:rsid w:val="14636C82"/>
    <w:rsid w:val="14FB2F80"/>
    <w:rsid w:val="15202312"/>
    <w:rsid w:val="15392139"/>
    <w:rsid w:val="154420C7"/>
    <w:rsid w:val="156E7814"/>
    <w:rsid w:val="158739AA"/>
    <w:rsid w:val="15CA107C"/>
    <w:rsid w:val="15CD601C"/>
    <w:rsid w:val="15F35395"/>
    <w:rsid w:val="162E2871"/>
    <w:rsid w:val="16C83537"/>
    <w:rsid w:val="16CE50F1"/>
    <w:rsid w:val="170C65FB"/>
    <w:rsid w:val="171A224F"/>
    <w:rsid w:val="17234B3C"/>
    <w:rsid w:val="17413E43"/>
    <w:rsid w:val="17516817"/>
    <w:rsid w:val="176A1687"/>
    <w:rsid w:val="178D2A71"/>
    <w:rsid w:val="17964416"/>
    <w:rsid w:val="17971164"/>
    <w:rsid w:val="17C35302"/>
    <w:rsid w:val="17E53404"/>
    <w:rsid w:val="17F81198"/>
    <w:rsid w:val="180D1836"/>
    <w:rsid w:val="18241487"/>
    <w:rsid w:val="18302C42"/>
    <w:rsid w:val="183F2B14"/>
    <w:rsid w:val="18496E19"/>
    <w:rsid w:val="1896721E"/>
    <w:rsid w:val="18FB610D"/>
    <w:rsid w:val="195B1BCF"/>
    <w:rsid w:val="199B52F9"/>
    <w:rsid w:val="19B117EF"/>
    <w:rsid w:val="19C72DC1"/>
    <w:rsid w:val="19CC0292"/>
    <w:rsid w:val="19D92AF4"/>
    <w:rsid w:val="19EB47FE"/>
    <w:rsid w:val="1A6E5F75"/>
    <w:rsid w:val="1A815802"/>
    <w:rsid w:val="1A87237C"/>
    <w:rsid w:val="1A976717"/>
    <w:rsid w:val="1AAF3196"/>
    <w:rsid w:val="1AB10FBD"/>
    <w:rsid w:val="1B1D498F"/>
    <w:rsid w:val="1B5E319A"/>
    <w:rsid w:val="1B667E5F"/>
    <w:rsid w:val="1B842DF4"/>
    <w:rsid w:val="1B9E5B39"/>
    <w:rsid w:val="1BBC3DE7"/>
    <w:rsid w:val="1BC06F9C"/>
    <w:rsid w:val="1BD1056A"/>
    <w:rsid w:val="1BEB19B2"/>
    <w:rsid w:val="1BF200F1"/>
    <w:rsid w:val="1BF70EAC"/>
    <w:rsid w:val="1C603069"/>
    <w:rsid w:val="1C755930"/>
    <w:rsid w:val="1C8834C4"/>
    <w:rsid w:val="1C976113"/>
    <w:rsid w:val="1CA4520B"/>
    <w:rsid w:val="1CA619C0"/>
    <w:rsid w:val="1CC87638"/>
    <w:rsid w:val="1D37483E"/>
    <w:rsid w:val="1D513E32"/>
    <w:rsid w:val="1DD106B2"/>
    <w:rsid w:val="1DFE521F"/>
    <w:rsid w:val="1E126780"/>
    <w:rsid w:val="1E24619F"/>
    <w:rsid w:val="1E5E7721"/>
    <w:rsid w:val="1E660339"/>
    <w:rsid w:val="1E88366B"/>
    <w:rsid w:val="1E920776"/>
    <w:rsid w:val="1E9D2342"/>
    <w:rsid w:val="1EBD4792"/>
    <w:rsid w:val="1EC11B21"/>
    <w:rsid w:val="1F044A98"/>
    <w:rsid w:val="1F1D16D5"/>
    <w:rsid w:val="1F214F52"/>
    <w:rsid w:val="1F4C5B16"/>
    <w:rsid w:val="1F532A51"/>
    <w:rsid w:val="1F9279CD"/>
    <w:rsid w:val="1FA0658E"/>
    <w:rsid w:val="1FC52C19"/>
    <w:rsid w:val="1FC64311"/>
    <w:rsid w:val="200C2075"/>
    <w:rsid w:val="2014202F"/>
    <w:rsid w:val="202B7A06"/>
    <w:rsid w:val="207B66B3"/>
    <w:rsid w:val="20872F31"/>
    <w:rsid w:val="208D63E6"/>
    <w:rsid w:val="20A951E7"/>
    <w:rsid w:val="20D77EB9"/>
    <w:rsid w:val="20FC3683"/>
    <w:rsid w:val="20FF59A2"/>
    <w:rsid w:val="2118189C"/>
    <w:rsid w:val="21224FEE"/>
    <w:rsid w:val="213F1FA9"/>
    <w:rsid w:val="2165104B"/>
    <w:rsid w:val="21725D08"/>
    <w:rsid w:val="21AB33ED"/>
    <w:rsid w:val="21B52CFF"/>
    <w:rsid w:val="21DF3896"/>
    <w:rsid w:val="21F64426"/>
    <w:rsid w:val="222E3C91"/>
    <w:rsid w:val="22387BD6"/>
    <w:rsid w:val="225223AA"/>
    <w:rsid w:val="226C5BEF"/>
    <w:rsid w:val="22900BB2"/>
    <w:rsid w:val="22A26186"/>
    <w:rsid w:val="22B3482A"/>
    <w:rsid w:val="22D00801"/>
    <w:rsid w:val="22D629CA"/>
    <w:rsid w:val="22DB7473"/>
    <w:rsid w:val="22F05C60"/>
    <w:rsid w:val="23365EEC"/>
    <w:rsid w:val="237B711D"/>
    <w:rsid w:val="23BB7B0A"/>
    <w:rsid w:val="23C00991"/>
    <w:rsid w:val="23DC41A7"/>
    <w:rsid w:val="23F30CF0"/>
    <w:rsid w:val="241E7C1F"/>
    <w:rsid w:val="247C6EEA"/>
    <w:rsid w:val="24815A86"/>
    <w:rsid w:val="24A0554C"/>
    <w:rsid w:val="252F7CC9"/>
    <w:rsid w:val="25325415"/>
    <w:rsid w:val="25472F43"/>
    <w:rsid w:val="254C0545"/>
    <w:rsid w:val="256C6F12"/>
    <w:rsid w:val="259C15A5"/>
    <w:rsid w:val="25A93A08"/>
    <w:rsid w:val="25DA20CE"/>
    <w:rsid w:val="260B3316"/>
    <w:rsid w:val="264E277B"/>
    <w:rsid w:val="266251D2"/>
    <w:rsid w:val="27402404"/>
    <w:rsid w:val="274D0A53"/>
    <w:rsid w:val="277B4318"/>
    <w:rsid w:val="27B54BA0"/>
    <w:rsid w:val="27B64475"/>
    <w:rsid w:val="27CD58B4"/>
    <w:rsid w:val="27CE133B"/>
    <w:rsid w:val="27D4352E"/>
    <w:rsid w:val="27F531EF"/>
    <w:rsid w:val="282C62CA"/>
    <w:rsid w:val="28734952"/>
    <w:rsid w:val="28862099"/>
    <w:rsid w:val="289320B5"/>
    <w:rsid w:val="289724F8"/>
    <w:rsid w:val="28D9580E"/>
    <w:rsid w:val="28E25659"/>
    <w:rsid w:val="290851A4"/>
    <w:rsid w:val="29177195"/>
    <w:rsid w:val="29205437"/>
    <w:rsid w:val="29345C93"/>
    <w:rsid w:val="296B7E00"/>
    <w:rsid w:val="29BA515E"/>
    <w:rsid w:val="29C54E43"/>
    <w:rsid w:val="29C869CF"/>
    <w:rsid w:val="29CA3CA9"/>
    <w:rsid w:val="2A077FB1"/>
    <w:rsid w:val="2A321A45"/>
    <w:rsid w:val="2A35124B"/>
    <w:rsid w:val="2A563E60"/>
    <w:rsid w:val="2A5A4D9C"/>
    <w:rsid w:val="2AA669B6"/>
    <w:rsid w:val="2AC62557"/>
    <w:rsid w:val="2AF2680F"/>
    <w:rsid w:val="2B68108F"/>
    <w:rsid w:val="2B6F5066"/>
    <w:rsid w:val="2B9A6BF0"/>
    <w:rsid w:val="2BD47A9B"/>
    <w:rsid w:val="2BEF0CD7"/>
    <w:rsid w:val="2C0C0B07"/>
    <w:rsid w:val="2C3F0439"/>
    <w:rsid w:val="2C4633EA"/>
    <w:rsid w:val="2C484235"/>
    <w:rsid w:val="2C4E4561"/>
    <w:rsid w:val="2C6941CB"/>
    <w:rsid w:val="2C74019F"/>
    <w:rsid w:val="2C742E35"/>
    <w:rsid w:val="2C7B1E59"/>
    <w:rsid w:val="2CDD05EA"/>
    <w:rsid w:val="2CED3AD0"/>
    <w:rsid w:val="2D22764F"/>
    <w:rsid w:val="2D600B26"/>
    <w:rsid w:val="2D8C03B0"/>
    <w:rsid w:val="2D8E2BB9"/>
    <w:rsid w:val="2DC031A8"/>
    <w:rsid w:val="2DC7118A"/>
    <w:rsid w:val="2DDD2785"/>
    <w:rsid w:val="2E01716D"/>
    <w:rsid w:val="2E027B47"/>
    <w:rsid w:val="2E0D003D"/>
    <w:rsid w:val="2E2F24A3"/>
    <w:rsid w:val="2E3B213B"/>
    <w:rsid w:val="2E615BD5"/>
    <w:rsid w:val="2ED36025"/>
    <w:rsid w:val="2ED818F8"/>
    <w:rsid w:val="2EE919A3"/>
    <w:rsid w:val="2F0B32F8"/>
    <w:rsid w:val="2F3A1C98"/>
    <w:rsid w:val="2F545A65"/>
    <w:rsid w:val="2F8B4A44"/>
    <w:rsid w:val="2FA66A7B"/>
    <w:rsid w:val="2FB14F22"/>
    <w:rsid w:val="3005551A"/>
    <w:rsid w:val="301D1345"/>
    <w:rsid w:val="3027513A"/>
    <w:rsid w:val="30405536"/>
    <w:rsid w:val="30C8448F"/>
    <w:rsid w:val="30E65C78"/>
    <w:rsid w:val="30E958BB"/>
    <w:rsid w:val="311F74EF"/>
    <w:rsid w:val="315D7907"/>
    <w:rsid w:val="31687D65"/>
    <w:rsid w:val="31737B73"/>
    <w:rsid w:val="31BE0AF5"/>
    <w:rsid w:val="31C46918"/>
    <w:rsid w:val="324C037B"/>
    <w:rsid w:val="325D460B"/>
    <w:rsid w:val="32935ADE"/>
    <w:rsid w:val="32C1342C"/>
    <w:rsid w:val="32E274CD"/>
    <w:rsid w:val="32E27FAF"/>
    <w:rsid w:val="32E92D40"/>
    <w:rsid w:val="32F522F5"/>
    <w:rsid w:val="33105381"/>
    <w:rsid w:val="3318166B"/>
    <w:rsid w:val="331C5F64"/>
    <w:rsid w:val="334D105C"/>
    <w:rsid w:val="335C1CAA"/>
    <w:rsid w:val="337B54E4"/>
    <w:rsid w:val="337B5962"/>
    <w:rsid w:val="339A65E9"/>
    <w:rsid w:val="33EA7980"/>
    <w:rsid w:val="33F055F4"/>
    <w:rsid w:val="3463107F"/>
    <w:rsid w:val="34835A7A"/>
    <w:rsid w:val="34A57FC6"/>
    <w:rsid w:val="34A9783B"/>
    <w:rsid w:val="34C0691A"/>
    <w:rsid w:val="34CB7B3B"/>
    <w:rsid w:val="34D80120"/>
    <w:rsid w:val="34F52A80"/>
    <w:rsid w:val="34F56C2F"/>
    <w:rsid w:val="3500231B"/>
    <w:rsid w:val="350C2997"/>
    <w:rsid w:val="35214386"/>
    <w:rsid w:val="3532368F"/>
    <w:rsid w:val="353F23AA"/>
    <w:rsid w:val="355E77B2"/>
    <w:rsid w:val="35732866"/>
    <w:rsid w:val="35B31E24"/>
    <w:rsid w:val="35B331A3"/>
    <w:rsid w:val="35CF1523"/>
    <w:rsid w:val="35E12488"/>
    <w:rsid w:val="360833DF"/>
    <w:rsid w:val="361104EB"/>
    <w:rsid w:val="361349CB"/>
    <w:rsid w:val="361620B2"/>
    <w:rsid w:val="365256CD"/>
    <w:rsid w:val="366A111E"/>
    <w:rsid w:val="366F47BE"/>
    <w:rsid w:val="367F61DE"/>
    <w:rsid w:val="36843301"/>
    <w:rsid w:val="368D3DB0"/>
    <w:rsid w:val="36983C3C"/>
    <w:rsid w:val="36C02C1A"/>
    <w:rsid w:val="36D962DA"/>
    <w:rsid w:val="36FB1D8D"/>
    <w:rsid w:val="37125486"/>
    <w:rsid w:val="374A26FF"/>
    <w:rsid w:val="375C522B"/>
    <w:rsid w:val="37623229"/>
    <w:rsid w:val="37731450"/>
    <w:rsid w:val="378C0D4E"/>
    <w:rsid w:val="37E07842"/>
    <w:rsid w:val="380357AD"/>
    <w:rsid w:val="38190834"/>
    <w:rsid w:val="38234165"/>
    <w:rsid w:val="383C791F"/>
    <w:rsid w:val="385526A4"/>
    <w:rsid w:val="386540D4"/>
    <w:rsid w:val="38A6778B"/>
    <w:rsid w:val="38AC16A8"/>
    <w:rsid w:val="38B4055C"/>
    <w:rsid w:val="38B463CC"/>
    <w:rsid w:val="38FD3CCF"/>
    <w:rsid w:val="38FE5A9A"/>
    <w:rsid w:val="3902751A"/>
    <w:rsid w:val="39355ABC"/>
    <w:rsid w:val="39601E3D"/>
    <w:rsid w:val="397B3027"/>
    <w:rsid w:val="39A2691C"/>
    <w:rsid w:val="3A013C4A"/>
    <w:rsid w:val="3A1725C8"/>
    <w:rsid w:val="3A383CAD"/>
    <w:rsid w:val="3A584BAB"/>
    <w:rsid w:val="3A686CB7"/>
    <w:rsid w:val="3AAA60BB"/>
    <w:rsid w:val="3AB57A2D"/>
    <w:rsid w:val="3AC76CAE"/>
    <w:rsid w:val="3AED318F"/>
    <w:rsid w:val="3AF832EC"/>
    <w:rsid w:val="3B1B2556"/>
    <w:rsid w:val="3B3622CB"/>
    <w:rsid w:val="3B52630A"/>
    <w:rsid w:val="3B6613AA"/>
    <w:rsid w:val="3B883ED9"/>
    <w:rsid w:val="3B984165"/>
    <w:rsid w:val="3BBB1A1D"/>
    <w:rsid w:val="3BD60810"/>
    <w:rsid w:val="3BF44347"/>
    <w:rsid w:val="3BF70EF8"/>
    <w:rsid w:val="3C221C81"/>
    <w:rsid w:val="3C237ED3"/>
    <w:rsid w:val="3C290468"/>
    <w:rsid w:val="3C3E5D16"/>
    <w:rsid w:val="3C603543"/>
    <w:rsid w:val="3C814BF9"/>
    <w:rsid w:val="3C8921E3"/>
    <w:rsid w:val="3C8B4C2E"/>
    <w:rsid w:val="3CB0379D"/>
    <w:rsid w:val="3CB3037C"/>
    <w:rsid w:val="3CB52AF5"/>
    <w:rsid w:val="3CEA134C"/>
    <w:rsid w:val="3CF63839"/>
    <w:rsid w:val="3D0F35EB"/>
    <w:rsid w:val="3D402D06"/>
    <w:rsid w:val="3D605157"/>
    <w:rsid w:val="3D867FBF"/>
    <w:rsid w:val="3DC36269"/>
    <w:rsid w:val="3DC7212E"/>
    <w:rsid w:val="3DF633C5"/>
    <w:rsid w:val="3E052693"/>
    <w:rsid w:val="3E1201FF"/>
    <w:rsid w:val="3E382184"/>
    <w:rsid w:val="3E544E40"/>
    <w:rsid w:val="3E5A5016"/>
    <w:rsid w:val="3E84008B"/>
    <w:rsid w:val="3E975744"/>
    <w:rsid w:val="3EB71B6D"/>
    <w:rsid w:val="3EDA1C30"/>
    <w:rsid w:val="3EEF76F3"/>
    <w:rsid w:val="3EF15791"/>
    <w:rsid w:val="3F07087A"/>
    <w:rsid w:val="3F1510EC"/>
    <w:rsid w:val="3F3B19D7"/>
    <w:rsid w:val="3F826F77"/>
    <w:rsid w:val="3FC75FF3"/>
    <w:rsid w:val="3FE83046"/>
    <w:rsid w:val="40057874"/>
    <w:rsid w:val="400B4205"/>
    <w:rsid w:val="40EA5463"/>
    <w:rsid w:val="413C1125"/>
    <w:rsid w:val="417F6812"/>
    <w:rsid w:val="41A2189A"/>
    <w:rsid w:val="41BD0004"/>
    <w:rsid w:val="41DB4DAC"/>
    <w:rsid w:val="41FB2309"/>
    <w:rsid w:val="420330D8"/>
    <w:rsid w:val="423F745A"/>
    <w:rsid w:val="424E557E"/>
    <w:rsid w:val="425F3C2F"/>
    <w:rsid w:val="42646E38"/>
    <w:rsid w:val="427E044B"/>
    <w:rsid w:val="428C60A6"/>
    <w:rsid w:val="42E625C3"/>
    <w:rsid w:val="42FB5880"/>
    <w:rsid w:val="43155919"/>
    <w:rsid w:val="4329203E"/>
    <w:rsid w:val="433C5205"/>
    <w:rsid w:val="435C45EB"/>
    <w:rsid w:val="4360446B"/>
    <w:rsid w:val="43747266"/>
    <w:rsid w:val="438003D7"/>
    <w:rsid w:val="4390082F"/>
    <w:rsid w:val="43C238FA"/>
    <w:rsid w:val="43E503D2"/>
    <w:rsid w:val="440432E7"/>
    <w:rsid w:val="44337121"/>
    <w:rsid w:val="44534B0A"/>
    <w:rsid w:val="449766AD"/>
    <w:rsid w:val="44AD0A30"/>
    <w:rsid w:val="44BC593E"/>
    <w:rsid w:val="44BF3881"/>
    <w:rsid w:val="44C1472D"/>
    <w:rsid w:val="44D66CFC"/>
    <w:rsid w:val="44DE1833"/>
    <w:rsid w:val="44E7657C"/>
    <w:rsid w:val="44FA7C3F"/>
    <w:rsid w:val="45010FCD"/>
    <w:rsid w:val="451839BA"/>
    <w:rsid w:val="452458BF"/>
    <w:rsid w:val="452847AC"/>
    <w:rsid w:val="45364E28"/>
    <w:rsid w:val="456C6E01"/>
    <w:rsid w:val="456D554A"/>
    <w:rsid w:val="4584426D"/>
    <w:rsid w:val="45BB491C"/>
    <w:rsid w:val="45BD0F5F"/>
    <w:rsid w:val="45C67B21"/>
    <w:rsid w:val="46BC1650"/>
    <w:rsid w:val="46C04AE1"/>
    <w:rsid w:val="46DA1B9B"/>
    <w:rsid w:val="47187B27"/>
    <w:rsid w:val="472B3A30"/>
    <w:rsid w:val="47664E5A"/>
    <w:rsid w:val="477E657B"/>
    <w:rsid w:val="47A81166"/>
    <w:rsid w:val="47AE4D43"/>
    <w:rsid w:val="47C50090"/>
    <w:rsid w:val="48512886"/>
    <w:rsid w:val="48C14CFA"/>
    <w:rsid w:val="49033A36"/>
    <w:rsid w:val="49295900"/>
    <w:rsid w:val="497A3F01"/>
    <w:rsid w:val="49991A9A"/>
    <w:rsid w:val="499E328F"/>
    <w:rsid w:val="49CD36F0"/>
    <w:rsid w:val="49DE7B2F"/>
    <w:rsid w:val="49E14F29"/>
    <w:rsid w:val="49E40DEC"/>
    <w:rsid w:val="49EB7B56"/>
    <w:rsid w:val="4A0C3C2F"/>
    <w:rsid w:val="4A6E2C61"/>
    <w:rsid w:val="4A72331D"/>
    <w:rsid w:val="4A857FAB"/>
    <w:rsid w:val="4A89713F"/>
    <w:rsid w:val="4A8C30E7"/>
    <w:rsid w:val="4A912EBD"/>
    <w:rsid w:val="4A9E6387"/>
    <w:rsid w:val="4AB66F0D"/>
    <w:rsid w:val="4AD52C9E"/>
    <w:rsid w:val="4AFA0F21"/>
    <w:rsid w:val="4B3F08B1"/>
    <w:rsid w:val="4B405701"/>
    <w:rsid w:val="4B56030B"/>
    <w:rsid w:val="4BAB1C93"/>
    <w:rsid w:val="4BB171F6"/>
    <w:rsid w:val="4C066574"/>
    <w:rsid w:val="4C134EA5"/>
    <w:rsid w:val="4C3D6D8F"/>
    <w:rsid w:val="4C7E466E"/>
    <w:rsid w:val="4CCC1EC1"/>
    <w:rsid w:val="4CDB3BDA"/>
    <w:rsid w:val="4D0B2CA0"/>
    <w:rsid w:val="4D3161C8"/>
    <w:rsid w:val="4D7178A9"/>
    <w:rsid w:val="4D9B0906"/>
    <w:rsid w:val="4D9B50BA"/>
    <w:rsid w:val="4DCF6C1E"/>
    <w:rsid w:val="4DDF0919"/>
    <w:rsid w:val="4DE1345C"/>
    <w:rsid w:val="4E0336C0"/>
    <w:rsid w:val="4E123059"/>
    <w:rsid w:val="4E1577CD"/>
    <w:rsid w:val="4E191136"/>
    <w:rsid w:val="4E2A252A"/>
    <w:rsid w:val="4EA578C4"/>
    <w:rsid w:val="4EC8490A"/>
    <w:rsid w:val="4EC86752"/>
    <w:rsid w:val="4EDA0B67"/>
    <w:rsid w:val="4EDE5EDB"/>
    <w:rsid w:val="4EEC071D"/>
    <w:rsid w:val="4F0022F6"/>
    <w:rsid w:val="4F0947BC"/>
    <w:rsid w:val="4F177A4A"/>
    <w:rsid w:val="4F245FE4"/>
    <w:rsid w:val="4F6665FD"/>
    <w:rsid w:val="4FAE0657"/>
    <w:rsid w:val="4FB8672C"/>
    <w:rsid w:val="4FEE344E"/>
    <w:rsid w:val="5059723A"/>
    <w:rsid w:val="50A9130F"/>
    <w:rsid w:val="50B1385B"/>
    <w:rsid w:val="50CB4033"/>
    <w:rsid w:val="50D65078"/>
    <w:rsid w:val="50EC48E0"/>
    <w:rsid w:val="512A5408"/>
    <w:rsid w:val="512E52BB"/>
    <w:rsid w:val="51390D05"/>
    <w:rsid w:val="5149499E"/>
    <w:rsid w:val="51825244"/>
    <w:rsid w:val="51B32FF8"/>
    <w:rsid w:val="51BE3C46"/>
    <w:rsid w:val="51C94C21"/>
    <w:rsid w:val="52036385"/>
    <w:rsid w:val="520F30DF"/>
    <w:rsid w:val="521D4F6D"/>
    <w:rsid w:val="52257019"/>
    <w:rsid w:val="527F36C2"/>
    <w:rsid w:val="52955DB2"/>
    <w:rsid w:val="52C1379C"/>
    <w:rsid w:val="52ED26BB"/>
    <w:rsid w:val="52F51BB9"/>
    <w:rsid w:val="52F57BC9"/>
    <w:rsid w:val="52FC79CE"/>
    <w:rsid w:val="532D11DF"/>
    <w:rsid w:val="53694E47"/>
    <w:rsid w:val="536C1D08"/>
    <w:rsid w:val="53772F77"/>
    <w:rsid w:val="53B42CB0"/>
    <w:rsid w:val="53D30E9B"/>
    <w:rsid w:val="53F561A1"/>
    <w:rsid w:val="545677A1"/>
    <w:rsid w:val="546367E9"/>
    <w:rsid w:val="54764CA7"/>
    <w:rsid w:val="54967E97"/>
    <w:rsid w:val="54AD4386"/>
    <w:rsid w:val="54B440E6"/>
    <w:rsid w:val="54F05DC7"/>
    <w:rsid w:val="54F85845"/>
    <w:rsid w:val="54F97A07"/>
    <w:rsid w:val="550B0F24"/>
    <w:rsid w:val="55214D54"/>
    <w:rsid w:val="552B1A30"/>
    <w:rsid w:val="554F7B33"/>
    <w:rsid w:val="5558300C"/>
    <w:rsid w:val="558D41B7"/>
    <w:rsid w:val="55F671B4"/>
    <w:rsid w:val="56000E28"/>
    <w:rsid w:val="561315FA"/>
    <w:rsid w:val="561661F5"/>
    <w:rsid w:val="56690780"/>
    <w:rsid w:val="5697055A"/>
    <w:rsid w:val="56CD10B7"/>
    <w:rsid w:val="56D73EF4"/>
    <w:rsid w:val="56ED75AC"/>
    <w:rsid w:val="573C1A86"/>
    <w:rsid w:val="573E7E5F"/>
    <w:rsid w:val="575B4970"/>
    <w:rsid w:val="576D1CA8"/>
    <w:rsid w:val="57755974"/>
    <w:rsid w:val="578F1899"/>
    <w:rsid w:val="582E6581"/>
    <w:rsid w:val="584B452D"/>
    <w:rsid w:val="58C16631"/>
    <w:rsid w:val="58E14F46"/>
    <w:rsid w:val="58E46DCF"/>
    <w:rsid w:val="58F7026F"/>
    <w:rsid w:val="59157C5E"/>
    <w:rsid w:val="591C0E16"/>
    <w:rsid w:val="59357DDE"/>
    <w:rsid w:val="59387C36"/>
    <w:rsid w:val="593D3ABC"/>
    <w:rsid w:val="5967512B"/>
    <w:rsid w:val="598B4E15"/>
    <w:rsid w:val="59963EF3"/>
    <w:rsid w:val="59DB3743"/>
    <w:rsid w:val="59F7786E"/>
    <w:rsid w:val="5A0802B0"/>
    <w:rsid w:val="5A1153B7"/>
    <w:rsid w:val="5A4B528D"/>
    <w:rsid w:val="5A74411C"/>
    <w:rsid w:val="5A980F2F"/>
    <w:rsid w:val="5AE439FC"/>
    <w:rsid w:val="5AF30FCE"/>
    <w:rsid w:val="5AF977F4"/>
    <w:rsid w:val="5AFC3CC2"/>
    <w:rsid w:val="5B9900F2"/>
    <w:rsid w:val="5BCC02DA"/>
    <w:rsid w:val="5BE12E76"/>
    <w:rsid w:val="5BE64117"/>
    <w:rsid w:val="5C115B42"/>
    <w:rsid w:val="5C1A2683"/>
    <w:rsid w:val="5C52505C"/>
    <w:rsid w:val="5CF0057A"/>
    <w:rsid w:val="5D246832"/>
    <w:rsid w:val="5D380EAD"/>
    <w:rsid w:val="5D414205"/>
    <w:rsid w:val="5D4D6706"/>
    <w:rsid w:val="5D711697"/>
    <w:rsid w:val="5DA71300"/>
    <w:rsid w:val="5DF9329E"/>
    <w:rsid w:val="5E677792"/>
    <w:rsid w:val="5E875F2A"/>
    <w:rsid w:val="5E895323"/>
    <w:rsid w:val="5EA556FF"/>
    <w:rsid w:val="5ECD523E"/>
    <w:rsid w:val="5EDA221B"/>
    <w:rsid w:val="5EDD1D0C"/>
    <w:rsid w:val="5EE174A3"/>
    <w:rsid w:val="5EE56057"/>
    <w:rsid w:val="5F1A327B"/>
    <w:rsid w:val="5F5A6D0B"/>
    <w:rsid w:val="5F84008B"/>
    <w:rsid w:val="5FC937C5"/>
    <w:rsid w:val="60193851"/>
    <w:rsid w:val="60233244"/>
    <w:rsid w:val="6038523E"/>
    <w:rsid w:val="6071095D"/>
    <w:rsid w:val="60863BD5"/>
    <w:rsid w:val="608B2AEF"/>
    <w:rsid w:val="60F1387B"/>
    <w:rsid w:val="61330309"/>
    <w:rsid w:val="615D19B1"/>
    <w:rsid w:val="61722BDF"/>
    <w:rsid w:val="61964177"/>
    <w:rsid w:val="61CA785A"/>
    <w:rsid w:val="61E0275D"/>
    <w:rsid w:val="62232F43"/>
    <w:rsid w:val="62436F7C"/>
    <w:rsid w:val="624B5592"/>
    <w:rsid w:val="624F1172"/>
    <w:rsid w:val="62782028"/>
    <w:rsid w:val="627E55B4"/>
    <w:rsid w:val="62AF4B8E"/>
    <w:rsid w:val="62D905CA"/>
    <w:rsid w:val="62E81A95"/>
    <w:rsid w:val="62EC0DA3"/>
    <w:rsid w:val="63062F5C"/>
    <w:rsid w:val="63092BE9"/>
    <w:rsid w:val="63790395"/>
    <w:rsid w:val="637A1F7C"/>
    <w:rsid w:val="63C24F56"/>
    <w:rsid w:val="63EB73BE"/>
    <w:rsid w:val="640F4998"/>
    <w:rsid w:val="645706A8"/>
    <w:rsid w:val="64DB5214"/>
    <w:rsid w:val="64F349F7"/>
    <w:rsid w:val="65295A94"/>
    <w:rsid w:val="65546449"/>
    <w:rsid w:val="659B0B9A"/>
    <w:rsid w:val="65FC233E"/>
    <w:rsid w:val="66374E2C"/>
    <w:rsid w:val="66591DEA"/>
    <w:rsid w:val="668F2885"/>
    <w:rsid w:val="669D6CE0"/>
    <w:rsid w:val="66AE3C2E"/>
    <w:rsid w:val="66CC325D"/>
    <w:rsid w:val="66FB3FFB"/>
    <w:rsid w:val="672A3641"/>
    <w:rsid w:val="6760585F"/>
    <w:rsid w:val="676270AE"/>
    <w:rsid w:val="67915CB0"/>
    <w:rsid w:val="67C6046B"/>
    <w:rsid w:val="67E44CD2"/>
    <w:rsid w:val="68011712"/>
    <w:rsid w:val="68077DF9"/>
    <w:rsid w:val="68224AD1"/>
    <w:rsid w:val="682561C2"/>
    <w:rsid w:val="68274789"/>
    <w:rsid w:val="68382701"/>
    <w:rsid w:val="683F3A37"/>
    <w:rsid w:val="686D39F6"/>
    <w:rsid w:val="6878659F"/>
    <w:rsid w:val="688F34FE"/>
    <w:rsid w:val="68D75DBC"/>
    <w:rsid w:val="68EE711C"/>
    <w:rsid w:val="68F91E38"/>
    <w:rsid w:val="690916BA"/>
    <w:rsid w:val="69276457"/>
    <w:rsid w:val="695F613F"/>
    <w:rsid w:val="697257F6"/>
    <w:rsid w:val="69784594"/>
    <w:rsid w:val="69B33D95"/>
    <w:rsid w:val="69E96AA8"/>
    <w:rsid w:val="69F9204A"/>
    <w:rsid w:val="6A140B08"/>
    <w:rsid w:val="6A5424B9"/>
    <w:rsid w:val="6A5D14F2"/>
    <w:rsid w:val="6A931074"/>
    <w:rsid w:val="6AC24A79"/>
    <w:rsid w:val="6AC56475"/>
    <w:rsid w:val="6AC975E8"/>
    <w:rsid w:val="6B0309E3"/>
    <w:rsid w:val="6B6162D1"/>
    <w:rsid w:val="6B8A5F6F"/>
    <w:rsid w:val="6BA20D96"/>
    <w:rsid w:val="6BA25323"/>
    <w:rsid w:val="6BAD2A66"/>
    <w:rsid w:val="6BE96194"/>
    <w:rsid w:val="6C5F32E0"/>
    <w:rsid w:val="6C7C1180"/>
    <w:rsid w:val="6C7E3126"/>
    <w:rsid w:val="6C870C9E"/>
    <w:rsid w:val="6CA33CEF"/>
    <w:rsid w:val="6D040C67"/>
    <w:rsid w:val="6D1C261B"/>
    <w:rsid w:val="6D34599B"/>
    <w:rsid w:val="6D4F2026"/>
    <w:rsid w:val="6D920165"/>
    <w:rsid w:val="6DA22804"/>
    <w:rsid w:val="6DB225B5"/>
    <w:rsid w:val="6DBE28E9"/>
    <w:rsid w:val="6DD20EEB"/>
    <w:rsid w:val="6E05289A"/>
    <w:rsid w:val="6E2E60E0"/>
    <w:rsid w:val="6E3772B6"/>
    <w:rsid w:val="6E5E44B4"/>
    <w:rsid w:val="6EA2087C"/>
    <w:rsid w:val="6EE36ECA"/>
    <w:rsid w:val="6F527928"/>
    <w:rsid w:val="6F602316"/>
    <w:rsid w:val="6F7530AC"/>
    <w:rsid w:val="6F8C20D7"/>
    <w:rsid w:val="702308B2"/>
    <w:rsid w:val="705367C8"/>
    <w:rsid w:val="70552A5D"/>
    <w:rsid w:val="70AD18CC"/>
    <w:rsid w:val="70E272B2"/>
    <w:rsid w:val="70F55256"/>
    <w:rsid w:val="71144C3B"/>
    <w:rsid w:val="716F3541"/>
    <w:rsid w:val="717A5889"/>
    <w:rsid w:val="719B07FD"/>
    <w:rsid w:val="71A37E98"/>
    <w:rsid w:val="71F3132A"/>
    <w:rsid w:val="72052CDD"/>
    <w:rsid w:val="7205364C"/>
    <w:rsid w:val="721E7E06"/>
    <w:rsid w:val="722B13DE"/>
    <w:rsid w:val="72310522"/>
    <w:rsid w:val="723A6589"/>
    <w:rsid w:val="72DB435C"/>
    <w:rsid w:val="72DF3591"/>
    <w:rsid w:val="72E923C2"/>
    <w:rsid w:val="735955DB"/>
    <w:rsid w:val="735B0460"/>
    <w:rsid w:val="736A4624"/>
    <w:rsid w:val="73DF73C5"/>
    <w:rsid w:val="73EA07F6"/>
    <w:rsid w:val="73F52501"/>
    <w:rsid w:val="742B2F37"/>
    <w:rsid w:val="74336ED8"/>
    <w:rsid w:val="74A02EDB"/>
    <w:rsid w:val="74FA6D1C"/>
    <w:rsid w:val="75222256"/>
    <w:rsid w:val="75422471"/>
    <w:rsid w:val="754A46E7"/>
    <w:rsid w:val="754E4B00"/>
    <w:rsid w:val="75624B17"/>
    <w:rsid w:val="758F7174"/>
    <w:rsid w:val="75912604"/>
    <w:rsid w:val="75A02214"/>
    <w:rsid w:val="766B1C6E"/>
    <w:rsid w:val="769C67C3"/>
    <w:rsid w:val="76A61249"/>
    <w:rsid w:val="76BF5C90"/>
    <w:rsid w:val="76D22094"/>
    <w:rsid w:val="76F8372F"/>
    <w:rsid w:val="771D3258"/>
    <w:rsid w:val="77476464"/>
    <w:rsid w:val="77513458"/>
    <w:rsid w:val="77923BD0"/>
    <w:rsid w:val="77AD4519"/>
    <w:rsid w:val="77ED5B0C"/>
    <w:rsid w:val="77F3544A"/>
    <w:rsid w:val="78252301"/>
    <w:rsid w:val="784309DA"/>
    <w:rsid w:val="78896E24"/>
    <w:rsid w:val="78A321D2"/>
    <w:rsid w:val="78BD6BA4"/>
    <w:rsid w:val="78C83393"/>
    <w:rsid w:val="78FA2CAA"/>
    <w:rsid w:val="790638CF"/>
    <w:rsid w:val="798D6F68"/>
    <w:rsid w:val="79997DD2"/>
    <w:rsid w:val="79C1665E"/>
    <w:rsid w:val="79E104AA"/>
    <w:rsid w:val="7A1A0982"/>
    <w:rsid w:val="7A4078C7"/>
    <w:rsid w:val="7A515AA2"/>
    <w:rsid w:val="7A553A21"/>
    <w:rsid w:val="7A5C4301"/>
    <w:rsid w:val="7A647486"/>
    <w:rsid w:val="7A7F0907"/>
    <w:rsid w:val="7A850200"/>
    <w:rsid w:val="7AA421D2"/>
    <w:rsid w:val="7AD41939"/>
    <w:rsid w:val="7B493177"/>
    <w:rsid w:val="7C127041"/>
    <w:rsid w:val="7C335DFF"/>
    <w:rsid w:val="7C5C02BC"/>
    <w:rsid w:val="7C5F55A2"/>
    <w:rsid w:val="7CBF0117"/>
    <w:rsid w:val="7CD74885"/>
    <w:rsid w:val="7CD77D66"/>
    <w:rsid w:val="7CDF0AEC"/>
    <w:rsid w:val="7CF577D7"/>
    <w:rsid w:val="7CF8312F"/>
    <w:rsid w:val="7D641299"/>
    <w:rsid w:val="7D6E7A51"/>
    <w:rsid w:val="7D7E4647"/>
    <w:rsid w:val="7D891584"/>
    <w:rsid w:val="7DA27FCE"/>
    <w:rsid w:val="7DA34B33"/>
    <w:rsid w:val="7DB54128"/>
    <w:rsid w:val="7DCC01A6"/>
    <w:rsid w:val="7E195901"/>
    <w:rsid w:val="7E4A701D"/>
    <w:rsid w:val="7E5D4759"/>
    <w:rsid w:val="7E6F7B55"/>
    <w:rsid w:val="7E855D33"/>
    <w:rsid w:val="7E9D3FBA"/>
    <w:rsid w:val="7EE34130"/>
    <w:rsid w:val="7EEB5A59"/>
    <w:rsid w:val="7EEE0B48"/>
    <w:rsid w:val="7EFA7162"/>
    <w:rsid w:val="7F34107C"/>
    <w:rsid w:val="7F364DF4"/>
    <w:rsid w:val="7FBB3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semiHidden/>
    <w:unhideWhenUsed/>
    <w:qFormat/>
    <w:uiPriority w:val="0"/>
    <w:pPr>
      <w:keepNext/>
      <w:keepLines/>
      <w:spacing w:beforeLines="0" w:beforeAutospacing="0" w:afterLines="0" w:afterAutospacing="0" w:line="360" w:lineRule="auto"/>
      <w:outlineLvl w:val="1"/>
    </w:pPr>
    <w:rPr>
      <w:rFonts w:ascii="Arial" w:hAnsi="Arial" w:eastAsia="黑体" w:cs="Times New Roman"/>
      <w:sz w:val="30"/>
      <w:lang w:eastAsia="zh-TW"/>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table of figures"/>
    <w:basedOn w:val="1"/>
    <w:next w:val="1"/>
    <w:qFormat/>
    <w:uiPriority w:val="0"/>
    <w:pPr>
      <w:ind w:leftChars="200" w:hanging="200" w:hangingChars="200"/>
    </w:pPr>
    <w:rPr>
      <w:szCs w:val="24"/>
    </w:rPr>
  </w:style>
  <w:style w:type="paragraph" w:styleId="5">
    <w:name w:val="Normal Indent"/>
    <w:basedOn w:val="1"/>
    <w:next w:val="1"/>
    <w:qFormat/>
    <w:uiPriority w:val="0"/>
    <w:pPr>
      <w:ind w:firstLine="420" w:firstLineChars="200"/>
    </w:pPr>
  </w:style>
  <w:style w:type="paragraph" w:styleId="6">
    <w:name w:val="caption"/>
    <w:basedOn w:val="1"/>
    <w:next w:val="1"/>
    <w:qFormat/>
    <w:uiPriority w:val="0"/>
    <w:pPr>
      <w:spacing w:before="240" w:after="60"/>
      <w:jc w:val="center"/>
    </w:pPr>
    <w:rPr>
      <w:rFonts w:ascii="Arial" w:hAnsi="Arial" w:cs="Arial"/>
      <w:sz w:val="22"/>
      <w:szCs w:val="20"/>
    </w:rPr>
  </w:style>
  <w:style w:type="paragraph" w:styleId="7">
    <w:name w:val="toa heading"/>
    <w:basedOn w:val="1"/>
    <w:next w:val="1"/>
    <w:qFormat/>
    <w:uiPriority w:val="0"/>
    <w:rPr>
      <w:rFonts w:ascii="Arial" w:hAnsi="Arial"/>
      <w:sz w:val="24"/>
    </w:rPr>
  </w:style>
  <w:style w:type="paragraph" w:styleId="8">
    <w:name w:val="annotation text"/>
    <w:basedOn w:val="1"/>
    <w:unhideWhenUsed/>
    <w:qFormat/>
    <w:uiPriority w:val="99"/>
    <w:pPr>
      <w:jc w:val="left"/>
    </w:pPr>
  </w:style>
  <w:style w:type="paragraph" w:styleId="9">
    <w:name w:val="Body Text"/>
    <w:basedOn w:val="1"/>
    <w:next w:val="1"/>
    <w:qFormat/>
    <w:uiPriority w:val="0"/>
    <w:pPr>
      <w:spacing w:after="120"/>
    </w:pPr>
    <w:rPr>
      <w:rFonts w:cs="Times New Roman"/>
      <w:kern w:val="0"/>
      <w:sz w:val="20"/>
      <w:szCs w:val="24"/>
    </w:rPr>
  </w:style>
  <w:style w:type="paragraph" w:styleId="10">
    <w:name w:val="Body Text Indent"/>
    <w:basedOn w:val="1"/>
    <w:next w:val="9"/>
    <w:unhideWhenUsed/>
    <w:qFormat/>
    <w:uiPriority w:val="99"/>
    <w:pPr>
      <w:spacing w:after="120"/>
      <w:ind w:left="420" w:leftChars="200"/>
    </w:pPr>
  </w:style>
  <w:style w:type="paragraph" w:styleId="11">
    <w:name w:val="Body Text Indent 2"/>
    <w:basedOn w:val="1"/>
    <w:next w:val="12"/>
    <w:qFormat/>
    <w:uiPriority w:val="0"/>
    <w:pPr>
      <w:spacing w:after="120" w:afterLines="0" w:line="480" w:lineRule="auto"/>
      <w:ind w:left="420" w:leftChars="200"/>
    </w:pPr>
  </w:style>
  <w:style w:type="paragraph" w:customStyle="1" w:styleId="12">
    <w:name w:val="简单回函地址"/>
    <w:basedOn w:val="1"/>
    <w:next w:val="13"/>
    <w:qFormat/>
    <w:uiPriority w:val="0"/>
    <w:pPr>
      <w:widowControl/>
    </w:pPr>
    <w:rPr>
      <w:rFonts w:ascii="宋体" w:hAnsi="宋体" w:cs="宋体"/>
      <w:kern w:val="0"/>
      <w:szCs w:val="20"/>
    </w:rPr>
  </w:style>
  <w:style w:type="paragraph" w:customStyle="1" w:styleId="13">
    <w:name w:val="正文2"/>
    <w:basedOn w:val="10"/>
    <w:next w:val="1"/>
    <w:qFormat/>
    <w:uiPriority w:val="0"/>
    <w:pPr>
      <w:spacing w:line="360" w:lineRule="auto"/>
    </w:pPr>
    <w:rPr>
      <w:rFonts w:eastAsia="仿宋_GB2312"/>
      <w:color w:val="auto"/>
      <w:szCs w:val="28"/>
      <w:lang w:val="zh-CN"/>
    </w:rPr>
  </w:style>
  <w:style w:type="paragraph" w:styleId="14">
    <w:name w:val="footer"/>
    <w:basedOn w:val="1"/>
    <w:unhideWhenUsed/>
    <w:qFormat/>
    <w:uiPriority w:val="99"/>
    <w:pPr>
      <w:tabs>
        <w:tab w:val="center" w:pos="4153"/>
        <w:tab w:val="right" w:pos="8306"/>
      </w:tabs>
      <w:snapToGrid w:val="0"/>
      <w:jc w:val="left"/>
    </w:pPr>
    <w:rPr>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Body Text Indent 3"/>
    <w:basedOn w:val="1"/>
    <w:next w:val="3"/>
    <w:unhideWhenUsed/>
    <w:qFormat/>
    <w:uiPriority w:val="0"/>
    <w:pPr>
      <w:spacing w:after="120"/>
      <w:ind w:left="420" w:leftChars="200"/>
    </w:pPr>
    <w:rPr>
      <w:rFonts w:cs="Times New Roman"/>
      <w:sz w:val="16"/>
      <w:szCs w:val="16"/>
      <w:lang w:val="zh-CN" w:eastAsia="zh-CN"/>
    </w:rPr>
  </w:style>
  <w:style w:type="paragraph" w:styleId="1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8">
    <w:name w:val="Body Text First Indent 2"/>
    <w:basedOn w:val="10"/>
    <w:next w:val="1"/>
    <w:qFormat/>
    <w:uiPriority w:val="0"/>
    <w:pPr>
      <w:widowControl/>
      <w:spacing w:after="120"/>
      <w:ind w:left="420" w:leftChars="200" w:firstLine="420"/>
      <w:jc w:val="left"/>
    </w:pPr>
    <w:rPr>
      <w:rFonts w:ascii="Times New Roman" w:eastAsia="宋体"/>
      <w:kern w:val="0"/>
      <w:sz w:val="20"/>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Hyperlink"/>
    <w:basedOn w:val="21"/>
    <w:qFormat/>
    <w:uiPriority w:val="0"/>
    <w:rPr>
      <w:color w:val="0000FF"/>
      <w:u w:val="single"/>
    </w:rPr>
  </w:style>
  <w:style w:type="paragraph" w:customStyle="1" w:styleId="24">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25">
    <w:name w:val="章节目录"/>
    <w:basedOn w:val="1"/>
    <w:qFormat/>
    <w:uiPriority w:val="0"/>
    <w:pPr>
      <w:spacing w:line="360" w:lineRule="auto"/>
      <w:outlineLvl w:val="0"/>
    </w:pPr>
    <w:rPr>
      <w:b/>
      <w:sz w:val="28"/>
      <w:szCs w:val="28"/>
    </w:rPr>
  </w:style>
  <w:style w:type="paragraph" w:customStyle="1" w:styleId="26">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27">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28">
    <w:name w:val="Table Grid_0"/>
    <w:basedOn w:val="19"/>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
    <w:name w:val="_Style 377"/>
    <w:basedOn w:val="1"/>
    <w:qFormat/>
    <w:uiPriority w:val="0"/>
    <w:pPr>
      <w:widowControl/>
    </w:pPr>
  </w:style>
  <w:style w:type="paragraph" w:customStyle="1" w:styleId="30">
    <w:name w:val="Table Paragraph"/>
    <w:basedOn w:val="1"/>
    <w:qFormat/>
    <w:uiPriority w:val="0"/>
    <w:rPr>
      <w:rFonts w:cs="Times New Roman"/>
    </w:rPr>
  </w:style>
  <w:style w:type="paragraph" w:customStyle="1" w:styleId="31">
    <w:name w:val="s4正文"/>
    <w:basedOn w:val="1"/>
    <w:qFormat/>
    <w:uiPriority w:val="0"/>
    <w:pPr>
      <w:spacing w:line="360" w:lineRule="auto"/>
      <w:ind w:firstLine="480" w:firstLineChars="200"/>
    </w:pPr>
    <w:rPr>
      <w:rFonts w:cs="宋体"/>
      <w:sz w:val="24"/>
      <w:szCs w:val="20"/>
    </w:rPr>
  </w:style>
  <w:style w:type="paragraph" w:customStyle="1" w:styleId="32">
    <w:name w:val="Default"/>
    <w:unhideWhenUsed/>
    <w:qFormat/>
    <w:uiPriority w:val="99"/>
    <w:pPr>
      <w:widowControl w:val="0"/>
      <w:autoSpaceDE w:val="0"/>
      <w:autoSpaceDN w:val="0"/>
      <w:adjustRightInd w:val="0"/>
    </w:pPr>
    <w:rPr>
      <w:rFonts w:hint="eastAsia" w:ascii="黑体" w:hAnsi="黑体" w:eastAsia="黑体" w:cs="Times New Roman"/>
      <w:color w:val="000000"/>
      <w:sz w:val="24"/>
      <w:szCs w:val="22"/>
      <w:lang w:val="en-US" w:eastAsia="zh-CN" w:bidi="ar-SA"/>
    </w:rPr>
  </w:style>
  <w:style w:type="paragraph" w:customStyle="1" w:styleId="33">
    <w:name w:val="rpt_表项"/>
    <w:basedOn w:val="1"/>
    <w:qFormat/>
    <w:uiPriority w:val="0"/>
    <w:pPr>
      <w:spacing w:before="60" w:after="60"/>
      <w:jc w:val="center"/>
    </w:pPr>
    <w:rPr>
      <w:rFonts w:cs="宋体"/>
      <w:sz w:val="22"/>
      <w:szCs w:val="20"/>
    </w:rPr>
  </w:style>
  <w:style w:type="paragraph" w:customStyle="1" w:styleId="34">
    <w:name w:val="表格内容"/>
    <w:basedOn w:val="5"/>
    <w:next w:val="1"/>
    <w:qFormat/>
    <w:uiPriority w:val="0"/>
    <w:pPr>
      <w:jc w:val="center"/>
    </w:pPr>
    <w:rPr>
      <w:rFonts w:eastAsia="Times New Roman" w:cs="Times New Roman"/>
      <w:kern w:val="0"/>
      <w:sz w:val="20"/>
      <w:szCs w:val="21"/>
    </w:rPr>
  </w:style>
  <w:style w:type="character" w:customStyle="1" w:styleId="35">
    <w:name w:val="font11"/>
    <w:basedOn w:val="21"/>
    <w:qFormat/>
    <w:uiPriority w:val="0"/>
    <w:rPr>
      <w:rFonts w:hint="default" w:ascii="Times New Roman" w:hAnsi="Times New Roman" w:cs="Times New Roman"/>
      <w:color w:val="000000"/>
      <w:sz w:val="21"/>
      <w:szCs w:val="21"/>
      <w:u w:val="none"/>
    </w:rPr>
  </w:style>
  <w:style w:type="character" w:customStyle="1" w:styleId="36">
    <w:name w:val="font31"/>
    <w:basedOn w:val="21"/>
    <w:qFormat/>
    <w:uiPriority w:val="0"/>
    <w:rPr>
      <w:rFonts w:hint="default" w:ascii="Times New Roman" w:hAnsi="Times New Roman" w:cs="Times New Roman"/>
      <w:color w:val="000000"/>
      <w:sz w:val="21"/>
      <w:szCs w:val="21"/>
      <w:u w:val="none"/>
      <w:vertAlign w:val="superscript"/>
    </w:rPr>
  </w:style>
  <w:style w:type="character" w:customStyle="1" w:styleId="37">
    <w:name w:val="font41"/>
    <w:basedOn w:val="21"/>
    <w:qFormat/>
    <w:uiPriority w:val="0"/>
    <w:rPr>
      <w:rFonts w:hint="default" w:ascii="Times New Roman" w:hAnsi="Times New Roman" w:cs="Times New Roman"/>
      <w:color w:val="000000"/>
      <w:sz w:val="21"/>
      <w:szCs w:val="21"/>
      <w:u w:val="none"/>
    </w:rPr>
  </w:style>
  <w:style w:type="character" w:customStyle="1" w:styleId="38">
    <w:name w:val="font01"/>
    <w:basedOn w:val="21"/>
    <w:qFormat/>
    <w:uiPriority w:val="0"/>
    <w:rPr>
      <w:rFonts w:hint="default" w:ascii="Times New Roman" w:hAnsi="Times New Roman" w:cs="Times New Roman"/>
      <w:color w:val="000000"/>
      <w:sz w:val="21"/>
      <w:szCs w:val="21"/>
      <w:u w:val="none"/>
      <w:vertAlign w:val="superscript"/>
    </w:rPr>
  </w:style>
  <w:style w:type="character" w:customStyle="1" w:styleId="39">
    <w:name w:val="font91"/>
    <w:basedOn w:val="21"/>
    <w:qFormat/>
    <w:uiPriority w:val="0"/>
    <w:rPr>
      <w:rFonts w:hint="eastAsia" w:ascii="宋体" w:hAnsi="宋体" w:eastAsia="宋体" w:cs="宋体"/>
      <w:color w:val="000000"/>
      <w:sz w:val="20"/>
      <w:szCs w:val="20"/>
      <w:u w:val="none"/>
    </w:rPr>
  </w:style>
  <w:style w:type="character" w:customStyle="1" w:styleId="40">
    <w:name w:val="font121"/>
    <w:basedOn w:val="21"/>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wmf"/><Relationship Id="rId25" Type="http://schemas.openxmlformats.org/officeDocument/2006/relationships/oleObject" Target="embeddings/oleObject6.bin"/><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oleObject" Target="embeddings/oleObject4.bin"/><Relationship Id="rId17" Type="http://schemas.openxmlformats.org/officeDocument/2006/relationships/image" Target="media/image10.emf"/><Relationship Id="rId16" Type="http://schemas.openxmlformats.org/officeDocument/2006/relationships/oleObject" Target="embeddings/oleObject3.bin"/><Relationship Id="rId15" Type="http://schemas.openxmlformats.org/officeDocument/2006/relationships/image" Target="media/image9.emf"/><Relationship Id="rId14" Type="http://schemas.openxmlformats.org/officeDocument/2006/relationships/oleObject" Target="embeddings/oleObject2.bin"/><Relationship Id="rId13" Type="http://schemas.openxmlformats.org/officeDocument/2006/relationships/image" Target="media/image8.emf"/><Relationship Id="rId12" Type="http://schemas.openxmlformats.org/officeDocument/2006/relationships/image" Target="media/image7.emf"/><Relationship Id="rId11" Type="http://schemas.openxmlformats.org/officeDocument/2006/relationships/oleObject" Target="embeddings/oleObject1.bin"/><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95</Pages>
  <Words>70441</Words>
  <Characters>78907</Characters>
  <Lines>0</Lines>
  <Paragraphs>0</Paragraphs>
  <TotalTime>3</TotalTime>
  <ScaleCrop>false</ScaleCrop>
  <LinksUpToDate>false</LinksUpToDate>
  <CharactersWithSpaces>79036</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2023-04-07T02:39:00Z</dcterms:created>
  <dc:creator>Administrator</dc:creator>
  <cp:lastModifiedBy>Administrator</cp:lastModifiedBy>
  <dcterms:modified xsi:type="dcterms:W3CDTF">2023-07-20T04:07:13Z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09558BDD0126469E9B9F53545205E6AE_13</vt:lpwstr>
  </property>
</Properties>
</file>