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wmf" ContentType="image/x-wmf"/>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bidi w:val="0"/>
        <w:adjustRightInd/>
        <w:snapToGrid/>
        <w:spacing w:line="240" w:lineRule="auto"/>
        <w:ind w:left="0" w:leftChars="0" w:firstLine="0" w:firstLineChars="0"/>
        <w:jc w:val="center"/>
        <w:outlineLvl w:val="9"/>
        <w:rPr>
          <w:rFonts w:hint="eastAsia" w:ascii="方正小标宋_GBK" w:hAnsi="Times New Roman" w:eastAsia="方正小标宋_GBK" w:cs="Times New Roman"/>
          <w:bCs/>
          <w:color w:val="auto"/>
          <w:sz w:val="72"/>
          <w:szCs w:val="72"/>
        </w:rPr>
      </w:pPr>
      <w:bookmarkStart w:id="0" w:name="_Toc6287"/>
      <w:bookmarkStart w:id="1" w:name="_Toc16708"/>
      <w:bookmarkStart w:id="2" w:name="_Toc3039"/>
      <w:bookmarkStart w:id="3" w:name="_Toc24600"/>
      <w:bookmarkStart w:id="4" w:name="_Toc6457"/>
      <w:bookmarkStart w:id="5" w:name="_Toc30732"/>
      <w:bookmarkStart w:id="6" w:name="_Toc9514"/>
      <w:bookmarkStart w:id="7" w:name="_Toc18145"/>
    </w:p>
    <w:p>
      <w:pPr>
        <w:bidi w:val="0"/>
        <w:adjustRightInd/>
        <w:snapToGrid/>
        <w:spacing w:line="240" w:lineRule="auto"/>
        <w:ind w:left="0" w:leftChars="0" w:firstLine="0" w:firstLineChars="0"/>
        <w:jc w:val="center"/>
        <w:outlineLvl w:val="9"/>
        <w:rPr>
          <w:rFonts w:hint="eastAsia" w:ascii="方正小标宋_GBK" w:hAnsi="Times New Roman" w:eastAsia="方正小标宋_GBK" w:cs="Times New Roman"/>
          <w:bCs/>
          <w:color w:val="auto"/>
          <w:sz w:val="72"/>
          <w:szCs w:val="72"/>
        </w:rPr>
      </w:pPr>
    </w:p>
    <w:p>
      <w:pPr>
        <w:bidi w:val="0"/>
        <w:adjustRightInd/>
        <w:snapToGrid/>
        <w:spacing w:line="240" w:lineRule="auto"/>
        <w:ind w:left="0" w:leftChars="0" w:firstLine="0" w:firstLineChars="0"/>
        <w:jc w:val="center"/>
        <w:outlineLvl w:val="9"/>
        <w:rPr>
          <w:rFonts w:hint="eastAsia" w:ascii="方正小标宋_GBK" w:hAnsi="Times New Roman" w:eastAsia="方正小标宋_GBK" w:cs="Times New Roman"/>
          <w:bCs/>
          <w:color w:val="auto"/>
          <w:sz w:val="72"/>
          <w:szCs w:val="72"/>
        </w:rPr>
      </w:pPr>
      <w:r>
        <w:rPr>
          <w:rFonts w:hint="eastAsia" w:ascii="方正小标宋_GBK" w:hAnsi="Times New Roman" w:eastAsia="方正小标宋_GBK" w:cs="Times New Roman"/>
          <w:bCs/>
          <w:color w:val="auto"/>
          <w:sz w:val="72"/>
          <w:szCs w:val="72"/>
        </w:rPr>
        <w:t>建设项目环境影响报告表</w:t>
      </w:r>
      <w:bookmarkEnd w:id="0"/>
      <w:bookmarkEnd w:id="1"/>
      <w:bookmarkEnd w:id="2"/>
      <w:bookmarkEnd w:id="3"/>
      <w:bookmarkEnd w:id="4"/>
      <w:bookmarkEnd w:id="5"/>
      <w:bookmarkEnd w:id="6"/>
      <w:bookmarkEnd w:id="7"/>
    </w:p>
    <w:p>
      <w:pPr>
        <w:adjustRightInd w:val="0"/>
        <w:snapToGrid w:val="0"/>
        <w:spacing w:before="249" w:beforeLines="80"/>
        <w:ind w:left="0" w:leftChars="0" w:firstLine="0" w:firstLineChars="0"/>
        <w:jc w:val="center"/>
        <w:rPr>
          <w:rFonts w:hint="default" w:ascii="Times New Roman" w:hAnsi="Times New Roman" w:eastAsia="楷体_GB2312"/>
          <w:bCs/>
          <w:color w:val="auto"/>
          <w:kern w:val="2"/>
          <w:sz w:val="48"/>
          <w:szCs w:val="48"/>
        </w:rPr>
      </w:pPr>
      <w:r>
        <w:rPr>
          <w:rFonts w:hint="default" w:ascii="Times New Roman" w:hAnsi="Times New Roman" w:eastAsia="楷体_GB2312"/>
          <w:bCs/>
          <w:color w:val="auto"/>
          <w:kern w:val="2"/>
          <w:sz w:val="48"/>
          <w:szCs w:val="48"/>
        </w:rPr>
        <w:t>（生态影响类）</w:t>
      </w:r>
    </w:p>
    <w:p>
      <w:pPr>
        <w:bidi w:val="0"/>
        <w:rPr>
          <w:rFonts w:hint="default"/>
        </w:rPr>
      </w:pPr>
    </w:p>
    <w:p>
      <w:pPr>
        <w:bidi w:val="0"/>
        <w:rPr>
          <w:rFonts w:hint="default"/>
        </w:rPr>
      </w:pPr>
    </w:p>
    <w:p>
      <w:pPr>
        <w:rPr>
          <w:rFonts w:hint="default"/>
        </w:rPr>
      </w:pPr>
    </w:p>
    <w:p>
      <w:pPr>
        <w:rPr>
          <w:rFonts w:hint="default"/>
        </w:rPr>
      </w:pPr>
    </w:p>
    <w:p>
      <w:pPr>
        <w:rPr>
          <w:rFonts w:hint="default"/>
        </w:rPr>
      </w:pPr>
    </w:p>
    <w:p>
      <w:pPr>
        <w:rPr>
          <w:rFonts w:hint="default"/>
        </w:rPr>
      </w:pPr>
    </w:p>
    <w:p>
      <w:pPr>
        <w:bidi w:val="0"/>
        <w:ind w:left="0" w:leftChars="0" w:firstLine="0" w:firstLineChars="0"/>
        <w:rPr>
          <w:rFonts w:hint="default"/>
          <w:color w:val="auto"/>
          <w:sz w:val="32"/>
          <w:szCs w:val="32"/>
          <w:lang w:val="en-US"/>
        </w:rPr>
      </w:pPr>
      <w:r>
        <w:rPr>
          <w:rFonts w:hint="default"/>
          <w:color w:val="auto"/>
          <w:sz w:val="32"/>
          <w:szCs w:val="32"/>
        </w:rPr>
        <w:t>项目名称：</w:t>
      </w:r>
      <w:r>
        <w:rPr>
          <w:rFonts w:hint="eastAsia"/>
          <w:color w:val="auto"/>
          <w:sz w:val="32"/>
          <w:szCs w:val="32"/>
          <w:u w:val="single"/>
          <w:lang w:val="en-US" w:eastAsia="zh-CN"/>
        </w:rPr>
        <w:t xml:space="preserve">   宣汉县胡家镇胡家河山洪沟防洪治理工程   </w:t>
      </w:r>
    </w:p>
    <w:p>
      <w:pPr>
        <w:bidi w:val="0"/>
        <w:ind w:left="0" w:leftChars="0" w:firstLine="0" w:firstLineChars="0"/>
        <w:rPr>
          <w:rFonts w:hint="default"/>
          <w:color w:val="auto"/>
          <w:sz w:val="32"/>
          <w:szCs w:val="32"/>
        </w:rPr>
      </w:pPr>
      <w:r>
        <w:rPr>
          <w:rFonts w:hint="default"/>
          <w:color w:val="auto"/>
          <w:sz w:val="32"/>
          <w:szCs w:val="32"/>
        </w:rPr>
        <w:t>建设单位(盖章</w:t>
      </w:r>
      <w:r>
        <w:rPr>
          <w:rFonts w:hint="eastAsia"/>
          <w:color w:val="auto"/>
          <w:sz w:val="32"/>
          <w:szCs w:val="32"/>
          <w:lang w:eastAsia="zh-CN"/>
        </w:rPr>
        <w:t>)</w:t>
      </w:r>
      <w:r>
        <w:rPr>
          <w:rFonts w:hint="default"/>
          <w:color w:val="auto"/>
          <w:sz w:val="32"/>
          <w:szCs w:val="32"/>
        </w:rPr>
        <w:t>：</w:t>
      </w:r>
      <w:r>
        <w:rPr>
          <w:rFonts w:hint="eastAsia"/>
          <w:color w:val="auto"/>
          <w:sz w:val="32"/>
          <w:szCs w:val="32"/>
          <w:u w:val="single"/>
          <w:lang w:val="en-US" w:eastAsia="zh-CN"/>
        </w:rPr>
        <w:t xml:space="preserve">             </w:t>
      </w:r>
      <w:r>
        <w:rPr>
          <w:rFonts w:hint="eastAsia"/>
          <w:color w:val="auto"/>
          <w:sz w:val="32"/>
          <w:szCs w:val="32"/>
          <w:highlight w:val="none"/>
          <w:u w:val="single"/>
          <w:lang w:val="en-US" w:eastAsia="zh-CN"/>
        </w:rPr>
        <w:t>宣汉</w:t>
      </w:r>
      <w:r>
        <w:rPr>
          <w:rFonts w:hint="eastAsia"/>
          <w:color w:val="auto"/>
          <w:sz w:val="32"/>
          <w:szCs w:val="32"/>
          <w:highlight w:val="none"/>
          <w:u w:val="single"/>
          <w:lang w:eastAsia="zh-CN"/>
        </w:rPr>
        <w:t>县</w:t>
      </w:r>
      <w:r>
        <w:rPr>
          <w:rFonts w:hint="eastAsia"/>
          <w:color w:val="auto"/>
          <w:sz w:val="32"/>
          <w:szCs w:val="32"/>
          <w:highlight w:val="none"/>
          <w:u w:val="single"/>
          <w:lang w:val="en-US" w:eastAsia="zh-CN"/>
        </w:rPr>
        <w:t>水务局</w:t>
      </w:r>
      <w:r>
        <w:rPr>
          <w:rFonts w:hint="default"/>
          <w:color w:val="auto"/>
          <w:sz w:val="32"/>
          <w:szCs w:val="32"/>
          <w:highlight w:val="none"/>
          <w:u w:val="single"/>
        </w:rPr>
        <w:t xml:space="preserve"> </w:t>
      </w:r>
      <w:r>
        <w:rPr>
          <w:rFonts w:hint="eastAsia"/>
          <w:color w:val="auto"/>
          <w:sz w:val="32"/>
          <w:szCs w:val="32"/>
          <w:highlight w:val="none"/>
          <w:u w:val="single"/>
          <w:lang w:val="en-US" w:eastAsia="zh-CN"/>
        </w:rPr>
        <w:t xml:space="preserve"> </w:t>
      </w:r>
      <w:r>
        <w:rPr>
          <w:rFonts w:hint="eastAsia"/>
          <w:color w:val="auto"/>
          <w:sz w:val="32"/>
          <w:szCs w:val="32"/>
          <w:u w:val="single"/>
          <w:lang w:val="en-US" w:eastAsia="zh-CN"/>
        </w:rPr>
        <w:t xml:space="preserve">       </w:t>
      </w:r>
      <w:r>
        <w:rPr>
          <w:rFonts w:hint="default"/>
          <w:color w:val="auto"/>
          <w:sz w:val="32"/>
          <w:szCs w:val="32"/>
          <w:u w:val="single"/>
        </w:rPr>
        <w:t xml:space="preserve"> </w:t>
      </w:r>
      <w:r>
        <w:rPr>
          <w:rFonts w:hint="eastAsia"/>
          <w:color w:val="auto"/>
          <w:sz w:val="32"/>
          <w:szCs w:val="32"/>
          <w:u w:val="single"/>
          <w:lang w:val="en-US" w:eastAsia="zh-CN"/>
        </w:rPr>
        <w:t xml:space="preserve">  </w:t>
      </w:r>
    </w:p>
    <w:p>
      <w:pPr>
        <w:bidi w:val="0"/>
        <w:ind w:left="0" w:leftChars="0" w:firstLine="0" w:firstLineChars="0"/>
        <w:rPr>
          <w:rFonts w:hint="default"/>
          <w:color w:val="auto"/>
          <w:sz w:val="32"/>
          <w:szCs w:val="32"/>
          <w:u w:val="single"/>
          <w:lang w:val="en-US"/>
        </w:rPr>
      </w:pPr>
      <w:r>
        <w:rPr>
          <w:rFonts w:hint="default"/>
          <w:color w:val="auto"/>
          <w:sz w:val="32"/>
          <w:szCs w:val="32"/>
        </w:rPr>
        <w:t>编制日期：</w:t>
      </w:r>
      <w:r>
        <w:rPr>
          <w:rFonts w:hint="default"/>
          <w:color w:val="auto"/>
          <w:sz w:val="32"/>
          <w:szCs w:val="32"/>
          <w:u w:val="single"/>
        </w:rPr>
        <w:t xml:space="preserve">     </w:t>
      </w:r>
      <w:r>
        <w:rPr>
          <w:rFonts w:hint="eastAsia"/>
          <w:color w:val="auto"/>
          <w:sz w:val="32"/>
          <w:szCs w:val="32"/>
          <w:u w:val="single"/>
          <w:lang w:val="en-US" w:eastAsia="zh-CN"/>
        </w:rPr>
        <w:t xml:space="preserve">          </w:t>
      </w:r>
      <w:r>
        <w:rPr>
          <w:rFonts w:hint="default"/>
          <w:color w:val="auto"/>
          <w:sz w:val="32"/>
          <w:szCs w:val="32"/>
          <w:u w:val="single"/>
        </w:rPr>
        <w:t xml:space="preserve"> </w:t>
      </w:r>
      <w:r>
        <w:rPr>
          <w:rFonts w:hint="eastAsia"/>
          <w:color w:val="auto"/>
          <w:sz w:val="32"/>
          <w:szCs w:val="32"/>
          <w:u w:val="single"/>
          <w:lang w:val="en-US" w:eastAsia="zh-CN"/>
        </w:rPr>
        <w:t>2024年3月</w:t>
      </w:r>
      <w:r>
        <w:rPr>
          <w:rFonts w:hint="default"/>
          <w:color w:val="auto"/>
          <w:sz w:val="32"/>
          <w:szCs w:val="32"/>
          <w:u w:val="single"/>
        </w:rPr>
        <w:t xml:space="preserve"> </w:t>
      </w:r>
      <w:r>
        <w:rPr>
          <w:rFonts w:hint="eastAsia"/>
          <w:color w:val="auto"/>
          <w:sz w:val="32"/>
          <w:szCs w:val="32"/>
          <w:u w:val="single"/>
          <w:lang w:val="en-US" w:eastAsia="zh-CN"/>
        </w:rPr>
        <w:t xml:space="preserve">              </w:t>
      </w:r>
    </w:p>
    <w:p>
      <w:pPr>
        <w:ind w:firstLine="0" w:firstLineChars="0"/>
        <w:rPr>
          <w:rFonts w:ascii="Times New Roman" w:cs="Times New Roman"/>
          <w:color w:val="auto"/>
        </w:rPr>
      </w:pPr>
    </w:p>
    <w:p>
      <w:pPr>
        <w:bidi w:val="0"/>
        <w:rPr>
          <w:rFonts w:hint="default"/>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adjustRightInd w:val="0"/>
        <w:snapToGrid w:val="0"/>
        <w:spacing w:line="288" w:lineRule="auto"/>
        <w:ind w:firstLine="0" w:firstLineChars="0"/>
        <w:jc w:val="center"/>
        <w:rPr>
          <w:rFonts w:hint="default" w:ascii="Times New Roman" w:hAnsi="Times New Roman" w:eastAsia="楷体_GB2312"/>
          <w:color w:val="auto"/>
          <w:sz w:val="36"/>
          <w:szCs w:val="36"/>
        </w:rPr>
        <w:sectPr>
          <w:headerReference r:id="rId6" w:type="first"/>
          <w:footerReference r:id="rId8" w:type="first"/>
          <w:headerReference r:id="rId5" w:type="default"/>
          <w:footerReference r:id="rId7" w:type="default"/>
          <w:pgSz w:w="11906" w:h="16838"/>
          <w:pgMar w:top="1440" w:right="1797" w:bottom="1440" w:left="1797" w:header="851" w:footer="992" w:gutter="0"/>
          <w:pgBorders>
            <w:top w:val="none" w:sz="0" w:space="0"/>
            <w:left w:val="none" w:sz="0" w:space="0"/>
            <w:bottom w:val="none" w:sz="0" w:space="0"/>
            <w:right w:val="none" w:sz="0" w:space="0"/>
          </w:pgBorders>
          <w:pgNumType w:start="0"/>
          <w:cols w:space="720" w:num="1"/>
          <w:titlePg/>
          <w:docGrid w:type="lines" w:linePitch="312" w:charSpace="0"/>
        </w:sectPr>
      </w:pPr>
      <w:r>
        <w:rPr>
          <w:rFonts w:hint="default" w:ascii="Times New Roman" w:hAnsi="Times New Roman" w:eastAsia="楷体_GB2312"/>
          <w:color w:val="auto"/>
          <w:sz w:val="36"/>
          <w:szCs w:val="36"/>
        </w:rPr>
        <w:t>中华人民共和国生态环境部制</w:t>
      </w:r>
    </w:p>
    <w:p>
      <w:pPr>
        <w:adjustRightInd w:val="0"/>
        <w:snapToGrid w:val="0"/>
        <w:spacing w:line="288" w:lineRule="auto"/>
        <w:ind w:firstLine="0" w:firstLineChars="0"/>
        <w:jc w:val="center"/>
        <w:rPr>
          <w:rFonts w:hint="eastAsia" w:ascii="Times New Roman" w:hAnsi="Times New Roman" w:eastAsia="楷体_GB2312"/>
          <w:color w:val="auto"/>
          <w:sz w:val="36"/>
          <w:szCs w:val="36"/>
          <w:lang w:eastAsia="zh-CN"/>
        </w:rPr>
        <w:sectPr>
          <w:pgSz w:w="11906" w:h="16838"/>
          <w:pgMar w:top="1440" w:right="1797" w:bottom="1440" w:left="1797" w:header="851" w:footer="992" w:gutter="0"/>
          <w:pgBorders>
            <w:top w:val="none" w:sz="0" w:space="0"/>
            <w:left w:val="none" w:sz="0" w:space="0"/>
            <w:bottom w:val="none" w:sz="0" w:space="0"/>
            <w:right w:val="none" w:sz="0" w:space="0"/>
          </w:pgBorders>
          <w:pgNumType w:start="0"/>
          <w:cols w:space="720" w:num="1"/>
          <w:titlePg/>
          <w:docGrid w:type="lines" w:linePitch="312" w:charSpace="0"/>
        </w:sectPr>
      </w:pPr>
      <w:r>
        <w:rPr>
          <w:rFonts w:hint="eastAsia" w:ascii="Times New Roman" w:hAnsi="Times New Roman" w:eastAsia="楷体_GB2312"/>
          <w:color w:val="auto"/>
          <w:sz w:val="36"/>
          <w:szCs w:val="36"/>
          <w:lang w:eastAsia="zh-CN"/>
        </w:rPr>
        <w:drawing>
          <wp:inline distT="0" distB="0" distL="114300" distR="114300">
            <wp:extent cx="5276215" cy="7420610"/>
            <wp:effectExtent l="0" t="0" r="635" b="8890"/>
            <wp:docPr id="36" name="图片 36" descr="资质-宣汉县胡家镇胡家河山洪沟防洪治理工程1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资质-宣汉县胡家镇胡家河山洪沟防洪治理工程1_页面_1"/>
                    <pic:cNvPicPr>
                      <a:picLocks noChangeAspect="1"/>
                    </pic:cNvPicPr>
                  </pic:nvPicPr>
                  <pic:blipFill>
                    <a:blip r:embed="rId12"/>
                    <a:stretch>
                      <a:fillRect/>
                    </a:stretch>
                  </pic:blipFill>
                  <pic:spPr>
                    <a:xfrm>
                      <a:off x="0" y="0"/>
                      <a:ext cx="5276215" cy="7420610"/>
                    </a:xfrm>
                    <a:prstGeom prst="rect">
                      <a:avLst/>
                    </a:prstGeom>
                  </pic:spPr>
                </pic:pic>
              </a:graphicData>
            </a:graphic>
          </wp:inline>
        </w:drawing>
      </w:r>
      <w:r>
        <w:rPr>
          <w:rFonts w:hint="eastAsia" w:ascii="Times New Roman" w:hAnsi="Times New Roman" w:eastAsia="楷体_GB2312"/>
          <w:color w:val="auto"/>
          <w:sz w:val="36"/>
          <w:szCs w:val="36"/>
          <w:lang w:eastAsia="zh-CN"/>
        </w:rPr>
        <w:drawing>
          <wp:inline distT="0" distB="0" distL="114300" distR="114300">
            <wp:extent cx="5276850" cy="7462520"/>
            <wp:effectExtent l="0" t="0" r="0" b="5080"/>
            <wp:docPr id="35" name="图片 35" descr="资质-宣汉县胡家镇胡家河山洪沟防洪治理工程1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资质-宣汉县胡家镇胡家河山洪沟防洪治理工程1_页面_2"/>
                    <pic:cNvPicPr>
                      <a:picLocks noChangeAspect="1"/>
                    </pic:cNvPicPr>
                  </pic:nvPicPr>
                  <pic:blipFill>
                    <a:blip r:embed="rId13"/>
                    <a:stretch>
                      <a:fillRect/>
                    </a:stretch>
                  </pic:blipFill>
                  <pic:spPr>
                    <a:xfrm>
                      <a:off x="0" y="0"/>
                      <a:ext cx="5276850" cy="7462520"/>
                    </a:xfrm>
                    <a:prstGeom prst="rect">
                      <a:avLst/>
                    </a:prstGeom>
                  </pic:spPr>
                </pic:pic>
              </a:graphicData>
            </a:graphic>
          </wp:inline>
        </w:drawing>
      </w:r>
      <w:r>
        <w:rPr>
          <w:rFonts w:hint="eastAsia" w:ascii="Times New Roman" w:hAnsi="Times New Roman" w:eastAsia="楷体_GB2312"/>
          <w:color w:val="auto"/>
          <w:sz w:val="36"/>
          <w:szCs w:val="36"/>
          <w:lang w:eastAsia="zh-CN"/>
        </w:rPr>
        <w:drawing>
          <wp:inline distT="0" distB="0" distL="114300" distR="114300">
            <wp:extent cx="5276850" cy="7462520"/>
            <wp:effectExtent l="0" t="0" r="0" b="5080"/>
            <wp:docPr id="11" name="图片 11" descr="资质-宣汉县胡家镇胡家河山洪沟防洪治理工程1_页面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资质-宣汉县胡家镇胡家河山洪沟防洪治理工程1_页面_3"/>
                    <pic:cNvPicPr>
                      <a:picLocks noChangeAspect="1"/>
                    </pic:cNvPicPr>
                  </pic:nvPicPr>
                  <pic:blipFill>
                    <a:blip r:embed="rId14"/>
                    <a:stretch>
                      <a:fillRect/>
                    </a:stretch>
                  </pic:blipFill>
                  <pic:spPr>
                    <a:xfrm>
                      <a:off x="0" y="0"/>
                      <a:ext cx="5276850" cy="7462520"/>
                    </a:xfrm>
                    <a:prstGeom prst="rect">
                      <a:avLst/>
                    </a:prstGeom>
                  </pic:spPr>
                </pic:pic>
              </a:graphicData>
            </a:graphic>
          </wp:inline>
        </w:drawing>
      </w:r>
      <w:r>
        <w:rPr>
          <w:rFonts w:hint="eastAsia" w:ascii="Times New Roman" w:hAnsi="Times New Roman" w:eastAsia="楷体_GB2312"/>
          <w:color w:val="auto"/>
          <w:sz w:val="36"/>
          <w:szCs w:val="36"/>
          <w:lang w:eastAsia="zh-CN"/>
        </w:rPr>
        <w:drawing>
          <wp:inline distT="0" distB="0" distL="114300" distR="114300">
            <wp:extent cx="5276850" cy="7462520"/>
            <wp:effectExtent l="0" t="0" r="0" b="5080"/>
            <wp:docPr id="7" name="图片 7" descr="资质-宣汉县胡家镇胡家河山洪沟防洪治理工程1_页面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资质-宣汉县胡家镇胡家河山洪沟防洪治理工程1_页面_4"/>
                    <pic:cNvPicPr>
                      <a:picLocks noChangeAspect="1"/>
                    </pic:cNvPicPr>
                  </pic:nvPicPr>
                  <pic:blipFill>
                    <a:blip r:embed="rId15"/>
                    <a:stretch>
                      <a:fillRect/>
                    </a:stretch>
                  </pic:blipFill>
                  <pic:spPr>
                    <a:xfrm>
                      <a:off x="0" y="0"/>
                      <a:ext cx="5276850" cy="7462520"/>
                    </a:xfrm>
                    <a:prstGeom prst="rect">
                      <a:avLst/>
                    </a:prstGeom>
                  </pic:spPr>
                </pic:pic>
              </a:graphicData>
            </a:graphic>
          </wp:inline>
        </w:drawing>
      </w:r>
    </w:p>
    <w:sdt>
      <w:sdtPr>
        <w:rPr>
          <w:rFonts w:ascii="宋体" w:hAnsi="宋体" w:eastAsia="宋体" w:cstheme="minorBidi"/>
          <w:kern w:val="2"/>
          <w:sz w:val="21"/>
          <w:szCs w:val="24"/>
          <w:lang w:val="en-US" w:eastAsia="zh-CN" w:bidi="ar-SA"/>
        </w:rPr>
        <w:id w:val="147459838"/>
        <w15:color w:val="DBDBDB"/>
        <w:docPartObj>
          <w:docPartGallery w:val="Table of Contents"/>
          <w:docPartUnique/>
        </w:docPartObj>
      </w:sdtPr>
      <w:sdtEndPr>
        <w:rPr>
          <w:rFonts w:ascii="宋体" w:hAnsi="宋体" w:eastAsia="宋体" w:cstheme="minorBidi"/>
          <w:kern w:val="2"/>
          <w:sz w:val="21"/>
          <w:szCs w:val="24"/>
          <w:lang w:val="en-US" w:eastAsia="zh-CN" w:bidi="ar-SA"/>
        </w:rPr>
      </w:sdtEndPr>
      <w:sdtContent>
        <w:p>
          <w:pPr>
            <w:spacing w:before="0" w:beforeLines="0" w:after="0" w:afterLines="0" w:line="240" w:lineRule="auto"/>
            <w:ind w:left="0" w:leftChars="0" w:right="0" w:rightChars="0" w:firstLine="0" w:firstLineChars="0"/>
            <w:jc w:val="center"/>
            <w:rPr>
              <w:b/>
              <w:bCs/>
              <w:sz w:val="28"/>
              <w:szCs w:val="28"/>
            </w:rPr>
          </w:pPr>
          <w:r>
            <w:rPr>
              <w:rFonts w:ascii="宋体" w:hAnsi="宋体" w:eastAsia="宋体"/>
              <w:b/>
              <w:bCs/>
              <w:sz w:val="28"/>
              <w:szCs w:val="28"/>
            </w:rPr>
            <w:t>目</w:t>
          </w:r>
          <w:r>
            <w:rPr>
              <w:rFonts w:hint="eastAsia" w:ascii="宋体" w:hAnsi="宋体" w:eastAsia="宋体"/>
              <w:b/>
              <w:bCs/>
              <w:sz w:val="28"/>
              <w:szCs w:val="28"/>
              <w:lang w:val="en-US" w:eastAsia="zh-CN"/>
            </w:rPr>
            <w:t xml:space="preserve">  </w:t>
          </w:r>
          <w:r>
            <w:rPr>
              <w:rFonts w:ascii="宋体" w:hAnsi="宋体" w:eastAsia="宋体"/>
              <w:b/>
              <w:bCs/>
              <w:sz w:val="28"/>
              <w:szCs w:val="28"/>
            </w:rPr>
            <w:t>录</w:t>
          </w:r>
        </w:p>
        <w:p>
          <w:pPr>
            <w:pStyle w:val="9"/>
            <w:tabs>
              <w:tab w:val="right" w:leader="dot" w:pos="8306"/>
            </w:tabs>
          </w:pPr>
          <w:r>
            <w:fldChar w:fldCharType="begin"/>
          </w:r>
          <w:r>
            <w:instrText xml:space="preserve">TOC \o "1-3" \h \u </w:instrText>
          </w:r>
          <w:r>
            <w:fldChar w:fldCharType="separate"/>
          </w:r>
          <w:r>
            <w:fldChar w:fldCharType="begin"/>
          </w:r>
          <w:r>
            <w:instrText xml:space="preserve"> HYPERLINK \l _Toc2011 </w:instrText>
          </w:r>
          <w:r>
            <w:fldChar w:fldCharType="separate"/>
          </w:r>
          <w:r>
            <w:rPr>
              <w:rFonts w:hint="eastAsia"/>
              <w:lang w:val="en-US" w:eastAsia="zh-CN"/>
            </w:rPr>
            <w:t>一、</w:t>
          </w:r>
          <w:r>
            <w:rPr>
              <w:rFonts w:hint="default"/>
            </w:rPr>
            <w:t>建设项目基本情况</w:t>
          </w:r>
          <w:r>
            <w:tab/>
          </w:r>
          <w:r>
            <w:fldChar w:fldCharType="begin"/>
          </w:r>
          <w:r>
            <w:instrText xml:space="preserve"> PAGEREF _Toc2011 \h </w:instrText>
          </w:r>
          <w:r>
            <w:fldChar w:fldCharType="separate"/>
          </w:r>
          <w:r>
            <w:t>1</w:t>
          </w:r>
          <w:r>
            <w:fldChar w:fldCharType="end"/>
          </w:r>
          <w:r>
            <w:fldChar w:fldCharType="end"/>
          </w:r>
        </w:p>
        <w:p>
          <w:pPr>
            <w:pStyle w:val="9"/>
            <w:tabs>
              <w:tab w:val="right" w:leader="dot" w:pos="8306"/>
            </w:tabs>
          </w:pPr>
          <w:r>
            <w:fldChar w:fldCharType="begin"/>
          </w:r>
          <w:r>
            <w:instrText xml:space="preserve"> HYPERLINK \l _Toc5683 </w:instrText>
          </w:r>
          <w:r>
            <w:fldChar w:fldCharType="separate"/>
          </w:r>
          <w:r>
            <w:rPr>
              <w:rFonts w:hint="eastAsia"/>
              <w:lang w:val="en-US" w:eastAsia="zh-CN"/>
            </w:rPr>
            <w:t>二、</w:t>
          </w:r>
          <w:r>
            <w:t>建设内容</w:t>
          </w:r>
          <w:r>
            <w:tab/>
          </w:r>
          <w:r>
            <w:fldChar w:fldCharType="begin"/>
          </w:r>
          <w:r>
            <w:instrText xml:space="preserve"> PAGEREF _Toc5683 \h </w:instrText>
          </w:r>
          <w:r>
            <w:fldChar w:fldCharType="separate"/>
          </w:r>
          <w:r>
            <w:t>29</w:t>
          </w:r>
          <w:r>
            <w:fldChar w:fldCharType="end"/>
          </w:r>
          <w:r>
            <w:fldChar w:fldCharType="end"/>
          </w:r>
        </w:p>
        <w:p>
          <w:pPr>
            <w:pStyle w:val="9"/>
            <w:tabs>
              <w:tab w:val="right" w:leader="dot" w:pos="8306"/>
            </w:tabs>
          </w:pPr>
          <w:r>
            <w:fldChar w:fldCharType="begin"/>
          </w:r>
          <w:r>
            <w:instrText xml:space="preserve"> HYPERLINK \l _Toc28653 </w:instrText>
          </w:r>
          <w:r>
            <w:fldChar w:fldCharType="separate"/>
          </w:r>
          <w:r>
            <w:t>三、生态环境现状、保护目标及评价标准</w:t>
          </w:r>
          <w:r>
            <w:tab/>
          </w:r>
          <w:r>
            <w:fldChar w:fldCharType="begin"/>
          </w:r>
          <w:r>
            <w:instrText xml:space="preserve"> PAGEREF _Toc28653 \h </w:instrText>
          </w:r>
          <w:r>
            <w:fldChar w:fldCharType="separate"/>
          </w:r>
          <w:r>
            <w:t>42</w:t>
          </w:r>
          <w:r>
            <w:fldChar w:fldCharType="end"/>
          </w:r>
          <w:r>
            <w:fldChar w:fldCharType="end"/>
          </w:r>
        </w:p>
        <w:p>
          <w:pPr>
            <w:pStyle w:val="9"/>
            <w:tabs>
              <w:tab w:val="right" w:leader="dot" w:pos="8306"/>
            </w:tabs>
          </w:pPr>
          <w:r>
            <w:fldChar w:fldCharType="begin"/>
          </w:r>
          <w:r>
            <w:instrText xml:space="preserve"> HYPERLINK \l _Toc2926 </w:instrText>
          </w:r>
          <w:r>
            <w:fldChar w:fldCharType="separate"/>
          </w:r>
          <w:r>
            <w:rPr>
              <w:rFonts w:hint="eastAsia"/>
              <w:lang w:val="en-US" w:eastAsia="zh-CN"/>
            </w:rPr>
            <w:t>四、</w:t>
          </w:r>
          <w:r>
            <w:t>生态环境影响分析</w:t>
          </w:r>
          <w:r>
            <w:tab/>
          </w:r>
          <w:r>
            <w:fldChar w:fldCharType="begin"/>
          </w:r>
          <w:r>
            <w:instrText xml:space="preserve"> PAGEREF _Toc2926 \h </w:instrText>
          </w:r>
          <w:r>
            <w:fldChar w:fldCharType="separate"/>
          </w:r>
          <w:r>
            <w:t>56</w:t>
          </w:r>
          <w:r>
            <w:fldChar w:fldCharType="end"/>
          </w:r>
          <w:r>
            <w:fldChar w:fldCharType="end"/>
          </w:r>
        </w:p>
        <w:p>
          <w:pPr>
            <w:pStyle w:val="9"/>
            <w:tabs>
              <w:tab w:val="right" w:leader="dot" w:pos="8306"/>
            </w:tabs>
          </w:pPr>
          <w:r>
            <w:fldChar w:fldCharType="begin"/>
          </w:r>
          <w:r>
            <w:instrText xml:space="preserve"> HYPERLINK \l _Toc23059 </w:instrText>
          </w:r>
          <w:r>
            <w:fldChar w:fldCharType="separate"/>
          </w:r>
          <w:r>
            <w:rPr>
              <w:rFonts w:hint="default" w:ascii="Times New Roman" w:hAnsi="Times New Roman" w:cs="Times New Roman"/>
              <w:szCs w:val="32"/>
            </w:rPr>
            <w:t>五、主要生态环境保护措施</w:t>
          </w:r>
          <w:r>
            <w:tab/>
          </w:r>
          <w:r>
            <w:fldChar w:fldCharType="begin"/>
          </w:r>
          <w:r>
            <w:instrText xml:space="preserve"> PAGEREF _Toc23059 \h </w:instrText>
          </w:r>
          <w:r>
            <w:fldChar w:fldCharType="separate"/>
          </w:r>
          <w:r>
            <w:t>73</w:t>
          </w:r>
          <w:r>
            <w:fldChar w:fldCharType="end"/>
          </w:r>
          <w:r>
            <w:fldChar w:fldCharType="end"/>
          </w:r>
        </w:p>
        <w:p>
          <w:pPr>
            <w:pStyle w:val="9"/>
            <w:tabs>
              <w:tab w:val="right" w:leader="dot" w:pos="8306"/>
            </w:tabs>
          </w:pPr>
          <w:r>
            <w:fldChar w:fldCharType="begin"/>
          </w:r>
          <w:r>
            <w:instrText xml:space="preserve"> HYPERLINK \l _Toc31000 </w:instrText>
          </w:r>
          <w:r>
            <w:fldChar w:fldCharType="separate"/>
          </w:r>
          <w:r>
            <w:rPr>
              <w:rFonts w:hint="eastAsia"/>
            </w:rPr>
            <w:t>六、 生态环境保护措施监督检查清单</w:t>
          </w:r>
          <w:r>
            <w:tab/>
          </w:r>
          <w:r>
            <w:fldChar w:fldCharType="begin"/>
          </w:r>
          <w:r>
            <w:instrText xml:space="preserve"> PAGEREF _Toc31000 \h </w:instrText>
          </w:r>
          <w:r>
            <w:fldChar w:fldCharType="separate"/>
          </w:r>
          <w:r>
            <w:t>91</w:t>
          </w:r>
          <w:r>
            <w:fldChar w:fldCharType="end"/>
          </w:r>
          <w:r>
            <w:fldChar w:fldCharType="end"/>
          </w:r>
        </w:p>
        <w:p>
          <w:pPr>
            <w:pStyle w:val="9"/>
            <w:tabs>
              <w:tab w:val="right" w:leader="dot" w:pos="8306"/>
            </w:tabs>
          </w:pPr>
          <w:r>
            <w:fldChar w:fldCharType="begin"/>
          </w:r>
          <w:r>
            <w:instrText xml:space="preserve"> HYPERLINK \l _Toc28633 </w:instrText>
          </w:r>
          <w:r>
            <w:fldChar w:fldCharType="separate"/>
          </w:r>
          <w:r>
            <w:rPr>
              <w:rFonts w:hint="eastAsia"/>
              <w:lang w:val="en-US" w:eastAsia="zh-CN"/>
            </w:rPr>
            <w:t>七、</w:t>
          </w:r>
          <w:r>
            <w:rPr>
              <w:rFonts w:hint="eastAsia"/>
            </w:rPr>
            <w:t>结论</w:t>
          </w:r>
          <w:r>
            <w:tab/>
          </w:r>
          <w:r>
            <w:fldChar w:fldCharType="begin"/>
          </w:r>
          <w:r>
            <w:instrText xml:space="preserve"> PAGEREF _Toc28633 \h </w:instrText>
          </w:r>
          <w:r>
            <w:fldChar w:fldCharType="separate"/>
          </w:r>
          <w:r>
            <w:t>93</w:t>
          </w:r>
          <w:r>
            <w:fldChar w:fldCharType="end"/>
          </w:r>
          <w:r>
            <w:fldChar w:fldCharType="end"/>
          </w:r>
        </w:p>
        <w:p>
          <w:r>
            <w:fldChar w:fldCharType="end"/>
          </w:r>
        </w:p>
      </w:sdtContent>
    </w:sdt>
    <w:p>
      <w:pPr>
        <w:rPr>
          <w:rFonts w:ascii="宋体" w:hAnsi="宋体" w:eastAsia="宋体"/>
          <w:b/>
          <w:bCs/>
          <w:sz w:val="28"/>
          <w:szCs w:val="28"/>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pPr>
        <w:pStyle w:val="2"/>
        <w:bidi w:val="0"/>
        <w:rPr>
          <w:rFonts w:hint="default"/>
        </w:rPr>
      </w:pPr>
      <w:bookmarkStart w:id="8" w:name="_Toc16981"/>
      <w:bookmarkStart w:id="9" w:name="_Toc31300"/>
      <w:bookmarkStart w:id="10" w:name="_Toc5261"/>
      <w:bookmarkStart w:id="11" w:name="_Toc20545"/>
      <w:bookmarkStart w:id="12" w:name="_Toc29238"/>
      <w:bookmarkStart w:id="13" w:name="_Toc21374"/>
      <w:bookmarkStart w:id="14" w:name="_Toc10810"/>
      <w:bookmarkStart w:id="15" w:name="_Toc26051"/>
      <w:bookmarkStart w:id="16" w:name="_Toc31291"/>
      <w:bookmarkStart w:id="17" w:name="_Toc8526"/>
      <w:bookmarkStart w:id="18" w:name="_Toc20074"/>
      <w:bookmarkStart w:id="19" w:name="_Toc12075"/>
      <w:bookmarkStart w:id="20" w:name="_Toc2863"/>
      <w:bookmarkStart w:id="21" w:name="_Toc2011"/>
      <w:bookmarkStart w:id="22" w:name="_Toc23722"/>
      <w:bookmarkStart w:id="23" w:name="_Toc22928"/>
      <w:bookmarkStart w:id="24" w:name="_Toc31829"/>
      <w:bookmarkStart w:id="25" w:name="_Toc24922"/>
      <w:bookmarkStart w:id="26" w:name="_Toc19889"/>
      <w:r>
        <w:rPr>
          <w:rFonts w:hint="eastAsia"/>
          <w:lang w:val="en-US" w:eastAsia="zh-CN"/>
        </w:rPr>
        <w:t>一、</w:t>
      </w:r>
      <w:r>
        <w:rPr>
          <w:rFonts w:hint="default"/>
        </w:rPr>
        <w:t>建设项目基本情况</w:t>
      </w:r>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p>
    <w:tbl>
      <w:tblPr>
        <w:tblStyle w:val="11"/>
        <w:tblW w:w="9202"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450"/>
        <w:gridCol w:w="657"/>
        <w:gridCol w:w="2594"/>
        <w:gridCol w:w="2198"/>
        <w:gridCol w:w="330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680" w:hRule="atLeast"/>
          <w:jc w:val="center"/>
        </w:trPr>
        <w:tc>
          <w:tcPr>
            <w:tcW w:w="1107" w:type="dxa"/>
            <w:gridSpan w:val="2"/>
            <w:tcBorders>
              <w:tl2br w:val="nil"/>
              <w:tr2bl w:val="nil"/>
            </w:tcBorders>
            <w:noWrap w:val="0"/>
            <w:tcMar>
              <w:top w:w="16" w:type="dxa"/>
              <w:left w:w="16" w:type="dxa"/>
              <w:bottom w:w="0" w:type="dxa"/>
              <w:right w:w="16" w:type="dxa"/>
            </w:tcMar>
            <w:vAlign w:val="center"/>
          </w:tcPr>
          <w:p>
            <w:pPr>
              <w:keepNext w:val="0"/>
              <w:keepLines w:val="0"/>
              <w:suppressLineNumbers w:val="0"/>
              <w:snapToGrid w:val="0"/>
              <w:spacing w:before="0" w:beforeAutospacing="0" w:after="0" w:afterAutospacing="0" w:line="240" w:lineRule="auto"/>
              <w:ind w:left="0" w:leftChars="0" w:right="0" w:firstLine="0" w:firstLineChars="0"/>
              <w:jc w:val="center"/>
              <w:rPr>
                <w:rFonts w:hint="default" w:ascii="Times New Roman" w:hAnsi="Times New Roman" w:cs="Times New Roman"/>
                <w:b/>
                <w:color w:val="auto"/>
                <w:highlight w:val="none"/>
              </w:rPr>
            </w:pPr>
            <w:r>
              <w:rPr>
                <w:rFonts w:hint="default" w:ascii="Times New Roman" w:hAnsi="Times New Roman" w:cs="Times New Roman"/>
                <w:b/>
                <w:color w:val="auto"/>
                <w:highlight w:val="none"/>
              </w:rPr>
              <w:t>项目名称</w:t>
            </w:r>
          </w:p>
        </w:tc>
        <w:tc>
          <w:tcPr>
            <w:tcW w:w="8095" w:type="dxa"/>
            <w:gridSpan w:val="3"/>
            <w:tcBorders>
              <w:tl2br w:val="nil"/>
              <w:tr2bl w:val="nil"/>
            </w:tcBorders>
            <w:noWrap w:val="0"/>
            <w:tcMar>
              <w:top w:w="16" w:type="dxa"/>
              <w:left w:w="16" w:type="dxa"/>
              <w:bottom w:w="0" w:type="dxa"/>
              <w:right w:w="16" w:type="dxa"/>
            </w:tcMar>
            <w:vAlign w:val="center"/>
          </w:tcPr>
          <w:p>
            <w:pPr>
              <w:keepNext w:val="0"/>
              <w:keepLines w:val="0"/>
              <w:suppressLineNumbers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lang w:val="en-US" w:eastAsia="zh-CN"/>
              </w:rPr>
              <w:t>宣汉县胡家镇胡家河山洪沟防洪</w:t>
            </w:r>
            <w:r>
              <w:rPr>
                <w:rFonts w:hint="default" w:ascii="Times New Roman" w:hAnsi="Times New Roman" w:cs="Times New Roman"/>
                <w:color w:val="auto"/>
                <w:highlight w:val="none"/>
                <w:lang w:eastAsia="zh-CN"/>
              </w:rPr>
              <w:t>治理工程</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680" w:hRule="atLeast"/>
          <w:jc w:val="center"/>
        </w:trPr>
        <w:tc>
          <w:tcPr>
            <w:tcW w:w="1107" w:type="dxa"/>
            <w:gridSpan w:val="2"/>
            <w:tcBorders>
              <w:tl2br w:val="nil"/>
              <w:tr2bl w:val="nil"/>
            </w:tcBorders>
            <w:noWrap w:val="0"/>
            <w:tcMar>
              <w:top w:w="16" w:type="dxa"/>
              <w:left w:w="16" w:type="dxa"/>
              <w:bottom w:w="0" w:type="dxa"/>
              <w:right w:w="16" w:type="dxa"/>
            </w:tcMar>
            <w:vAlign w:val="center"/>
          </w:tcPr>
          <w:p>
            <w:pPr>
              <w:keepNext w:val="0"/>
              <w:keepLines w:val="0"/>
              <w:suppressLineNumbers w:val="0"/>
              <w:snapToGrid w:val="0"/>
              <w:spacing w:before="0" w:beforeAutospacing="0" w:after="0" w:afterAutospacing="0" w:line="240" w:lineRule="auto"/>
              <w:ind w:left="0" w:leftChars="0" w:right="0" w:firstLine="0" w:firstLineChars="0"/>
              <w:jc w:val="center"/>
              <w:rPr>
                <w:rFonts w:hint="default" w:ascii="Times New Roman" w:hAnsi="Times New Roman" w:cs="Times New Roman"/>
                <w:b/>
                <w:color w:val="auto"/>
                <w:highlight w:val="none"/>
              </w:rPr>
            </w:pPr>
            <w:r>
              <w:rPr>
                <w:rFonts w:hint="default" w:ascii="Times New Roman" w:hAnsi="Times New Roman" w:cs="Times New Roman"/>
                <w:b/>
                <w:color w:val="auto"/>
                <w:highlight w:val="none"/>
              </w:rPr>
              <w:t>项目代码</w:t>
            </w:r>
          </w:p>
        </w:tc>
        <w:tc>
          <w:tcPr>
            <w:tcW w:w="8095" w:type="dxa"/>
            <w:gridSpan w:val="3"/>
            <w:tcBorders>
              <w:tl2br w:val="nil"/>
              <w:tr2bl w:val="nil"/>
            </w:tcBorders>
            <w:noWrap w:val="0"/>
            <w:tcMar>
              <w:top w:w="16" w:type="dxa"/>
              <w:left w:w="16" w:type="dxa"/>
              <w:bottom w:w="0" w:type="dxa"/>
              <w:right w:w="16" w:type="dxa"/>
            </w:tcMar>
            <w:vAlign w:val="center"/>
          </w:tcPr>
          <w:p>
            <w:pPr>
              <w:keepNext w:val="0"/>
              <w:keepLines w:val="0"/>
              <w:suppressLineNumbers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680" w:hRule="atLeast"/>
          <w:jc w:val="center"/>
        </w:trPr>
        <w:tc>
          <w:tcPr>
            <w:tcW w:w="1107" w:type="dxa"/>
            <w:gridSpan w:val="2"/>
            <w:tcBorders>
              <w:tl2br w:val="nil"/>
              <w:tr2bl w:val="nil"/>
            </w:tcBorders>
            <w:noWrap w:val="0"/>
            <w:tcMar>
              <w:top w:w="16" w:type="dxa"/>
              <w:left w:w="16" w:type="dxa"/>
              <w:bottom w:w="0" w:type="dxa"/>
              <w:right w:w="16" w:type="dxa"/>
            </w:tcMar>
            <w:vAlign w:val="center"/>
          </w:tcPr>
          <w:p>
            <w:pPr>
              <w:keepNext w:val="0"/>
              <w:keepLines w:val="0"/>
              <w:suppressLineNumbers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
                <w:color w:val="auto"/>
                <w:highlight w:val="none"/>
              </w:rPr>
            </w:pPr>
            <w:r>
              <w:rPr>
                <w:rFonts w:hint="default" w:ascii="Times New Roman" w:hAnsi="Times New Roman" w:eastAsia="宋体" w:cs="Times New Roman"/>
                <w:b/>
                <w:color w:val="auto"/>
                <w:highlight w:val="none"/>
              </w:rPr>
              <w:t>建设单位联系人</w:t>
            </w:r>
          </w:p>
        </w:tc>
        <w:tc>
          <w:tcPr>
            <w:tcW w:w="2594" w:type="dxa"/>
            <w:tcBorders>
              <w:tl2br w:val="nil"/>
              <w:tr2bl w:val="nil"/>
            </w:tcBorders>
            <w:noWrap w:val="0"/>
            <w:tcMar>
              <w:top w:w="16" w:type="dxa"/>
              <w:left w:w="16" w:type="dxa"/>
              <w:bottom w:w="0" w:type="dxa"/>
              <w:right w:w="16" w:type="dxa"/>
            </w:tcMar>
            <w:vAlign w:val="center"/>
          </w:tcPr>
          <w:p>
            <w:pPr>
              <w:keepNext w:val="0"/>
              <w:keepLines w:val="0"/>
              <w:suppressLineNumbers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冯春波</w:t>
            </w:r>
          </w:p>
        </w:tc>
        <w:tc>
          <w:tcPr>
            <w:tcW w:w="2198" w:type="dxa"/>
            <w:tcBorders>
              <w:tl2br w:val="nil"/>
              <w:tr2bl w:val="nil"/>
            </w:tcBorders>
            <w:noWrap w:val="0"/>
            <w:tcMar>
              <w:top w:w="16" w:type="dxa"/>
              <w:left w:w="16" w:type="dxa"/>
              <w:bottom w:w="0" w:type="dxa"/>
              <w:right w:w="16" w:type="dxa"/>
            </w:tcMar>
            <w:vAlign w:val="center"/>
          </w:tcPr>
          <w:p>
            <w:pPr>
              <w:keepNext w:val="0"/>
              <w:keepLines w:val="0"/>
              <w:suppressLineNumbers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b/>
                <w:bCs/>
                <w:color w:val="auto"/>
                <w:highlight w:val="none"/>
                <w:lang w:eastAsia="zh-CN"/>
              </w:rPr>
              <w:t>联系方式</w:t>
            </w:r>
          </w:p>
        </w:tc>
        <w:tc>
          <w:tcPr>
            <w:tcW w:w="3303" w:type="dxa"/>
            <w:tcBorders>
              <w:tl2br w:val="nil"/>
              <w:tr2bl w:val="nil"/>
            </w:tcBorders>
            <w:noWrap w:val="0"/>
            <w:tcMar>
              <w:top w:w="16" w:type="dxa"/>
              <w:left w:w="16" w:type="dxa"/>
              <w:bottom w:w="0" w:type="dxa"/>
              <w:right w:w="16" w:type="dxa"/>
            </w:tcMar>
            <w:vAlign w:val="center"/>
          </w:tcPr>
          <w:p>
            <w:pPr>
              <w:keepNext w:val="0"/>
              <w:keepLines w:val="0"/>
              <w:suppressLineNumbers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13981465545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1107" w:type="dxa"/>
            <w:gridSpan w:val="2"/>
            <w:tcBorders>
              <w:tl2br w:val="nil"/>
              <w:tr2bl w:val="nil"/>
            </w:tcBorders>
            <w:noWrap w:val="0"/>
            <w:tcMar>
              <w:top w:w="16" w:type="dxa"/>
              <w:left w:w="16" w:type="dxa"/>
              <w:bottom w:w="0" w:type="dxa"/>
              <w:right w:w="16" w:type="dxa"/>
            </w:tcMar>
            <w:vAlign w:val="center"/>
          </w:tcPr>
          <w:p>
            <w:pPr>
              <w:keepNext w:val="0"/>
              <w:keepLines w:val="0"/>
              <w:suppressLineNumbers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
                <w:color w:val="auto"/>
                <w:highlight w:val="none"/>
              </w:rPr>
            </w:pPr>
            <w:r>
              <w:rPr>
                <w:rFonts w:hint="default" w:ascii="Times New Roman" w:hAnsi="Times New Roman" w:eastAsia="宋体" w:cs="Times New Roman"/>
                <w:b/>
                <w:color w:val="auto"/>
                <w:highlight w:val="none"/>
              </w:rPr>
              <w:t>建设地点</w:t>
            </w:r>
          </w:p>
        </w:tc>
        <w:tc>
          <w:tcPr>
            <w:tcW w:w="8095" w:type="dxa"/>
            <w:gridSpan w:val="3"/>
            <w:tcBorders>
              <w:tl2br w:val="nil"/>
              <w:tr2bl w:val="nil"/>
            </w:tcBorders>
            <w:noWrap w:val="0"/>
            <w:tcMar>
              <w:top w:w="16" w:type="dxa"/>
              <w:left w:w="16" w:type="dxa"/>
              <w:bottom w:w="0" w:type="dxa"/>
              <w:right w:w="16" w:type="dxa"/>
            </w:tcMar>
            <w:vAlign w:val="center"/>
          </w:tcPr>
          <w:p>
            <w:pPr>
              <w:keepNext w:val="0"/>
              <w:keepLines w:val="0"/>
              <w:suppressLineNumbers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位于达州市宣汉县胡家镇，按河沟分布在胡家河和油坊沟两条河上</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850" w:hRule="atLeast"/>
          <w:jc w:val="center"/>
        </w:trPr>
        <w:tc>
          <w:tcPr>
            <w:tcW w:w="1107" w:type="dxa"/>
            <w:gridSpan w:val="2"/>
            <w:tcBorders>
              <w:tl2br w:val="nil"/>
              <w:tr2bl w:val="nil"/>
            </w:tcBorders>
            <w:noWrap w:val="0"/>
            <w:tcMar>
              <w:top w:w="16" w:type="dxa"/>
              <w:left w:w="16" w:type="dxa"/>
              <w:bottom w:w="0" w:type="dxa"/>
              <w:right w:w="16" w:type="dxa"/>
            </w:tcMar>
            <w:vAlign w:val="center"/>
          </w:tcPr>
          <w:p>
            <w:pPr>
              <w:keepNext w:val="0"/>
              <w:keepLines w:val="0"/>
              <w:suppressLineNumbers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
                <w:color w:val="auto"/>
                <w:highlight w:val="none"/>
              </w:rPr>
            </w:pPr>
            <w:r>
              <w:rPr>
                <w:rFonts w:hint="default" w:ascii="Times New Roman" w:hAnsi="Times New Roman" w:eastAsia="宋体" w:cs="Times New Roman"/>
                <w:b/>
                <w:color w:val="auto"/>
                <w:highlight w:val="none"/>
              </w:rPr>
              <w:t>地理坐标</w:t>
            </w:r>
          </w:p>
        </w:tc>
        <w:tc>
          <w:tcPr>
            <w:tcW w:w="8095" w:type="dxa"/>
            <w:gridSpan w:val="3"/>
            <w:tcBorders>
              <w:tl2br w:val="nil"/>
              <w:tr2bl w:val="nil"/>
            </w:tcBorders>
            <w:noWrap w:val="0"/>
            <w:tcMar>
              <w:top w:w="16" w:type="dxa"/>
              <w:left w:w="16" w:type="dxa"/>
              <w:bottom w:w="0" w:type="dxa"/>
              <w:right w:w="16" w:type="dxa"/>
            </w:tcMar>
            <w:vAlign w:val="center"/>
          </w:tcPr>
          <w:p>
            <w:pPr>
              <w:keepNext w:val="0"/>
              <w:keepLines w:val="0"/>
              <w:suppressLineNumbers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①胡家河—起点：花房子公路桥（</w:t>
            </w:r>
            <w:r>
              <w:rPr>
                <w:rFonts w:hint="default" w:ascii="Times New Roman" w:hAnsi="Times New Roman" w:cs="Times New Roman"/>
                <w:color w:val="auto"/>
                <w:highlight w:val="none"/>
                <w:lang w:val="en-US" w:eastAsia="zh-CN"/>
              </w:rPr>
              <w:t>E107°38′49.90″，N31°34′42.47″</w:t>
            </w:r>
            <w:r>
              <w:rPr>
                <w:rFonts w:hint="default" w:ascii="Times New Roman" w:hAnsi="Times New Roman" w:eastAsia="宋体" w:cs="Times New Roman"/>
                <w:color w:val="auto"/>
                <w:highlight w:val="none"/>
                <w:lang w:val="en-US" w:eastAsia="zh-CN"/>
              </w:rPr>
              <w:t>）</w:t>
            </w:r>
          </w:p>
          <w:p>
            <w:pPr>
              <w:keepNext w:val="0"/>
              <w:keepLines w:val="0"/>
              <w:suppressLineNumbers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终点：</w:t>
            </w:r>
            <w:r>
              <w:rPr>
                <w:rFonts w:hint="default" w:ascii="Times New Roman" w:hAnsi="Times New Roman" w:cs="Times New Roman"/>
                <w:color w:val="auto"/>
                <w:highlight w:val="none"/>
                <w:lang w:val="en-US" w:eastAsia="zh-CN"/>
              </w:rPr>
              <w:t>后营坝（E</w:t>
            </w:r>
            <w:r>
              <w:rPr>
                <w:rFonts w:hint="default" w:ascii="Times New Roman" w:hAnsi="Times New Roman" w:cs="Times New Roman"/>
                <w:color w:val="auto"/>
                <w:highlight w:val="none"/>
              </w:rPr>
              <w:t>107°39′19.00″</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N</w:t>
            </w:r>
            <w:r>
              <w:rPr>
                <w:rFonts w:hint="default" w:ascii="Times New Roman" w:hAnsi="Times New Roman" w:cs="Times New Roman"/>
                <w:color w:val="auto"/>
                <w:highlight w:val="none"/>
              </w:rPr>
              <w:t>31°34′1.76″</w:t>
            </w:r>
            <w:r>
              <w:rPr>
                <w:rFonts w:hint="default" w:ascii="Times New Roman" w:hAnsi="Times New Roman" w:cs="Times New Roman"/>
                <w:color w:val="auto"/>
                <w:highlight w:val="none"/>
                <w:lang w:val="en-US" w:eastAsia="zh-CN"/>
              </w:rPr>
              <w:t>）</w:t>
            </w:r>
          </w:p>
          <w:p>
            <w:pPr>
              <w:keepNext w:val="0"/>
              <w:keepLines w:val="0"/>
              <w:suppressLineNumbers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②油坊沟—起点：黄家湾桥处（E107°39′43.70″，N31°34′24.10″</w:t>
            </w:r>
            <w:r>
              <w:rPr>
                <w:rFonts w:hint="default" w:ascii="Times New Roman" w:hAnsi="Times New Roman" w:cs="Times New Roman"/>
                <w:color w:val="auto"/>
                <w:highlight w:val="none"/>
                <w:lang w:eastAsia="zh-CN"/>
              </w:rPr>
              <w:t>）</w:t>
            </w:r>
          </w:p>
          <w:p>
            <w:pPr>
              <w:keepNext w:val="0"/>
              <w:keepLines w:val="0"/>
              <w:suppressLineNumbers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终点：冯家坝</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E</w:t>
            </w:r>
            <w:r>
              <w:rPr>
                <w:rFonts w:hint="default" w:ascii="Times New Roman" w:hAnsi="Times New Roman" w:cs="Times New Roman"/>
                <w:color w:val="auto"/>
                <w:highlight w:val="none"/>
              </w:rPr>
              <w:t>107°39′36.19″</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N</w:t>
            </w:r>
            <w:r>
              <w:rPr>
                <w:rFonts w:hint="default" w:ascii="Times New Roman" w:hAnsi="Times New Roman" w:cs="Times New Roman"/>
                <w:color w:val="auto"/>
                <w:highlight w:val="none"/>
              </w:rPr>
              <w:t>31°33′53.33″</w:t>
            </w:r>
            <w:r>
              <w:rPr>
                <w:rFonts w:hint="default" w:ascii="Times New Roman" w:hAnsi="Times New Roman" w:cs="Times New Roman"/>
                <w:color w:val="auto"/>
                <w:highlight w:val="none"/>
                <w:lang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850" w:hRule="atLeast"/>
          <w:jc w:val="center"/>
        </w:trPr>
        <w:tc>
          <w:tcPr>
            <w:tcW w:w="1107" w:type="dxa"/>
            <w:gridSpan w:val="2"/>
            <w:tcBorders>
              <w:tl2br w:val="nil"/>
              <w:tr2bl w:val="nil"/>
            </w:tcBorders>
            <w:noWrap w:val="0"/>
            <w:tcMar>
              <w:top w:w="16" w:type="dxa"/>
              <w:left w:w="16" w:type="dxa"/>
              <w:bottom w:w="0" w:type="dxa"/>
              <w:right w:w="16" w:type="dxa"/>
            </w:tcMar>
            <w:vAlign w:val="center"/>
          </w:tcPr>
          <w:p>
            <w:pPr>
              <w:keepNext w:val="0"/>
              <w:keepLines w:val="0"/>
              <w:suppressLineNumbers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
                <w:color w:val="auto"/>
                <w:highlight w:val="none"/>
              </w:rPr>
            </w:pPr>
            <w:r>
              <w:rPr>
                <w:rFonts w:hint="default" w:ascii="Times New Roman" w:hAnsi="Times New Roman" w:eastAsia="宋体" w:cs="Times New Roman"/>
                <w:b/>
                <w:color w:val="auto"/>
                <w:highlight w:val="none"/>
              </w:rPr>
              <w:t>建设项目</w:t>
            </w:r>
          </w:p>
          <w:p>
            <w:pPr>
              <w:keepNext w:val="0"/>
              <w:keepLines w:val="0"/>
              <w:suppressLineNumbers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
                <w:color w:val="auto"/>
                <w:highlight w:val="none"/>
              </w:rPr>
            </w:pPr>
            <w:r>
              <w:rPr>
                <w:rFonts w:hint="default" w:ascii="Times New Roman" w:hAnsi="Times New Roman" w:eastAsia="宋体" w:cs="Times New Roman"/>
                <w:b/>
                <w:color w:val="auto"/>
                <w:highlight w:val="none"/>
              </w:rPr>
              <w:t>行业类别</w:t>
            </w:r>
          </w:p>
        </w:tc>
        <w:tc>
          <w:tcPr>
            <w:tcW w:w="2594" w:type="dxa"/>
            <w:tcBorders>
              <w:tl2br w:val="nil"/>
              <w:tr2bl w:val="nil"/>
            </w:tcBorders>
            <w:noWrap w:val="0"/>
            <w:tcMar>
              <w:top w:w="16" w:type="dxa"/>
              <w:left w:w="16" w:type="dxa"/>
              <w:bottom w:w="0" w:type="dxa"/>
              <w:right w:w="16" w:type="dxa"/>
            </w:tcMar>
            <w:vAlign w:val="center"/>
          </w:tcPr>
          <w:p>
            <w:pPr>
              <w:keepNext w:val="0"/>
              <w:keepLines w:val="0"/>
              <w:suppressLineNumbers w:val="0"/>
              <w:snapToGrid w:val="0"/>
              <w:spacing w:before="0" w:beforeAutospacing="0" w:after="0" w:afterAutospacing="0" w:line="240" w:lineRule="auto"/>
              <w:ind w:left="0" w:leftChars="0" w:right="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127防洪除涝工程、其他</w:t>
            </w:r>
          </w:p>
        </w:tc>
        <w:tc>
          <w:tcPr>
            <w:tcW w:w="2198" w:type="dxa"/>
            <w:tcBorders>
              <w:tl2br w:val="nil"/>
              <w:tr2bl w:val="nil"/>
            </w:tcBorders>
            <w:noWrap w:val="0"/>
            <w:tcMar>
              <w:top w:w="16" w:type="dxa"/>
              <w:left w:w="16" w:type="dxa"/>
              <w:bottom w:w="0" w:type="dxa"/>
              <w:right w:w="16" w:type="dxa"/>
            </w:tcMar>
            <w:vAlign w:val="center"/>
          </w:tcPr>
          <w:p>
            <w:pPr>
              <w:keepNext w:val="0"/>
              <w:keepLines w:val="0"/>
              <w:suppressLineNumbers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
                <w:color w:val="auto"/>
                <w:highlight w:val="none"/>
              </w:rPr>
            </w:pPr>
            <w:r>
              <w:rPr>
                <w:rFonts w:hint="default" w:ascii="Times New Roman" w:hAnsi="Times New Roman" w:eastAsia="宋体" w:cs="Times New Roman"/>
                <w:b/>
                <w:color w:val="auto"/>
                <w:highlight w:val="none"/>
              </w:rPr>
              <w:t>用地（用海）</w:t>
            </w:r>
          </w:p>
          <w:p>
            <w:pPr>
              <w:keepNext w:val="0"/>
              <w:keepLines w:val="0"/>
              <w:suppressLineNumbers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
                <w:color w:val="auto"/>
                <w:highlight w:val="none"/>
              </w:rPr>
            </w:pPr>
            <w:r>
              <w:rPr>
                <w:rFonts w:hint="default" w:ascii="Times New Roman" w:hAnsi="Times New Roman" w:eastAsia="宋体" w:cs="Times New Roman"/>
                <w:b/>
                <w:color w:val="auto"/>
                <w:highlight w:val="none"/>
              </w:rPr>
              <w:t>面积（m</w:t>
            </w:r>
            <w:r>
              <w:rPr>
                <w:rFonts w:hint="default" w:ascii="Times New Roman" w:hAnsi="Times New Roman" w:eastAsia="宋体" w:cs="Times New Roman"/>
                <w:b/>
                <w:color w:val="auto"/>
                <w:highlight w:val="none"/>
                <w:vertAlign w:val="superscript"/>
              </w:rPr>
              <w:t>2</w:t>
            </w:r>
            <w:r>
              <w:rPr>
                <w:rFonts w:hint="default" w:ascii="Times New Roman" w:hAnsi="Times New Roman" w:eastAsia="宋体" w:cs="Times New Roman"/>
                <w:b/>
                <w:color w:val="auto"/>
                <w:highlight w:val="none"/>
              </w:rPr>
              <w:t>）</w:t>
            </w:r>
          </w:p>
        </w:tc>
        <w:tc>
          <w:tcPr>
            <w:tcW w:w="3303" w:type="dxa"/>
            <w:tcBorders>
              <w:tl2br w:val="nil"/>
              <w:tr2bl w:val="nil"/>
            </w:tcBorders>
            <w:noWrap w:val="0"/>
            <w:tcMar>
              <w:top w:w="16" w:type="dxa"/>
              <w:left w:w="16" w:type="dxa"/>
              <w:bottom w:w="0" w:type="dxa"/>
              <w:right w:w="16" w:type="dxa"/>
            </w:tcMar>
            <w:vAlign w:val="center"/>
          </w:tcPr>
          <w:p>
            <w:pPr>
              <w:keepNext w:val="0"/>
              <w:keepLines w:val="0"/>
              <w:suppressLineNumbers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油坊沟</w:t>
            </w:r>
            <w:r>
              <w:rPr>
                <w:rFonts w:hint="default" w:ascii="Times New Roman" w:hAnsi="Times New Roman" w:cs="Times New Roman"/>
                <w:color w:val="auto"/>
                <w:highlight w:val="none"/>
              </w:rPr>
              <w:t>新建堤防</w:t>
            </w:r>
            <w:r>
              <w:rPr>
                <w:rFonts w:hint="default" w:ascii="Times New Roman" w:hAnsi="Times New Roman" w:cs="Times New Roman"/>
                <w:color w:val="auto"/>
                <w:highlight w:val="none"/>
                <w:lang w:val="en-US" w:eastAsia="zh-CN"/>
              </w:rPr>
              <w:t>566.81</w:t>
            </w:r>
            <w:r>
              <w:rPr>
                <w:rFonts w:hint="default" w:ascii="Times New Roman" w:hAnsi="Times New Roman" w:cs="Times New Roman"/>
                <w:color w:val="auto"/>
                <w:highlight w:val="none"/>
              </w:rPr>
              <w:t>m，其中左岸</w:t>
            </w:r>
            <w:r>
              <w:rPr>
                <w:rFonts w:hint="default" w:ascii="Times New Roman" w:hAnsi="Times New Roman" w:cs="Times New Roman"/>
                <w:color w:val="auto"/>
                <w:highlight w:val="none"/>
                <w:lang w:val="en-US" w:eastAsia="zh-CN"/>
              </w:rPr>
              <w:t>160.65</w:t>
            </w:r>
            <w:r>
              <w:rPr>
                <w:rFonts w:hint="default" w:ascii="Times New Roman" w:hAnsi="Times New Roman" w:cs="Times New Roman"/>
                <w:color w:val="auto"/>
                <w:highlight w:val="none"/>
              </w:rPr>
              <w:t>m，右岸</w:t>
            </w:r>
            <w:r>
              <w:rPr>
                <w:rFonts w:hint="default" w:ascii="Times New Roman" w:hAnsi="Times New Roman" w:cs="Times New Roman"/>
                <w:color w:val="auto"/>
                <w:highlight w:val="none"/>
                <w:lang w:val="en-US" w:eastAsia="zh-CN"/>
              </w:rPr>
              <w:t>406.16</w:t>
            </w:r>
            <w:r>
              <w:rPr>
                <w:rFonts w:hint="default" w:ascii="Times New Roman" w:hAnsi="Times New Roman" w:cs="Times New Roman"/>
                <w:color w:val="auto"/>
                <w:highlight w:val="none"/>
              </w:rPr>
              <w:t>m</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胡家河新建堤防777.56m，其中左岸583.28m，右岸194.28m。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850" w:hRule="atLeast"/>
          <w:jc w:val="center"/>
        </w:trPr>
        <w:tc>
          <w:tcPr>
            <w:tcW w:w="1107" w:type="dxa"/>
            <w:gridSpan w:val="2"/>
            <w:tcBorders>
              <w:tl2br w:val="nil"/>
              <w:tr2bl w:val="nil"/>
            </w:tcBorders>
            <w:noWrap w:val="0"/>
            <w:tcMar>
              <w:top w:w="16" w:type="dxa"/>
              <w:left w:w="16" w:type="dxa"/>
              <w:bottom w:w="0" w:type="dxa"/>
              <w:right w:w="16" w:type="dxa"/>
            </w:tcMar>
            <w:vAlign w:val="center"/>
          </w:tcPr>
          <w:p>
            <w:pPr>
              <w:keepNext w:val="0"/>
              <w:keepLines w:val="0"/>
              <w:suppressLineNumbers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
                <w:color w:val="auto"/>
                <w:highlight w:val="none"/>
              </w:rPr>
            </w:pPr>
            <w:r>
              <w:rPr>
                <w:rFonts w:hint="default" w:ascii="Times New Roman" w:hAnsi="Times New Roman" w:eastAsia="宋体" w:cs="Times New Roman"/>
                <w:b/>
                <w:color w:val="auto"/>
                <w:highlight w:val="none"/>
              </w:rPr>
              <w:t>建设性质</w:t>
            </w:r>
          </w:p>
        </w:tc>
        <w:tc>
          <w:tcPr>
            <w:tcW w:w="2594" w:type="dxa"/>
            <w:tcBorders>
              <w:tl2br w:val="nil"/>
              <w:tr2bl w:val="nil"/>
            </w:tcBorders>
            <w:noWrap w:val="0"/>
            <w:tcMar>
              <w:top w:w="16" w:type="dxa"/>
              <w:left w:w="16" w:type="dxa"/>
              <w:bottom w:w="0" w:type="dxa"/>
              <w:right w:w="16" w:type="dxa"/>
            </w:tcMar>
            <w:vAlign w:val="center"/>
          </w:tcPr>
          <w:p>
            <w:pPr>
              <w:keepNext w:val="0"/>
              <w:keepLines w:val="0"/>
              <w:suppressLineNumbers w:val="0"/>
              <w:snapToGrid w:val="0"/>
              <w:spacing w:before="0" w:beforeAutospacing="0" w:after="0" w:afterAutospacing="0" w:line="240" w:lineRule="auto"/>
              <w:ind w:left="0" w:leftChars="0" w:right="0" w:firstLine="0" w:firstLineChars="0"/>
              <w:jc w:val="both"/>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☑新建（迁建）</w:t>
            </w:r>
          </w:p>
          <w:p>
            <w:pPr>
              <w:keepNext w:val="0"/>
              <w:keepLines w:val="0"/>
              <w:suppressLineNumbers w:val="0"/>
              <w:snapToGrid w:val="0"/>
              <w:spacing w:before="0" w:beforeAutospacing="0" w:after="0" w:afterAutospacing="0" w:line="240" w:lineRule="auto"/>
              <w:ind w:left="0" w:leftChars="0" w:right="0" w:firstLine="0" w:firstLineChars="0"/>
              <w:jc w:val="both"/>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□改建</w:t>
            </w:r>
          </w:p>
          <w:p>
            <w:pPr>
              <w:keepNext w:val="0"/>
              <w:keepLines w:val="0"/>
              <w:suppressLineNumbers w:val="0"/>
              <w:snapToGrid w:val="0"/>
              <w:spacing w:before="0" w:beforeAutospacing="0" w:after="0" w:afterAutospacing="0" w:line="240" w:lineRule="auto"/>
              <w:ind w:left="0" w:leftChars="0" w:right="0" w:firstLine="0" w:firstLineChars="0"/>
              <w:jc w:val="both"/>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□扩建</w:t>
            </w:r>
          </w:p>
          <w:p>
            <w:pPr>
              <w:keepNext w:val="0"/>
              <w:keepLines w:val="0"/>
              <w:suppressLineNumbers w:val="0"/>
              <w:snapToGrid w:val="0"/>
              <w:spacing w:before="0" w:beforeAutospacing="0" w:after="0" w:afterAutospacing="0" w:line="240" w:lineRule="auto"/>
              <w:ind w:left="0" w:leftChars="0" w:right="0" w:firstLine="0" w:firstLineChars="0"/>
              <w:jc w:val="both"/>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□技术改造</w:t>
            </w:r>
          </w:p>
        </w:tc>
        <w:tc>
          <w:tcPr>
            <w:tcW w:w="2198" w:type="dxa"/>
            <w:tcBorders>
              <w:tl2br w:val="nil"/>
              <w:tr2bl w:val="nil"/>
            </w:tcBorders>
            <w:noWrap w:val="0"/>
            <w:tcMar>
              <w:top w:w="16" w:type="dxa"/>
              <w:left w:w="16" w:type="dxa"/>
              <w:bottom w:w="0" w:type="dxa"/>
              <w:right w:w="16" w:type="dxa"/>
            </w:tcMar>
            <w:vAlign w:val="center"/>
          </w:tcPr>
          <w:p>
            <w:pPr>
              <w:keepNext w:val="0"/>
              <w:keepLines w:val="0"/>
              <w:suppressLineNumbers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
                <w:color w:val="auto"/>
                <w:highlight w:val="none"/>
              </w:rPr>
            </w:pPr>
            <w:r>
              <w:rPr>
                <w:rFonts w:hint="default" w:ascii="Times New Roman" w:hAnsi="Times New Roman" w:eastAsia="宋体" w:cs="Times New Roman"/>
                <w:b/>
                <w:color w:val="auto"/>
                <w:highlight w:val="none"/>
              </w:rPr>
              <w:t>建设项目</w:t>
            </w:r>
          </w:p>
          <w:p>
            <w:pPr>
              <w:keepNext w:val="0"/>
              <w:keepLines w:val="0"/>
              <w:suppressLineNumbers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
                <w:color w:val="auto"/>
                <w:highlight w:val="none"/>
              </w:rPr>
            </w:pPr>
            <w:r>
              <w:rPr>
                <w:rFonts w:hint="default" w:ascii="Times New Roman" w:hAnsi="Times New Roman" w:eastAsia="宋体" w:cs="Times New Roman"/>
                <w:b/>
                <w:color w:val="auto"/>
                <w:highlight w:val="none"/>
              </w:rPr>
              <w:t>申报情形</w:t>
            </w:r>
          </w:p>
        </w:tc>
        <w:tc>
          <w:tcPr>
            <w:tcW w:w="3303" w:type="dxa"/>
            <w:tcBorders>
              <w:tl2br w:val="nil"/>
              <w:tr2bl w:val="nil"/>
            </w:tcBorders>
            <w:noWrap w:val="0"/>
            <w:tcMar>
              <w:top w:w="16" w:type="dxa"/>
              <w:left w:w="16" w:type="dxa"/>
              <w:bottom w:w="0" w:type="dxa"/>
              <w:right w:w="16" w:type="dxa"/>
            </w:tcMar>
            <w:vAlign w:val="center"/>
          </w:tcPr>
          <w:p>
            <w:pPr>
              <w:keepNext w:val="0"/>
              <w:keepLines w:val="0"/>
              <w:suppressLineNumbers w:val="0"/>
              <w:snapToGrid w:val="0"/>
              <w:spacing w:before="0" w:beforeAutospacing="0" w:after="0" w:afterAutospacing="0" w:line="240" w:lineRule="auto"/>
              <w:ind w:left="0" w:leftChars="0" w:right="0" w:firstLine="0" w:firstLineChars="0"/>
              <w:jc w:val="both"/>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☑首次申报项目</w:t>
            </w:r>
          </w:p>
          <w:p>
            <w:pPr>
              <w:keepNext w:val="0"/>
              <w:keepLines w:val="0"/>
              <w:suppressLineNumbers w:val="0"/>
              <w:snapToGrid w:val="0"/>
              <w:spacing w:before="0" w:beforeAutospacing="0" w:after="0" w:afterAutospacing="0" w:line="240" w:lineRule="auto"/>
              <w:ind w:left="0" w:leftChars="0" w:right="0" w:firstLine="0" w:firstLineChars="0"/>
              <w:jc w:val="both"/>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□不予批准后再次申报项目</w:t>
            </w:r>
          </w:p>
          <w:p>
            <w:pPr>
              <w:keepNext w:val="0"/>
              <w:keepLines w:val="0"/>
              <w:suppressLineNumbers w:val="0"/>
              <w:snapToGrid w:val="0"/>
              <w:spacing w:before="0" w:beforeAutospacing="0" w:after="0" w:afterAutospacing="0" w:line="240" w:lineRule="auto"/>
              <w:ind w:left="0" w:leftChars="0" w:right="0" w:firstLine="0" w:firstLineChars="0"/>
              <w:jc w:val="both"/>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□超五年重新审核项目</w:t>
            </w:r>
          </w:p>
          <w:p>
            <w:pPr>
              <w:keepNext w:val="0"/>
              <w:keepLines w:val="0"/>
              <w:suppressLineNumbers w:val="0"/>
              <w:snapToGrid w:val="0"/>
              <w:spacing w:before="0" w:beforeAutospacing="0" w:after="0" w:afterAutospacing="0" w:line="240" w:lineRule="auto"/>
              <w:ind w:left="0" w:leftChars="0" w:right="0" w:firstLine="0" w:firstLineChars="0"/>
              <w:jc w:val="both"/>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□重大变动重新报批项目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737" w:hRule="atLeast"/>
          <w:jc w:val="center"/>
        </w:trPr>
        <w:tc>
          <w:tcPr>
            <w:tcW w:w="1107" w:type="dxa"/>
            <w:gridSpan w:val="2"/>
            <w:tcBorders>
              <w:tl2br w:val="nil"/>
              <w:tr2bl w:val="nil"/>
            </w:tcBorders>
            <w:noWrap w:val="0"/>
            <w:tcMar>
              <w:top w:w="16" w:type="dxa"/>
              <w:left w:w="16" w:type="dxa"/>
              <w:bottom w:w="0" w:type="dxa"/>
              <w:right w:w="16" w:type="dxa"/>
            </w:tcMar>
            <w:vAlign w:val="center"/>
          </w:tcPr>
          <w:p>
            <w:pPr>
              <w:keepNext w:val="0"/>
              <w:keepLines w:val="0"/>
              <w:suppressLineNumbers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
                <w:color w:val="auto"/>
                <w:highlight w:val="none"/>
              </w:rPr>
            </w:pPr>
            <w:r>
              <w:rPr>
                <w:rFonts w:hint="default" w:ascii="Times New Roman" w:hAnsi="Times New Roman" w:eastAsia="宋体" w:cs="Times New Roman"/>
                <w:b/>
                <w:color w:val="auto"/>
                <w:highlight w:val="none"/>
              </w:rPr>
              <w:t>项目审批（核准/</w:t>
            </w:r>
          </w:p>
          <w:p>
            <w:pPr>
              <w:keepNext w:val="0"/>
              <w:keepLines w:val="0"/>
              <w:suppressLineNumbers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
                <w:color w:val="auto"/>
                <w:highlight w:val="none"/>
              </w:rPr>
            </w:pPr>
            <w:r>
              <w:rPr>
                <w:rFonts w:hint="default" w:ascii="Times New Roman" w:hAnsi="Times New Roman" w:eastAsia="宋体" w:cs="Times New Roman"/>
                <w:b/>
                <w:color w:val="auto"/>
                <w:highlight w:val="none"/>
              </w:rPr>
              <w:t>备案）部门（选填）</w:t>
            </w:r>
          </w:p>
        </w:tc>
        <w:tc>
          <w:tcPr>
            <w:tcW w:w="2594" w:type="dxa"/>
            <w:tcBorders>
              <w:tl2br w:val="nil"/>
              <w:tr2bl w:val="nil"/>
            </w:tcBorders>
            <w:noWrap w:val="0"/>
            <w:tcMar>
              <w:top w:w="16" w:type="dxa"/>
              <w:left w:w="16" w:type="dxa"/>
              <w:bottom w:w="0" w:type="dxa"/>
              <w:right w:w="16" w:type="dxa"/>
            </w:tcMar>
            <w:vAlign w:val="center"/>
          </w:tcPr>
          <w:p>
            <w:pPr>
              <w:keepNext w:val="0"/>
              <w:keepLines w:val="0"/>
              <w:suppressLineNumbers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达州市水务局</w:t>
            </w:r>
          </w:p>
        </w:tc>
        <w:tc>
          <w:tcPr>
            <w:tcW w:w="2198" w:type="dxa"/>
            <w:tcBorders>
              <w:tl2br w:val="nil"/>
              <w:tr2bl w:val="nil"/>
            </w:tcBorders>
            <w:noWrap w:val="0"/>
            <w:tcMar>
              <w:top w:w="16" w:type="dxa"/>
              <w:left w:w="16" w:type="dxa"/>
              <w:bottom w:w="0" w:type="dxa"/>
              <w:right w:w="16" w:type="dxa"/>
            </w:tcMar>
            <w:vAlign w:val="center"/>
          </w:tcPr>
          <w:p>
            <w:pPr>
              <w:keepNext w:val="0"/>
              <w:keepLines w:val="0"/>
              <w:suppressLineNumbers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
                <w:color w:val="auto"/>
                <w:highlight w:val="none"/>
              </w:rPr>
            </w:pPr>
            <w:r>
              <w:rPr>
                <w:rFonts w:hint="default" w:ascii="Times New Roman" w:hAnsi="Times New Roman" w:eastAsia="宋体" w:cs="Times New Roman"/>
                <w:b/>
                <w:color w:val="auto"/>
                <w:highlight w:val="none"/>
              </w:rPr>
              <w:t>项目审批（核准/</w:t>
            </w:r>
          </w:p>
          <w:p>
            <w:pPr>
              <w:keepNext w:val="0"/>
              <w:keepLines w:val="0"/>
              <w:suppressLineNumbers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
                <w:color w:val="auto"/>
                <w:highlight w:val="none"/>
              </w:rPr>
            </w:pPr>
            <w:r>
              <w:rPr>
                <w:rFonts w:hint="default" w:ascii="Times New Roman" w:hAnsi="Times New Roman" w:eastAsia="宋体" w:cs="Times New Roman"/>
                <w:b/>
                <w:color w:val="auto"/>
                <w:highlight w:val="none"/>
              </w:rPr>
              <w:t>备案）文号（选填）</w:t>
            </w:r>
          </w:p>
        </w:tc>
        <w:tc>
          <w:tcPr>
            <w:tcW w:w="3303" w:type="dxa"/>
            <w:tcBorders>
              <w:tl2br w:val="nil"/>
              <w:tr2bl w:val="nil"/>
            </w:tcBorders>
            <w:noWrap w:val="0"/>
            <w:tcMar>
              <w:top w:w="16" w:type="dxa"/>
              <w:left w:w="16" w:type="dxa"/>
              <w:bottom w:w="0" w:type="dxa"/>
              <w:right w:w="16" w:type="dxa"/>
            </w:tcMar>
            <w:vAlign w:val="center"/>
          </w:tcPr>
          <w:p>
            <w:pPr>
              <w:keepNext w:val="0"/>
              <w:keepLines w:val="0"/>
              <w:suppressLineNumbers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达市水审函[2024]4号</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737" w:hRule="atLeast"/>
          <w:jc w:val="center"/>
        </w:trPr>
        <w:tc>
          <w:tcPr>
            <w:tcW w:w="1107" w:type="dxa"/>
            <w:gridSpan w:val="2"/>
            <w:tcBorders>
              <w:tl2br w:val="nil"/>
              <w:tr2bl w:val="nil"/>
            </w:tcBorders>
            <w:noWrap w:val="0"/>
            <w:tcMar>
              <w:top w:w="16" w:type="dxa"/>
              <w:left w:w="16" w:type="dxa"/>
              <w:bottom w:w="0" w:type="dxa"/>
              <w:right w:w="16" w:type="dxa"/>
            </w:tcMar>
            <w:vAlign w:val="center"/>
          </w:tcPr>
          <w:p>
            <w:pPr>
              <w:keepNext w:val="0"/>
              <w:keepLines w:val="0"/>
              <w:suppressLineNumbers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
                <w:color w:val="auto"/>
                <w:highlight w:val="none"/>
              </w:rPr>
            </w:pPr>
            <w:r>
              <w:rPr>
                <w:rFonts w:hint="default" w:ascii="Times New Roman" w:hAnsi="Times New Roman" w:eastAsia="宋体" w:cs="Times New Roman"/>
                <w:b/>
                <w:color w:val="auto"/>
                <w:highlight w:val="none"/>
              </w:rPr>
              <w:t>总投资（万元）</w:t>
            </w:r>
          </w:p>
        </w:tc>
        <w:tc>
          <w:tcPr>
            <w:tcW w:w="2594" w:type="dxa"/>
            <w:tcBorders>
              <w:tl2br w:val="nil"/>
              <w:tr2bl w:val="nil"/>
            </w:tcBorders>
            <w:noWrap w:val="0"/>
            <w:tcMar>
              <w:top w:w="16" w:type="dxa"/>
              <w:left w:w="16" w:type="dxa"/>
              <w:bottom w:w="0" w:type="dxa"/>
              <w:right w:w="16" w:type="dxa"/>
            </w:tcMar>
            <w:vAlign w:val="center"/>
          </w:tcPr>
          <w:p>
            <w:pPr>
              <w:keepNext w:val="0"/>
              <w:keepLines w:val="0"/>
              <w:suppressLineNumbers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1179.61</w:t>
            </w:r>
          </w:p>
        </w:tc>
        <w:tc>
          <w:tcPr>
            <w:tcW w:w="2198" w:type="dxa"/>
            <w:tcBorders>
              <w:tl2br w:val="nil"/>
              <w:tr2bl w:val="nil"/>
            </w:tcBorders>
            <w:noWrap w:val="0"/>
            <w:tcMar>
              <w:top w:w="16" w:type="dxa"/>
              <w:left w:w="16" w:type="dxa"/>
              <w:bottom w:w="0" w:type="dxa"/>
              <w:right w:w="16" w:type="dxa"/>
            </w:tcMar>
            <w:vAlign w:val="center"/>
          </w:tcPr>
          <w:p>
            <w:pPr>
              <w:keepNext w:val="0"/>
              <w:keepLines w:val="0"/>
              <w:suppressLineNumbers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
                <w:color w:val="auto"/>
                <w:highlight w:val="none"/>
              </w:rPr>
            </w:pPr>
            <w:r>
              <w:rPr>
                <w:rFonts w:hint="default" w:ascii="Times New Roman" w:hAnsi="Times New Roman" w:eastAsia="宋体" w:cs="Times New Roman"/>
                <w:b/>
                <w:color w:val="auto"/>
                <w:highlight w:val="none"/>
              </w:rPr>
              <w:t>环保投资（万元）</w:t>
            </w:r>
          </w:p>
        </w:tc>
        <w:tc>
          <w:tcPr>
            <w:tcW w:w="3303" w:type="dxa"/>
            <w:tcBorders>
              <w:tl2br w:val="nil"/>
              <w:tr2bl w:val="nil"/>
            </w:tcBorders>
            <w:noWrap w:val="0"/>
            <w:tcMar>
              <w:top w:w="16" w:type="dxa"/>
              <w:left w:w="16" w:type="dxa"/>
              <w:bottom w:w="0" w:type="dxa"/>
              <w:right w:w="16" w:type="dxa"/>
            </w:tcMar>
            <w:vAlign w:val="center"/>
          </w:tcPr>
          <w:p>
            <w:pPr>
              <w:keepNext w:val="0"/>
              <w:keepLines w:val="0"/>
              <w:suppressLineNumbers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737" w:hRule="atLeast"/>
          <w:jc w:val="center"/>
        </w:trPr>
        <w:tc>
          <w:tcPr>
            <w:tcW w:w="1107" w:type="dxa"/>
            <w:gridSpan w:val="2"/>
            <w:tcBorders>
              <w:tl2br w:val="nil"/>
              <w:tr2bl w:val="nil"/>
            </w:tcBorders>
            <w:noWrap w:val="0"/>
            <w:tcMar>
              <w:top w:w="16" w:type="dxa"/>
              <w:left w:w="16" w:type="dxa"/>
              <w:bottom w:w="0" w:type="dxa"/>
              <w:right w:w="16" w:type="dxa"/>
            </w:tcMar>
            <w:vAlign w:val="center"/>
          </w:tcPr>
          <w:p>
            <w:pPr>
              <w:keepNext w:val="0"/>
              <w:keepLines w:val="0"/>
              <w:suppressLineNumbers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
                <w:color w:val="auto"/>
                <w:highlight w:val="none"/>
              </w:rPr>
            </w:pPr>
            <w:r>
              <w:rPr>
                <w:rFonts w:hint="default" w:ascii="Times New Roman" w:hAnsi="Times New Roman" w:eastAsia="宋体" w:cs="Times New Roman"/>
                <w:b/>
                <w:color w:val="auto"/>
                <w:highlight w:val="none"/>
              </w:rPr>
              <w:t>环保投资占比（%）</w:t>
            </w:r>
          </w:p>
        </w:tc>
        <w:tc>
          <w:tcPr>
            <w:tcW w:w="2594" w:type="dxa"/>
            <w:tcBorders>
              <w:tl2br w:val="nil"/>
              <w:tr2bl w:val="nil"/>
            </w:tcBorders>
            <w:noWrap w:val="0"/>
            <w:tcMar>
              <w:top w:w="16" w:type="dxa"/>
              <w:left w:w="16" w:type="dxa"/>
              <w:bottom w:w="0" w:type="dxa"/>
              <w:right w:w="16" w:type="dxa"/>
            </w:tcMar>
            <w:vAlign w:val="center"/>
          </w:tcPr>
          <w:p>
            <w:pPr>
              <w:keepNext w:val="0"/>
              <w:keepLines w:val="0"/>
              <w:suppressLineNumbers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0.170</w:t>
            </w:r>
          </w:p>
        </w:tc>
        <w:tc>
          <w:tcPr>
            <w:tcW w:w="2198" w:type="dxa"/>
            <w:tcBorders>
              <w:tl2br w:val="nil"/>
              <w:tr2bl w:val="nil"/>
            </w:tcBorders>
            <w:noWrap w:val="0"/>
            <w:tcMar>
              <w:top w:w="16" w:type="dxa"/>
              <w:left w:w="16" w:type="dxa"/>
              <w:bottom w:w="0" w:type="dxa"/>
              <w:right w:w="16" w:type="dxa"/>
            </w:tcMar>
            <w:vAlign w:val="center"/>
          </w:tcPr>
          <w:p>
            <w:pPr>
              <w:keepNext w:val="0"/>
              <w:keepLines w:val="0"/>
              <w:suppressLineNumbers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
                <w:color w:val="auto"/>
                <w:highlight w:val="none"/>
              </w:rPr>
            </w:pPr>
            <w:r>
              <w:rPr>
                <w:rFonts w:hint="default" w:ascii="Times New Roman" w:hAnsi="Times New Roman" w:eastAsia="宋体" w:cs="Times New Roman"/>
                <w:b/>
                <w:color w:val="auto"/>
                <w:highlight w:val="none"/>
              </w:rPr>
              <w:t>施工工期</w:t>
            </w:r>
          </w:p>
        </w:tc>
        <w:tc>
          <w:tcPr>
            <w:tcW w:w="3303" w:type="dxa"/>
            <w:tcBorders>
              <w:tl2br w:val="nil"/>
              <w:tr2bl w:val="nil"/>
            </w:tcBorders>
            <w:noWrap w:val="0"/>
            <w:tcMar>
              <w:top w:w="16" w:type="dxa"/>
              <w:left w:w="16" w:type="dxa"/>
              <w:bottom w:w="0" w:type="dxa"/>
              <w:right w:w="16" w:type="dxa"/>
            </w:tcMar>
            <w:vAlign w:val="center"/>
          </w:tcPr>
          <w:p>
            <w:pPr>
              <w:keepNext w:val="0"/>
              <w:keepLines w:val="0"/>
              <w:suppressLineNumbers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7个月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737" w:hRule="atLeast"/>
          <w:jc w:val="center"/>
        </w:trPr>
        <w:tc>
          <w:tcPr>
            <w:tcW w:w="1107" w:type="dxa"/>
            <w:gridSpan w:val="2"/>
            <w:tcBorders>
              <w:tl2br w:val="nil"/>
              <w:tr2bl w:val="nil"/>
            </w:tcBorders>
            <w:noWrap w:val="0"/>
            <w:tcMar>
              <w:top w:w="16" w:type="dxa"/>
              <w:left w:w="16" w:type="dxa"/>
              <w:bottom w:w="0" w:type="dxa"/>
              <w:right w:w="16" w:type="dxa"/>
            </w:tcMar>
            <w:vAlign w:val="center"/>
          </w:tcPr>
          <w:p>
            <w:pPr>
              <w:keepNext w:val="0"/>
              <w:keepLines w:val="0"/>
              <w:suppressLineNumbers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
                <w:color w:val="auto"/>
                <w:highlight w:val="none"/>
              </w:rPr>
            </w:pPr>
            <w:r>
              <w:rPr>
                <w:rFonts w:hint="default" w:ascii="Times New Roman" w:hAnsi="Times New Roman" w:eastAsia="宋体" w:cs="Times New Roman"/>
                <w:b/>
                <w:color w:val="auto"/>
                <w:highlight w:val="none"/>
              </w:rPr>
              <w:t>是否开工建设</w:t>
            </w:r>
          </w:p>
        </w:tc>
        <w:tc>
          <w:tcPr>
            <w:tcW w:w="8095" w:type="dxa"/>
            <w:gridSpan w:val="3"/>
            <w:tcBorders>
              <w:tl2br w:val="nil"/>
              <w:tr2bl w:val="nil"/>
            </w:tcBorders>
            <w:noWrap w:val="0"/>
            <w:tcMar>
              <w:top w:w="16" w:type="dxa"/>
              <w:left w:w="16" w:type="dxa"/>
              <w:bottom w:w="0" w:type="dxa"/>
              <w:right w:w="16" w:type="dxa"/>
            </w:tcMar>
            <w:vAlign w:val="center"/>
          </w:tcPr>
          <w:p>
            <w:pPr>
              <w:keepNext w:val="0"/>
              <w:keepLines w:val="0"/>
              <w:suppressLineNumbers w:val="0"/>
              <w:adjustRightInd w:val="0"/>
              <w:snapToGrid w:val="0"/>
              <w:spacing w:before="0" w:beforeAutospacing="0" w:after="0" w:afterAutospacing="0" w:line="240" w:lineRule="auto"/>
              <w:ind w:left="0" w:leftChars="0" w:right="0" w:firstLine="0" w:firstLineChars="0"/>
              <w:jc w:val="left"/>
              <w:rPr>
                <w:rFonts w:hint="default" w:ascii="Times New Roman" w:hAnsi="Times New Roman" w:cs="Times New Roman"/>
                <w:color w:val="auto"/>
                <w:szCs w:val="21"/>
                <w:highlight w:val="none"/>
              </w:rPr>
            </w:pPr>
            <w:r>
              <w:rPr>
                <w:rFonts w:hint="default" w:ascii="Times New Roman" w:hAnsi="Times New Roman" w:eastAsia="宋体" w:cs="Times New Roman"/>
                <w:color w:val="auto"/>
                <w:szCs w:val="24"/>
                <w:highlight w:val="none"/>
                <w:lang w:eastAsia="zh-CN"/>
              </w:rPr>
              <w:sym w:font="Wingdings 2" w:char="0052"/>
            </w:r>
            <w:r>
              <w:rPr>
                <w:rFonts w:hint="default" w:ascii="Times New Roman" w:hAnsi="Times New Roman" w:cs="Times New Roman"/>
                <w:color w:val="auto"/>
                <w:szCs w:val="21"/>
                <w:highlight w:val="none"/>
              </w:rPr>
              <w:t>否</w:t>
            </w:r>
          </w:p>
          <w:p>
            <w:pPr>
              <w:keepNext w:val="0"/>
              <w:keepLines w:val="0"/>
              <w:suppressLineNumbers w:val="0"/>
              <w:adjustRightInd w:val="0"/>
              <w:snapToGrid w:val="0"/>
              <w:spacing w:before="0" w:beforeAutospacing="0" w:after="0" w:afterAutospacing="0" w:line="240" w:lineRule="auto"/>
              <w:ind w:left="0" w:leftChars="0" w:right="0" w:firstLine="0" w:firstLineChars="0"/>
              <w:jc w:val="left"/>
              <w:rPr>
                <w:rFonts w:hint="default" w:ascii="Times New Roman" w:hAnsi="Times New Roman" w:cs="Times New Roman"/>
                <w:color w:val="auto"/>
                <w:szCs w:val="21"/>
                <w:highlight w:val="none"/>
              </w:rPr>
            </w:pPr>
            <w:r>
              <w:rPr>
                <w:rFonts w:hint="default" w:ascii="Times New Roman" w:hAnsi="Times New Roman" w:eastAsia="宋体" w:cs="Times New Roman"/>
                <w:color w:val="auto"/>
                <w:highlight w:val="none"/>
                <w:lang w:val="en-US" w:eastAsia="zh-CN"/>
              </w:rPr>
              <w:sym w:font="Wingdings 2" w:char="00A3"/>
            </w:r>
            <w:r>
              <w:rPr>
                <w:rFonts w:hint="default" w:ascii="Times New Roman" w:hAnsi="Times New Roman" w:cs="Times New Roman"/>
                <w:color w:val="auto"/>
                <w:szCs w:val="21"/>
                <w:highlight w:val="none"/>
              </w:rPr>
              <w:t>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1304" w:hRule="atLeast"/>
          <w:jc w:val="center"/>
        </w:trPr>
        <w:tc>
          <w:tcPr>
            <w:tcW w:w="1107" w:type="dxa"/>
            <w:gridSpan w:val="2"/>
            <w:tcBorders>
              <w:tl2br w:val="nil"/>
              <w:tr2bl w:val="nil"/>
            </w:tcBorders>
            <w:noWrap w:val="0"/>
            <w:tcMar>
              <w:top w:w="16" w:type="dxa"/>
              <w:left w:w="16" w:type="dxa"/>
              <w:bottom w:w="0" w:type="dxa"/>
              <w:right w:w="16" w:type="dxa"/>
            </w:tcMar>
            <w:vAlign w:val="center"/>
          </w:tcPr>
          <w:p>
            <w:pPr>
              <w:keepNext w:val="0"/>
              <w:keepLines w:val="0"/>
              <w:suppressLineNumbers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
                <w:color w:val="auto"/>
                <w:highlight w:val="none"/>
              </w:rPr>
            </w:pPr>
            <w:r>
              <w:rPr>
                <w:rFonts w:hint="default" w:ascii="Times New Roman" w:hAnsi="Times New Roman" w:eastAsia="宋体" w:cs="Times New Roman"/>
                <w:b/>
                <w:color w:val="auto"/>
                <w:highlight w:val="none"/>
              </w:rPr>
              <w:t>专项评价设置情况</w:t>
            </w:r>
          </w:p>
        </w:tc>
        <w:tc>
          <w:tcPr>
            <w:tcW w:w="8095" w:type="dxa"/>
            <w:gridSpan w:val="3"/>
            <w:tcBorders>
              <w:tl2br w:val="nil"/>
              <w:tr2bl w:val="nil"/>
            </w:tcBorders>
            <w:noWrap w:val="0"/>
            <w:tcMar>
              <w:top w:w="16" w:type="dxa"/>
              <w:left w:w="16" w:type="dxa"/>
              <w:bottom w:w="0" w:type="dxa"/>
              <w:right w:w="16" w:type="dxa"/>
            </w:tcMar>
            <w:vAlign w:val="center"/>
          </w:tcPr>
          <w:p>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根据《建设项目环境影响报告编制技术指南（生态影响类）》中表1专项评价设置原则，结合本项目工程类别及内容，判定如下：</w:t>
            </w:r>
          </w:p>
          <w:p>
            <w:pPr>
              <w:bidi w:val="0"/>
              <w:rPr>
                <w:rFonts w:hint="default" w:ascii="Times New Roman" w:hAnsi="Times New Roman" w:cs="Times New Roman"/>
                <w:b w:val="0"/>
                <w:bCs w:val="0"/>
                <w:color w:val="auto"/>
                <w:kern w:val="0"/>
                <w:sz w:val="24"/>
                <w:highlight w:val="none"/>
              </w:rPr>
            </w:pPr>
            <w:r>
              <w:rPr>
                <w:rFonts w:hint="default" w:ascii="Times New Roman" w:hAnsi="Times New Roman" w:cs="Times New Roman"/>
                <w:b/>
                <w:color w:val="auto"/>
                <w:kern w:val="0"/>
                <w:sz w:val="24"/>
                <w:highlight w:val="none"/>
                <w:lang w:val="en-US" w:eastAsia="zh-CN"/>
              </w:rPr>
              <w:t>1、</w:t>
            </w:r>
            <w:r>
              <w:rPr>
                <w:rFonts w:hint="default" w:ascii="Times New Roman" w:hAnsi="Times New Roman" w:cs="Times New Roman"/>
                <w:b/>
                <w:color w:val="auto"/>
                <w:kern w:val="0"/>
                <w:sz w:val="24"/>
                <w:highlight w:val="none"/>
              </w:rPr>
              <w:t>生态专项评价判定：</w:t>
            </w:r>
            <w:r>
              <w:rPr>
                <w:rFonts w:hint="default" w:ascii="Times New Roman" w:hAnsi="Times New Roman" w:cs="Times New Roman"/>
                <w:color w:val="auto"/>
                <w:kern w:val="0"/>
                <w:sz w:val="24"/>
                <w:highlight w:val="none"/>
              </w:rPr>
              <w:t>涉及环境敏感区（不包括饮用水水源保护区，以居住、医疗卫生、文化教育、科研、行政办公为主要功能的区域，以及文物保护单位）的项目需要设置生态专项评价。本项目工程区位于</w:t>
            </w:r>
            <w:r>
              <w:rPr>
                <w:rFonts w:hint="default" w:ascii="Times New Roman" w:hAnsi="Times New Roman" w:cs="Times New Roman"/>
                <w:color w:val="auto"/>
                <w:highlight w:val="none"/>
                <w:lang w:val="en-US" w:eastAsia="zh-CN"/>
              </w:rPr>
              <w:t>胡家镇</w:t>
            </w:r>
            <w:r>
              <w:rPr>
                <w:rFonts w:hint="default" w:ascii="Times New Roman" w:hAnsi="Times New Roman" w:cs="Times New Roman"/>
                <w:color w:val="auto"/>
                <w:kern w:val="0"/>
                <w:sz w:val="24"/>
                <w:highlight w:val="none"/>
              </w:rPr>
              <w:t>，工程河段</w:t>
            </w:r>
            <w:r>
              <w:rPr>
                <w:rFonts w:hint="default" w:ascii="Times New Roman" w:hAnsi="Times New Roman" w:cs="Times New Roman"/>
                <w:color w:val="auto"/>
                <w:kern w:val="0"/>
                <w:sz w:val="24"/>
                <w:highlight w:val="none"/>
                <w:lang w:val="en-US" w:eastAsia="zh-CN"/>
              </w:rPr>
              <w:t>胡家河、油坊沟</w:t>
            </w:r>
            <w:r>
              <w:rPr>
                <w:rFonts w:hint="default" w:ascii="Times New Roman" w:hAnsi="Times New Roman" w:cs="Times New Roman"/>
                <w:color w:val="auto"/>
                <w:kern w:val="0"/>
                <w:sz w:val="24"/>
                <w:highlight w:val="none"/>
              </w:rPr>
              <w:t>均不涉及环境敏感区，依此判定，</w:t>
            </w:r>
            <w:r>
              <w:rPr>
                <w:rFonts w:hint="default" w:ascii="Times New Roman" w:hAnsi="Times New Roman" w:cs="Times New Roman"/>
                <w:b w:val="0"/>
                <w:bCs w:val="0"/>
                <w:color w:val="auto"/>
                <w:kern w:val="0"/>
                <w:sz w:val="24"/>
                <w:highlight w:val="none"/>
              </w:rPr>
              <w:t>本项目不设置生态专项评价。</w:t>
            </w:r>
          </w:p>
          <w:p>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其他环境要素专项评价判定：对照《建设项目环境影响报告编制技术指南（生态影响类）》中表1判断，本项目不属于需要设置地下水、大气、噪声、环境风险专项评价的项目。</w:t>
            </w:r>
          </w:p>
          <w:p>
            <w:pPr>
              <w:numPr>
                <w:ilvl w:val="0"/>
                <w:numId w:val="1"/>
              </w:numPr>
              <w:bidi w:val="0"/>
              <w:rPr>
                <w:rFonts w:hint="default" w:ascii="Times New Roman" w:hAnsi="Times New Roman" w:cs="Times New Roman"/>
                <w:color w:val="auto"/>
                <w:highlight w:val="none"/>
                <w:lang w:val="en-US" w:eastAsia="zh-CN"/>
              </w:rPr>
            </w:pPr>
            <w:r>
              <w:rPr>
                <w:rFonts w:hint="default" w:ascii="Times New Roman" w:hAnsi="Times New Roman" w:cs="Times New Roman"/>
                <w:b/>
                <w:bCs/>
                <w:color w:val="auto"/>
                <w:highlight w:val="none"/>
              </w:rPr>
              <w:t>地表水专项评价判定：</w:t>
            </w:r>
            <w:r>
              <w:rPr>
                <w:rFonts w:hint="default" w:ascii="Times New Roman" w:hAnsi="Times New Roman" w:cs="Times New Roman"/>
                <w:color w:val="auto"/>
                <w:highlight w:val="none"/>
              </w:rPr>
              <w:t>防洪除涝工程中，涉及水库的项目需要编制地表水专项评价</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本项目属于防洪除涝工程，工程建设内容不含水库；依此判定，本项目</w:t>
            </w:r>
            <w:r>
              <w:rPr>
                <w:rFonts w:hint="default" w:ascii="Times New Roman" w:hAnsi="Times New Roman" w:cs="Times New Roman"/>
                <w:color w:val="auto"/>
                <w:highlight w:val="none"/>
                <w:lang w:val="en-US" w:eastAsia="zh-CN"/>
              </w:rPr>
              <w:t>不设置地表水专项。</w:t>
            </w:r>
          </w:p>
          <w:p>
            <w:pPr>
              <w:bidi w:val="0"/>
              <w:rPr>
                <w:rFonts w:hint="default" w:ascii="Times New Roman" w:hAnsi="Times New Roman" w:cs="Times New Roman"/>
                <w:bCs/>
                <w:color w:val="auto"/>
                <w:highlight w:val="none"/>
              </w:rPr>
            </w:pPr>
            <w:r>
              <w:rPr>
                <w:rFonts w:hint="default" w:ascii="Times New Roman" w:hAnsi="Times New Roman" w:cs="Times New Roman"/>
                <w:b/>
                <w:bCs w:val="0"/>
                <w:color w:val="auto"/>
                <w:highlight w:val="none"/>
                <w:lang w:val="en-US" w:eastAsia="zh-CN"/>
              </w:rPr>
              <w:t>3、</w:t>
            </w:r>
            <w:r>
              <w:rPr>
                <w:rFonts w:hint="default" w:ascii="Times New Roman" w:hAnsi="Times New Roman" w:cs="Times New Roman"/>
                <w:b/>
                <w:bCs w:val="0"/>
                <w:color w:val="auto"/>
                <w:highlight w:val="none"/>
              </w:rPr>
              <w:t>地下水</w:t>
            </w:r>
            <w:r>
              <w:rPr>
                <w:rFonts w:hint="default" w:ascii="Times New Roman" w:hAnsi="Times New Roman" w:cs="Times New Roman"/>
                <w:b/>
                <w:color w:val="auto"/>
                <w:kern w:val="0"/>
                <w:sz w:val="24"/>
                <w:highlight w:val="none"/>
              </w:rPr>
              <w:t>专项评价判定：</w:t>
            </w:r>
            <w:r>
              <w:rPr>
                <w:rFonts w:hint="default" w:ascii="Times New Roman" w:hAnsi="Times New Roman" w:cs="Times New Roman"/>
                <w:bCs/>
                <w:color w:val="auto"/>
                <w:highlight w:val="none"/>
              </w:rPr>
              <w:t>本项目不属于陆地石油、天然气开采、地下水（含矿泉水）开采、水利水电交通等涉及穿越可溶岩地层隧道的项目，因此</w:t>
            </w:r>
            <w:r>
              <w:rPr>
                <w:rFonts w:hint="default" w:ascii="Times New Roman" w:hAnsi="Times New Roman" w:cs="Times New Roman"/>
                <w:b w:val="0"/>
                <w:bCs/>
                <w:color w:val="auto"/>
                <w:highlight w:val="none"/>
                <w:lang w:val="en-US" w:eastAsia="zh-CN"/>
              </w:rPr>
              <w:t>本项目</w:t>
            </w:r>
            <w:r>
              <w:rPr>
                <w:rFonts w:hint="default" w:ascii="Times New Roman" w:hAnsi="Times New Roman" w:cs="Times New Roman"/>
                <w:b w:val="0"/>
                <w:bCs/>
                <w:color w:val="auto"/>
                <w:highlight w:val="none"/>
              </w:rPr>
              <w:t>不设置地下水专项。</w:t>
            </w:r>
          </w:p>
          <w:p>
            <w:pPr>
              <w:bidi w:val="0"/>
              <w:rPr>
                <w:rFonts w:hint="default" w:ascii="Times New Roman" w:hAnsi="Times New Roman" w:cs="Times New Roman"/>
                <w:b w:val="0"/>
                <w:bCs/>
                <w:color w:val="auto"/>
                <w:highlight w:val="none"/>
              </w:rPr>
            </w:pPr>
            <w:r>
              <w:rPr>
                <w:rFonts w:hint="default" w:ascii="Times New Roman" w:hAnsi="Times New Roman" w:cs="Times New Roman"/>
                <w:b/>
                <w:bCs w:val="0"/>
                <w:color w:val="auto"/>
                <w:highlight w:val="none"/>
                <w:lang w:val="en-US" w:eastAsia="zh-CN"/>
              </w:rPr>
              <w:t>4、</w:t>
            </w:r>
            <w:r>
              <w:rPr>
                <w:rFonts w:hint="default" w:ascii="Times New Roman" w:hAnsi="Times New Roman" w:cs="Times New Roman"/>
                <w:b/>
                <w:bCs w:val="0"/>
                <w:color w:val="auto"/>
                <w:highlight w:val="none"/>
              </w:rPr>
              <w:t>大气</w:t>
            </w:r>
            <w:r>
              <w:rPr>
                <w:rFonts w:hint="default" w:ascii="Times New Roman" w:hAnsi="Times New Roman" w:cs="Times New Roman"/>
                <w:b/>
                <w:bCs w:val="0"/>
                <w:color w:val="auto"/>
                <w:kern w:val="0"/>
                <w:sz w:val="24"/>
                <w:highlight w:val="none"/>
              </w:rPr>
              <w:t>专项评</w:t>
            </w:r>
            <w:r>
              <w:rPr>
                <w:rFonts w:hint="default" w:ascii="Times New Roman" w:hAnsi="Times New Roman" w:cs="Times New Roman"/>
                <w:b/>
                <w:color w:val="auto"/>
                <w:kern w:val="0"/>
                <w:sz w:val="24"/>
                <w:highlight w:val="none"/>
              </w:rPr>
              <w:t>价判定</w:t>
            </w:r>
            <w:r>
              <w:rPr>
                <w:rFonts w:hint="default" w:ascii="Times New Roman" w:hAnsi="Times New Roman" w:cs="Times New Roman"/>
                <w:bCs/>
                <w:color w:val="auto"/>
                <w:highlight w:val="none"/>
              </w:rPr>
              <w:t>：本项目不属于油气、液体化工码头、干散货（含煤炭、矿石）件杂、多用途、通用码头，因此</w:t>
            </w:r>
            <w:r>
              <w:rPr>
                <w:rFonts w:hint="default" w:ascii="Times New Roman" w:hAnsi="Times New Roman" w:cs="Times New Roman"/>
                <w:b w:val="0"/>
                <w:bCs/>
                <w:color w:val="auto"/>
                <w:highlight w:val="none"/>
                <w:lang w:val="en-US" w:eastAsia="zh-CN"/>
              </w:rPr>
              <w:t>本项目</w:t>
            </w:r>
            <w:r>
              <w:rPr>
                <w:rFonts w:hint="default" w:ascii="Times New Roman" w:hAnsi="Times New Roman" w:cs="Times New Roman"/>
                <w:b w:val="0"/>
                <w:bCs/>
                <w:color w:val="auto"/>
                <w:highlight w:val="none"/>
              </w:rPr>
              <w:t>不设置大气专项。</w:t>
            </w:r>
          </w:p>
          <w:p>
            <w:pPr>
              <w:bidi w:val="0"/>
              <w:rPr>
                <w:rFonts w:hint="default" w:ascii="Times New Roman" w:hAnsi="Times New Roman" w:cs="Times New Roman"/>
                <w:b w:val="0"/>
                <w:bCs/>
                <w:color w:val="auto"/>
                <w:highlight w:val="none"/>
              </w:rPr>
            </w:pPr>
            <w:r>
              <w:rPr>
                <w:rFonts w:hint="default" w:ascii="Times New Roman" w:hAnsi="Times New Roman" w:cs="Times New Roman"/>
                <w:b/>
                <w:bCs w:val="0"/>
                <w:color w:val="auto"/>
                <w:highlight w:val="none"/>
                <w:lang w:val="en-US" w:eastAsia="zh-CN"/>
              </w:rPr>
              <w:t>5</w:t>
            </w:r>
            <w:r>
              <w:rPr>
                <w:rFonts w:hint="default" w:ascii="Times New Roman" w:hAnsi="Times New Roman" w:cs="Times New Roman"/>
                <w:b/>
                <w:bCs w:val="0"/>
                <w:color w:val="auto"/>
                <w:highlight w:val="none"/>
              </w:rPr>
              <w:t>、噪声</w:t>
            </w:r>
            <w:r>
              <w:rPr>
                <w:rFonts w:hint="default" w:ascii="Times New Roman" w:hAnsi="Times New Roman" w:cs="Times New Roman"/>
                <w:b/>
                <w:bCs w:val="0"/>
                <w:color w:val="auto"/>
                <w:kern w:val="0"/>
                <w:sz w:val="24"/>
                <w:highlight w:val="none"/>
              </w:rPr>
              <w:t>专项</w:t>
            </w:r>
            <w:r>
              <w:rPr>
                <w:rFonts w:hint="default" w:ascii="Times New Roman" w:hAnsi="Times New Roman" w:cs="Times New Roman"/>
                <w:b/>
                <w:color w:val="auto"/>
                <w:kern w:val="0"/>
                <w:sz w:val="24"/>
                <w:highlight w:val="none"/>
              </w:rPr>
              <w:t>评价判定</w:t>
            </w:r>
            <w:r>
              <w:rPr>
                <w:rFonts w:hint="default" w:ascii="Times New Roman" w:hAnsi="Times New Roman" w:cs="Times New Roman"/>
                <w:bCs/>
                <w:color w:val="auto"/>
                <w:highlight w:val="none"/>
              </w:rPr>
              <w:t>：本项目不属于公路、铁路、机场等交通运输业设计环境敏感区项目，不属于城市道路项目，因此</w:t>
            </w:r>
            <w:r>
              <w:rPr>
                <w:rFonts w:hint="default" w:ascii="Times New Roman" w:hAnsi="Times New Roman" w:cs="Times New Roman"/>
                <w:b w:val="0"/>
                <w:bCs/>
                <w:color w:val="auto"/>
                <w:highlight w:val="none"/>
                <w:lang w:val="en-US" w:eastAsia="zh-CN"/>
              </w:rPr>
              <w:t>本项目</w:t>
            </w:r>
            <w:r>
              <w:rPr>
                <w:rFonts w:hint="default" w:ascii="Times New Roman" w:hAnsi="Times New Roman" w:cs="Times New Roman"/>
                <w:b w:val="0"/>
                <w:bCs/>
                <w:color w:val="auto"/>
                <w:highlight w:val="none"/>
              </w:rPr>
              <w:t>不设置噪声专项。</w:t>
            </w:r>
          </w:p>
          <w:p>
            <w:pPr>
              <w:bidi w:val="0"/>
              <w:rPr>
                <w:rFonts w:hint="default" w:ascii="Times New Roman" w:hAnsi="Times New Roman" w:cs="Times New Roman"/>
                <w:b w:val="0"/>
                <w:bCs w:val="0"/>
                <w:color w:val="auto"/>
                <w:highlight w:val="none"/>
              </w:rPr>
            </w:pPr>
            <w:r>
              <w:rPr>
                <w:rFonts w:hint="default" w:ascii="Times New Roman" w:hAnsi="Times New Roman" w:cs="Times New Roman"/>
                <w:b/>
                <w:bCs w:val="0"/>
                <w:color w:val="auto"/>
                <w:highlight w:val="none"/>
                <w:lang w:val="en-US" w:eastAsia="zh-CN"/>
              </w:rPr>
              <w:t>6</w:t>
            </w:r>
            <w:r>
              <w:rPr>
                <w:rFonts w:hint="default" w:ascii="Times New Roman" w:hAnsi="Times New Roman" w:cs="Times New Roman"/>
                <w:b/>
                <w:bCs w:val="0"/>
                <w:color w:val="auto"/>
                <w:highlight w:val="none"/>
              </w:rPr>
              <w:t>、环境风险</w:t>
            </w:r>
            <w:r>
              <w:rPr>
                <w:rFonts w:hint="default" w:ascii="Times New Roman" w:hAnsi="Times New Roman" w:cs="Times New Roman"/>
                <w:b/>
                <w:color w:val="auto"/>
                <w:kern w:val="0"/>
                <w:sz w:val="24"/>
                <w:highlight w:val="none"/>
              </w:rPr>
              <w:t>专项评价判定</w:t>
            </w:r>
            <w:r>
              <w:rPr>
                <w:rFonts w:hint="default" w:ascii="Times New Roman" w:hAnsi="Times New Roman" w:cs="Times New Roman"/>
                <w:bCs/>
                <w:color w:val="auto"/>
                <w:highlight w:val="none"/>
              </w:rPr>
              <w:t>：本项目不属于石油和天然气开采、油气、液体化工</w:t>
            </w:r>
            <w:r>
              <w:rPr>
                <w:rFonts w:hint="default" w:ascii="Times New Roman" w:hAnsi="Times New Roman" w:cs="Times New Roman"/>
                <w:color w:val="auto"/>
                <w:highlight w:val="none"/>
              </w:rPr>
              <w:t>码头、原油、成品油、天然气管线、危险化学品输送管线，因此</w:t>
            </w:r>
            <w:r>
              <w:rPr>
                <w:rFonts w:hint="default" w:ascii="Times New Roman" w:hAnsi="Times New Roman" w:cs="Times New Roman"/>
                <w:b w:val="0"/>
                <w:bCs w:val="0"/>
                <w:color w:val="auto"/>
                <w:highlight w:val="none"/>
                <w:lang w:val="en-US" w:eastAsia="zh-CN"/>
              </w:rPr>
              <w:t>本项目</w:t>
            </w:r>
            <w:r>
              <w:rPr>
                <w:rFonts w:hint="default" w:ascii="Times New Roman" w:hAnsi="Times New Roman" w:cs="Times New Roman"/>
                <w:b w:val="0"/>
                <w:bCs w:val="0"/>
                <w:color w:val="auto"/>
                <w:highlight w:val="none"/>
              </w:rPr>
              <w:t>不设置环境风险专项。</w:t>
            </w:r>
          </w:p>
          <w:p>
            <w:pPr>
              <w:keepNext w:val="0"/>
              <w:keepLines w:val="0"/>
              <w:suppressLineNumbers w:val="0"/>
              <w:spacing w:before="0" w:beforeAutospacing="0" w:after="0" w:afterAutospacing="0"/>
              <w:ind w:left="0" w:right="0"/>
              <w:rPr>
                <w:rFonts w:hint="default" w:ascii="Times New Roman" w:hAnsi="Times New Roman" w:eastAsia="宋体" w:cs="Times New Roman"/>
                <w:bCs/>
                <w:color w:val="auto"/>
                <w:highlight w:val="none"/>
                <w:lang w:val="en-US" w:eastAsia="zh-CN"/>
              </w:rPr>
            </w:pPr>
            <w:r>
              <w:rPr>
                <w:rFonts w:hint="default" w:ascii="Times New Roman" w:hAnsi="Times New Roman" w:cs="Times New Roman"/>
                <w:b/>
                <w:bCs/>
                <w:color w:val="auto"/>
                <w:highlight w:val="none"/>
              </w:rPr>
              <w:t>综上分析，本项目不设置专项评价。</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737" w:hRule="atLeast"/>
          <w:jc w:val="center"/>
        </w:trPr>
        <w:tc>
          <w:tcPr>
            <w:tcW w:w="1107" w:type="dxa"/>
            <w:gridSpan w:val="2"/>
            <w:tcBorders>
              <w:tl2br w:val="nil"/>
              <w:tr2bl w:val="nil"/>
            </w:tcBorders>
            <w:noWrap w:val="0"/>
            <w:tcMar>
              <w:top w:w="16" w:type="dxa"/>
              <w:left w:w="16" w:type="dxa"/>
              <w:bottom w:w="0" w:type="dxa"/>
              <w:right w:w="16" w:type="dxa"/>
            </w:tcMar>
            <w:vAlign w:val="center"/>
          </w:tcPr>
          <w:p>
            <w:pPr>
              <w:keepNext w:val="0"/>
              <w:keepLines w:val="0"/>
              <w:suppressLineNumbers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
                <w:color w:val="auto"/>
                <w:highlight w:val="none"/>
              </w:rPr>
            </w:pPr>
            <w:r>
              <w:rPr>
                <w:rFonts w:hint="default" w:ascii="Times New Roman" w:hAnsi="Times New Roman" w:eastAsia="宋体" w:cs="Times New Roman"/>
                <w:b/>
                <w:color w:val="auto"/>
                <w:highlight w:val="none"/>
              </w:rPr>
              <w:t>规划情况</w:t>
            </w:r>
          </w:p>
        </w:tc>
        <w:tc>
          <w:tcPr>
            <w:tcW w:w="8095" w:type="dxa"/>
            <w:gridSpan w:val="3"/>
            <w:tcBorders>
              <w:tl2br w:val="nil"/>
              <w:tr2bl w:val="nil"/>
            </w:tcBorders>
            <w:noWrap w:val="0"/>
            <w:tcMar>
              <w:top w:w="16" w:type="dxa"/>
              <w:left w:w="16" w:type="dxa"/>
              <w:bottom w:w="0" w:type="dxa"/>
              <w:right w:w="16" w:type="dxa"/>
            </w:tcMar>
            <w:vAlign w:val="center"/>
          </w:tcPr>
          <w:p>
            <w:pPr>
              <w:bidi w:val="0"/>
              <w:ind w:left="0" w:leftChars="0" w:firstLine="0" w:firstLineChars="0"/>
              <w:jc w:val="center"/>
              <w:rPr>
                <w:rFonts w:hint="default" w:ascii="Times New Roman" w:hAnsi="Times New Roman" w:eastAsia="宋体" w:cs="Times New Roman"/>
                <w:b w:val="0"/>
                <w:bCs/>
                <w:color w:val="auto"/>
                <w:highlight w:val="none"/>
                <w:lang w:val="en-US" w:eastAsia="zh-CN"/>
              </w:rPr>
            </w:pPr>
            <w:r>
              <w:rPr>
                <w:rFonts w:hint="default" w:ascii="Times New Roman" w:hAnsi="Times New Roman" w:eastAsia="宋体" w:cs="Times New Roman"/>
                <w:b w:val="0"/>
                <w:bCs/>
                <w:color w:val="auto"/>
                <w:highlight w:val="none"/>
                <w:lang w:val="en-US" w:eastAsia="zh-CN"/>
              </w:rPr>
              <w:t>《渠江流域防洪规划》</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737" w:hRule="atLeast"/>
          <w:jc w:val="center"/>
        </w:trPr>
        <w:tc>
          <w:tcPr>
            <w:tcW w:w="1107" w:type="dxa"/>
            <w:gridSpan w:val="2"/>
            <w:tcBorders>
              <w:tl2br w:val="nil"/>
              <w:tr2bl w:val="nil"/>
            </w:tcBorders>
            <w:noWrap w:val="0"/>
            <w:tcMar>
              <w:top w:w="16" w:type="dxa"/>
              <w:left w:w="16" w:type="dxa"/>
              <w:bottom w:w="0" w:type="dxa"/>
              <w:right w:w="16" w:type="dxa"/>
            </w:tcMar>
            <w:vAlign w:val="center"/>
          </w:tcPr>
          <w:p>
            <w:pPr>
              <w:keepNext w:val="0"/>
              <w:keepLines w:val="0"/>
              <w:suppressLineNumbers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
                <w:color w:val="auto"/>
                <w:highlight w:val="none"/>
              </w:rPr>
            </w:pPr>
            <w:r>
              <w:rPr>
                <w:rFonts w:hint="default" w:ascii="Times New Roman" w:hAnsi="Times New Roman" w:eastAsia="宋体" w:cs="Times New Roman"/>
                <w:b/>
                <w:color w:val="auto"/>
                <w:highlight w:val="none"/>
              </w:rPr>
              <w:t>规划环境影响</w:t>
            </w:r>
          </w:p>
          <w:p>
            <w:pPr>
              <w:keepNext w:val="0"/>
              <w:keepLines w:val="0"/>
              <w:suppressLineNumbers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
                <w:color w:val="auto"/>
                <w:highlight w:val="none"/>
              </w:rPr>
            </w:pPr>
            <w:r>
              <w:rPr>
                <w:rFonts w:hint="default" w:ascii="Times New Roman" w:hAnsi="Times New Roman" w:eastAsia="宋体" w:cs="Times New Roman"/>
                <w:b/>
                <w:color w:val="auto"/>
                <w:highlight w:val="none"/>
              </w:rPr>
              <w:t>评价情况</w:t>
            </w:r>
          </w:p>
        </w:tc>
        <w:tc>
          <w:tcPr>
            <w:tcW w:w="8095" w:type="dxa"/>
            <w:gridSpan w:val="3"/>
            <w:tcBorders>
              <w:tl2br w:val="nil"/>
              <w:tr2bl w:val="nil"/>
            </w:tcBorders>
            <w:noWrap w:val="0"/>
            <w:tcMar>
              <w:top w:w="16" w:type="dxa"/>
              <w:left w:w="16" w:type="dxa"/>
              <w:bottom w:w="0" w:type="dxa"/>
              <w:right w:w="16" w:type="dxa"/>
            </w:tcMar>
            <w:vAlign w:val="center"/>
          </w:tcPr>
          <w:p>
            <w:pPr>
              <w:keepNext w:val="0"/>
              <w:keepLines w:val="0"/>
              <w:suppressLineNumbers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 w:val="0"/>
                <w:bCs/>
                <w:color w:val="auto"/>
                <w:highlight w:val="none"/>
              </w:rPr>
            </w:pPr>
            <w:r>
              <w:rPr>
                <w:rFonts w:hint="default" w:ascii="Times New Roman" w:hAnsi="Times New Roman" w:eastAsia="宋体" w:cs="Times New Roman"/>
                <w:b w:val="0"/>
                <w:bCs/>
                <w:color w:val="auto"/>
                <w:highlight w:val="none"/>
              </w:rPr>
              <w:t>无</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737" w:hRule="atLeast"/>
          <w:jc w:val="center"/>
        </w:trPr>
        <w:tc>
          <w:tcPr>
            <w:tcW w:w="1107" w:type="dxa"/>
            <w:gridSpan w:val="2"/>
            <w:tcBorders>
              <w:tl2br w:val="nil"/>
              <w:tr2bl w:val="nil"/>
            </w:tcBorders>
            <w:noWrap w:val="0"/>
            <w:tcMar>
              <w:top w:w="16" w:type="dxa"/>
              <w:left w:w="16" w:type="dxa"/>
              <w:bottom w:w="0" w:type="dxa"/>
              <w:right w:w="16" w:type="dxa"/>
            </w:tcMar>
            <w:vAlign w:val="center"/>
          </w:tcPr>
          <w:p>
            <w:pPr>
              <w:keepNext w:val="0"/>
              <w:keepLines w:val="0"/>
              <w:suppressLineNumbers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
                <w:color w:val="auto"/>
                <w:highlight w:val="none"/>
              </w:rPr>
            </w:pPr>
            <w:r>
              <w:rPr>
                <w:rFonts w:hint="default" w:ascii="Times New Roman" w:hAnsi="Times New Roman" w:eastAsia="宋体" w:cs="Times New Roman"/>
                <w:b/>
                <w:color w:val="auto"/>
                <w:highlight w:val="none"/>
              </w:rPr>
              <w:t>规划及规划环境</w:t>
            </w:r>
          </w:p>
          <w:p>
            <w:pPr>
              <w:keepNext w:val="0"/>
              <w:keepLines w:val="0"/>
              <w:suppressLineNumbers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
                <w:color w:val="auto"/>
                <w:highlight w:val="none"/>
              </w:rPr>
            </w:pPr>
            <w:r>
              <w:rPr>
                <w:rFonts w:hint="default" w:ascii="Times New Roman" w:hAnsi="Times New Roman" w:eastAsia="宋体" w:cs="Times New Roman"/>
                <w:b/>
                <w:color w:val="auto"/>
                <w:highlight w:val="none"/>
              </w:rPr>
              <w:t>影响评价符合性分析</w:t>
            </w:r>
          </w:p>
        </w:tc>
        <w:tc>
          <w:tcPr>
            <w:tcW w:w="8095" w:type="dxa"/>
            <w:gridSpan w:val="3"/>
            <w:tcBorders>
              <w:tl2br w:val="nil"/>
              <w:tr2bl w:val="nil"/>
            </w:tcBorders>
            <w:noWrap w:val="0"/>
            <w:tcMar>
              <w:top w:w="16" w:type="dxa"/>
              <w:left w:w="16" w:type="dxa"/>
              <w:bottom w:w="0" w:type="dxa"/>
              <w:right w:w="16" w:type="dxa"/>
            </w:tcMar>
            <w:vAlign w:val="center"/>
          </w:tcPr>
          <w:p>
            <w:pPr>
              <w:keepNext w:val="0"/>
              <w:keepLines w:val="0"/>
              <w:suppressLineNumbers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 w:val="0"/>
                <w:bCs/>
                <w:color w:val="auto"/>
                <w:highlight w:val="none"/>
                <w:lang w:val="en-US" w:eastAsia="zh-CN"/>
              </w:rPr>
            </w:pPr>
            <w:r>
              <w:rPr>
                <w:rFonts w:hint="default" w:ascii="Times New Roman" w:hAnsi="Times New Roman" w:eastAsia="宋体" w:cs="Times New Roman"/>
                <w:b w:val="0"/>
                <w:bCs/>
                <w:color w:val="auto"/>
                <w:highlight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737" w:hRule="atLeast"/>
          <w:jc w:val="center"/>
        </w:trPr>
        <w:tc>
          <w:tcPr>
            <w:tcW w:w="450" w:type="dxa"/>
            <w:tcBorders>
              <w:tl2br w:val="nil"/>
              <w:tr2bl w:val="nil"/>
            </w:tcBorders>
            <w:noWrap w:val="0"/>
            <w:tcMar>
              <w:top w:w="16" w:type="dxa"/>
              <w:left w:w="16" w:type="dxa"/>
              <w:bottom w:w="0" w:type="dxa"/>
              <w:right w:w="16" w:type="dxa"/>
            </w:tcMar>
            <w:vAlign w:val="center"/>
          </w:tcPr>
          <w:p>
            <w:pPr>
              <w:keepNext w:val="0"/>
              <w:keepLines w:val="0"/>
              <w:suppressLineNumbers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
                <w:color w:val="auto"/>
                <w:highlight w:val="none"/>
                <w:lang w:val="en-US" w:eastAsia="zh-CN"/>
              </w:rPr>
            </w:pPr>
            <w:r>
              <w:rPr>
                <w:rFonts w:hint="default" w:ascii="Times New Roman" w:hAnsi="Times New Roman" w:eastAsia="宋体" w:cs="Times New Roman"/>
                <w:b w:val="0"/>
                <w:bCs/>
                <w:color w:val="auto"/>
                <w:highlight w:val="none"/>
                <w:lang w:val="en-US" w:eastAsia="zh-CN"/>
              </w:rPr>
              <w:t>其他符合性分析</w:t>
            </w:r>
          </w:p>
        </w:tc>
        <w:tc>
          <w:tcPr>
            <w:tcW w:w="8752" w:type="dxa"/>
            <w:gridSpan w:val="4"/>
            <w:tcBorders>
              <w:tl2br w:val="nil"/>
              <w:tr2bl w:val="nil"/>
            </w:tcBorders>
            <w:noWrap w:val="0"/>
            <w:tcMar>
              <w:top w:w="16" w:type="dxa"/>
              <w:left w:w="16" w:type="dxa"/>
              <w:bottom w:w="0" w:type="dxa"/>
              <w:right w:w="16" w:type="dxa"/>
            </w:tcMar>
            <w:vAlign w:val="center"/>
          </w:tcPr>
          <w:p>
            <w:pPr>
              <w:bidi w:val="0"/>
              <w:rPr>
                <w:rFonts w:hint="default" w:ascii="Times New Roman" w:hAnsi="Times New Roman" w:cs="Times New Roman"/>
                <w:b/>
                <w:bCs/>
                <w:color w:val="auto"/>
                <w:highlight w:val="none"/>
                <w:lang w:eastAsia="zh-CN"/>
              </w:rPr>
            </w:pPr>
            <w:r>
              <w:rPr>
                <w:rFonts w:hint="default" w:ascii="Times New Roman" w:hAnsi="Times New Roman" w:cs="Times New Roman"/>
                <w:b/>
                <w:bCs/>
                <w:color w:val="auto"/>
                <w:highlight w:val="none"/>
                <w:lang w:val="en-US" w:eastAsia="zh-CN"/>
              </w:rPr>
              <w:t>1</w:t>
            </w:r>
            <w:r>
              <w:rPr>
                <w:rFonts w:hint="default" w:ascii="Times New Roman" w:hAnsi="Times New Roman" w:cs="Times New Roman"/>
                <w:b/>
                <w:bCs/>
                <w:color w:val="auto"/>
                <w:highlight w:val="none"/>
                <w:lang w:eastAsia="zh-CN"/>
              </w:rPr>
              <w:t>、产业政策符合性分析</w:t>
            </w:r>
          </w:p>
          <w:p>
            <w:pPr>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本项目属于</w:t>
            </w:r>
            <w:r>
              <w:rPr>
                <w:rFonts w:hint="default" w:ascii="Times New Roman" w:hAnsi="Times New Roman" w:cs="Times New Roman"/>
                <w:color w:val="auto"/>
                <w:highlight w:val="none"/>
                <w:lang w:val="en-US" w:eastAsia="zh-CN"/>
              </w:rPr>
              <w:t>防洪除涝工程建设</w:t>
            </w:r>
            <w:r>
              <w:rPr>
                <w:rFonts w:hint="default" w:ascii="Times New Roman" w:hAnsi="Times New Roman" w:cs="Times New Roman"/>
                <w:color w:val="auto"/>
                <w:highlight w:val="none"/>
                <w:lang w:eastAsia="zh-CN"/>
              </w:rPr>
              <w:t>，符合《产业结构调整指导目录（20</w:t>
            </w:r>
            <w:r>
              <w:rPr>
                <w:rFonts w:hint="default" w:ascii="Times New Roman" w:hAnsi="Times New Roman" w:cs="Times New Roman"/>
                <w:color w:val="auto"/>
                <w:highlight w:val="none"/>
                <w:lang w:val="en-US" w:eastAsia="zh-CN"/>
              </w:rPr>
              <w:t>24</w:t>
            </w:r>
            <w:r>
              <w:rPr>
                <w:rFonts w:hint="default" w:ascii="Times New Roman" w:hAnsi="Times New Roman" w:cs="Times New Roman"/>
                <w:color w:val="auto"/>
                <w:highlight w:val="none"/>
                <w:lang w:eastAsia="zh-CN"/>
              </w:rPr>
              <w:t>年本）》第一类鼓励类中第二条第</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lang w:eastAsia="zh-CN"/>
              </w:rPr>
              <w:t>类中，江河</w:t>
            </w:r>
            <w:r>
              <w:rPr>
                <w:rFonts w:hint="default" w:ascii="Times New Roman" w:hAnsi="Times New Roman" w:cs="Times New Roman"/>
                <w:color w:val="auto"/>
                <w:highlight w:val="none"/>
                <w:lang w:val="en-US" w:eastAsia="zh-CN"/>
              </w:rPr>
              <w:t>湖海</w:t>
            </w:r>
            <w:r>
              <w:rPr>
                <w:rFonts w:hint="default" w:ascii="Times New Roman" w:hAnsi="Times New Roman" w:cs="Times New Roman"/>
                <w:color w:val="auto"/>
                <w:highlight w:val="none"/>
                <w:lang w:eastAsia="zh-CN"/>
              </w:rPr>
              <w:t>堤防建设及河道治理工程。同时本项目建设不属于国土资源部“关于发布实施《限制用地项目目录（2012年本）》和《禁止用地项目目录（2012年本）》的通知”（国土资发[2012]</w:t>
            </w: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lang w:eastAsia="zh-CN"/>
              </w:rPr>
              <w:t>98号）规定的项目，项目建设符合国家现行产业政策。</w:t>
            </w:r>
          </w:p>
          <w:p>
            <w:pPr>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本项目</w:t>
            </w:r>
            <w:r>
              <w:rPr>
                <w:rFonts w:hint="default" w:ascii="Times New Roman" w:hAnsi="Times New Roman" w:cs="Times New Roman"/>
                <w:color w:val="auto"/>
                <w:highlight w:val="none"/>
                <w:lang w:val="en-US" w:eastAsia="zh-CN"/>
              </w:rPr>
              <w:t>已于2024年1月9日</w:t>
            </w:r>
            <w:r>
              <w:rPr>
                <w:rFonts w:hint="default" w:ascii="Times New Roman" w:hAnsi="Times New Roman" w:cs="Times New Roman"/>
                <w:color w:val="auto"/>
                <w:highlight w:val="none"/>
                <w:lang w:eastAsia="zh-CN"/>
              </w:rPr>
              <w:t>取得了</w:t>
            </w:r>
            <w:r>
              <w:rPr>
                <w:rFonts w:hint="default" w:ascii="Times New Roman" w:hAnsi="Times New Roman" w:cs="Times New Roman"/>
                <w:color w:val="auto"/>
                <w:highlight w:val="none"/>
                <w:lang w:val="en-US" w:eastAsia="zh-CN"/>
              </w:rPr>
              <w:t>达州市水务局</w:t>
            </w:r>
            <w:r>
              <w:rPr>
                <w:rFonts w:hint="default" w:ascii="Times New Roman" w:hAnsi="Times New Roman" w:cs="Times New Roman"/>
                <w:color w:val="auto"/>
                <w:highlight w:val="none"/>
                <w:lang w:eastAsia="zh-CN"/>
              </w:rPr>
              <w:t>“关于宣汉县</w:t>
            </w:r>
            <w:r>
              <w:rPr>
                <w:rFonts w:hint="default" w:ascii="Times New Roman" w:hAnsi="Times New Roman" w:cs="Times New Roman"/>
                <w:color w:val="auto"/>
                <w:highlight w:val="none"/>
                <w:lang w:val="en-US" w:eastAsia="zh-CN"/>
              </w:rPr>
              <w:t>胡家镇胡家河山洪沟</w:t>
            </w:r>
            <w:r>
              <w:rPr>
                <w:rFonts w:hint="default" w:ascii="Times New Roman" w:hAnsi="Times New Roman" w:cs="Times New Roman"/>
                <w:color w:val="auto"/>
                <w:highlight w:val="none"/>
                <w:lang w:eastAsia="zh-CN"/>
              </w:rPr>
              <w:t>防洪治理工程</w:t>
            </w:r>
            <w:r>
              <w:rPr>
                <w:rFonts w:hint="default" w:ascii="Times New Roman" w:hAnsi="Times New Roman" w:cs="Times New Roman"/>
                <w:color w:val="auto"/>
                <w:highlight w:val="none"/>
                <w:lang w:val="en-US" w:eastAsia="zh-CN"/>
              </w:rPr>
              <w:t>初步设计</w:t>
            </w:r>
            <w:r>
              <w:rPr>
                <w:rFonts w:hint="default" w:ascii="Times New Roman" w:hAnsi="Times New Roman" w:cs="Times New Roman"/>
                <w:color w:val="auto"/>
                <w:highlight w:val="none"/>
                <w:lang w:eastAsia="zh-CN"/>
              </w:rPr>
              <w:t>的批复”（</w:t>
            </w:r>
            <w:r>
              <w:rPr>
                <w:rFonts w:hint="default" w:ascii="Times New Roman" w:hAnsi="Times New Roman" w:cs="Times New Roman"/>
                <w:color w:val="auto"/>
                <w:highlight w:val="none"/>
                <w:lang w:val="en-US" w:eastAsia="zh-CN"/>
              </w:rPr>
              <w:t>达市水审函[2024]4号</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详见附件1</w:t>
            </w:r>
            <w:r>
              <w:rPr>
                <w:rFonts w:hint="default" w:ascii="Times New Roman" w:hAnsi="Times New Roman" w:cs="Times New Roman"/>
                <w:color w:val="auto"/>
                <w:highlight w:val="none"/>
                <w:lang w:eastAsia="zh-CN"/>
              </w:rPr>
              <w:t>）。</w:t>
            </w:r>
          </w:p>
          <w:p>
            <w:pPr>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综上，本项目符合相关法律法规和政策规定，符合国家及地方现行产业政策。</w:t>
            </w:r>
          </w:p>
          <w:p>
            <w:pPr>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lang w:val="en-US" w:eastAsia="zh-CN"/>
              </w:rPr>
              <w:t>2、与当地方防洪规划符合性分析</w:t>
            </w:r>
          </w:p>
          <w:p>
            <w:pPr>
              <w:keepNext w:val="0"/>
              <w:keepLines w:val="0"/>
              <w:suppressLineNumbers w:val="0"/>
              <w:spacing w:before="0" w:beforeAutospacing="0" w:after="0" w:afterAutospacing="0"/>
              <w:ind w:left="0" w:right="0" w:firstLine="48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本项目工程位于胡家镇境内，</w:t>
            </w:r>
            <w:r>
              <w:rPr>
                <w:rFonts w:hint="default" w:ascii="Times New Roman" w:hAnsi="Times New Roman" w:cs="Times New Roman"/>
                <w:color w:val="auto"/>
                <w:highlight w:val="none"/>
              </w:rPr>
              <w:t>工程河段岸线为天然河岸，质量较差，破损、垮塌严重，防洪能力较弱</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容易造成水土流失</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临河侧房屋</w:t>
            </w:r>
            <w:r>
              <w:rPr>
                <w:rFonts w:hint="default" w:ascii="Times New Roman" w:hAnsi="Times New Roman" w:cs="Times New Roman"/>
                <w:color w:val="auto"/>
                <w:highlight w:val="none"/>
                <w:lang w:val="en-US" w:eastAsia="zh-CN"/>
              </w:rPr>
              <w:t>和耕地</w:t>
            </w:r>
            <w:r>
              <w:rPr>
                <w:rFonts w:hint="default" w:ascii="Times New Roman" w:hAnsi="Times New Roman" w:cs="Times New Roman"/>
                <w:color w:val="auto"/>
                <w:highlight w:val="none"/>
              </w:rPr>
              <w:t>受到洪水威胁</w:t>
            </w:r>
            <w:r>
              <w:rPr>
                <w:rFonts w:hint="default" w:ascii="Times New Roman" w:hAnsi="Times New Roman" w:cs="Times New Roman"/>
                <w:color w:val="auto"/>
                <w:highlight w:val="none"/>
                <w:lang w:val="en-US" w:eastAsia="zh-CN"/>
              </w:rPr>
              <w:t>，制约着该地区经济的发展</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根据《渠江流域防洪规划》和防护区地理分布及社会经济发展状况，县级城镇防洪标准按10年一遇，本项目</w:t>
            </w:r>
            <w:r>
              <w:rPr>
                <w:rFonts w:hint="default" w:ascii="Times New Roman" w:hAnsi="Times New Roman" w:cs="Times New Roman"/>
                <w:color w:val="auto"/>
                <w:highlight w:val="none"/>
              </w:rPr>
              <w:t>依照防洪法和防洪标准</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防洪设计标准按10年(P＝10%)一遇</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与场镇防洪标准一致，满足</w:t>
            </w:r>
            <w:r>
              <w:rPr>
                <w:rFonts w:hint="default" w:ascii="Times New Roman" w:hAnsi="Times New Roman" w:cs="Times New Roman"/>
                <w:color w:val="auto"/>
                <w:highlight w:val="none"/>
              </w:rPr>
              <w:t>四川省宣汉县各乡镇规划的要求</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结合</w:t>
            </w:r>
            <w:r>
              <w:rPr>
                <w:rFonts w:hint="default" w:ascii="Times New Roman" w:hAnsi="Times New Roman" w:cs="Times New Roman"/>
                <w:color w:val="auto"/>
                <w:highlight w:val="none"/>
                <w:lang w:val="en-US" w:eastAsia="zh-CN"/>
              </w:rPr>
              <w:t>胡家</w:t>
            </w:r>
            <w:r>
              <w:rPr>
                <w:rFonts w:hint="default" w:ascii="Times New Roman" w:hAnsi="Times New Roman" w:cs="Times New Roman"/>
                <w:color w:val="auto"/>
                <w:highlight w:val="none"/>
              </w:rPr>
              <w:t>河的水情特点和</w:t>
            </w:r>
            <w:r>
              <w:rPr>
                <w:rFonts w:hint="default" w:ascii="Times New Roman" w:hAnsi="Times New Roman" w:cs="Times New Roman"/>
                <w:color w:val="auto"/>
                <w:highlight w:val="none"/>
                <w:lang w:val="en-US" w:eastAsia="zh-CN"/>
              </w:rPr>
              <w:t>胡家场镇</w:t>
            </w:r>
            <w:r>
              <w:rPr>
                <w:rFonts w:hint="default" w:ascii="Times New Roman" w:hAnsi="Times New Roman" w:cs="Times New Roman"/>
                <w:color w:val="auto"/>
                <w:highlight w:val="none"/>
              </w:rPr>
              <w:t>及附近村庄规划建设需要，因地制宜地修建防洪堤，恢复和完善防洪体系和环境体系，提高</w:t>
            </w:r>
            <w:r>
              <w:rPr>
                <w:rFonts w:hint="default" w:ascii="Times New Roman" w:hAnsi="Times New Roman" w:cs="Times New Roman"/>
                <w:color w:val="auto"/>
                <w:highlight w:val="none"/>
                <w:lang w:val="en-US" w:eastAsia="zh-CN"/>
              </w:rPr>
              <w:t>胡家场镇胡家河段</w:t>
            </w:r>
            <w:r>
              <w:rPr>
                <w:rFonts w:hint="default" w:ascii="Times New Roman" w:hAnsi="Times New Roman" w:cs="Times New Roman"/>
                <w:color w:val="auto"/>
                <w:highlight w:val="none"/>
              </w:rPr>
              <w:t>规划区的整体防洪能力和改善环境，确保汛期治理河段沿河两岸人民生命财产的安全和工农业的生产工作顺利进行，促进</w:t>
            </w:r>
            <w:r>
              <w:rPr>
                <w:rFonts w:hint="default" w:ascii="Times New Roman" w:hAnsi="Times New Roman" w:cs="Times New Roman"/>
                <w:color w:val="auto"/>
                <w:highlight w:val="none"/>
                <w:lang w:val="en-US" w:eastAsia="zh-CN"/>
              </w:rPr>
              <w:t>胡家场镇</w:t>
            </w:r>
            <w:r>
              <w:rPr>
                <w:rFonts w:hint="default" w:ascii="Times New Roman" w:hAnsi="Times New Roman" w:cs="Times New Roman"/>
                <w:color w:val="auto"/>
                <w:highlight w:val="none"/>
              </w:rPr>
              <w:t>及附近村庄经济、环境和水美新村的发展</w:t>
            </w:r>
            <w:r>
              <w:rPr>
                <w:rFonts w:hint="default" w:ascii="Times New Roman" w:hAnsi="Times New Roman" w:cs="Times New Roman"/>
                <w:color w:val="auto"/>
                <w:highlight w:val="none"/>
                <w:lang w:eastAsia="zh-CN"/>
              </w:rPr>
              <w:t>。</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综上，本项目防洪标准</w:t>
            </w:r>
            <w:r>
              <w:rPr>
                <w:rFonts w:hint="default" w:ascii="Times New Roman" w:hAnsi="Times New Roman" w:cs="Times New Roman"/>
                <w:color w:val="auto"/>
                <w:highlight w:val="none"/>
              </w:rPr>
              <w:t>标准按10年(P＝10%)一遇</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符合当地防洪规划要求。</w:t>
            </w:r>
          </w:p>
          <w:p>
            <w:pPr>
              <w:rPr>
                <w:rFonts w:hint="default" w:ascii="Times New Roman" w:hAnsi="Times New Roman" w:cs="Times New Roman"/>
                <w:color w:val="auto"/>
                <w:highlight w:val="none"/>
              </w:rPr>
            </w:pPr>
            <w:r>
              <w:rPr>
                <w:rFonts w:hint="default" w:ascii="Times New Roman" w:hAnsi="Times New Roman" w:cs="Times New Roman"/>
                <w:b/>
                <w:bCs/>
                <w:color w:val="auto"/>
                <w:highlight w:val="none"/>
                <w:lang w:val="en-US" w:eastAsia="zh-CN"/>
              </w:rPr>
              <w:t>3、项目与《</w:t>
            </w:r>
            <w:r>
              <w:rPr>
                <w:rFonts w:hint="default" w:ascii="Times New Roman" w:hAnsi="Times New Roman" w:cs="Times New Roman"/>
                <w:b/>
                <w:bCs/>
                <w:color w:val="auto"/>
                <w:highlight w:val="none"/>
              </w:rPr>
              <w:t>中华人民共和国水污染防治法</w:t>
            </w:r>
            <w:r>
              <w:rPr>
                <w:rFonts w:hint="default" w:ascii="Times New Roman" w:hAnsi="Times New Roman" w:cs="Times New Roman"/>
                <w:b/>
                <w:bCs/>
                <w:color w:val="auto"/>
                <w:highlight w:val="none"/>
                <w:lang w:val="en-US" w:eastAsia="zh-CN"/>
              </w:rPr>
              <w:t>》符合性分析</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本项目与《</w:t>
            </w:r>
            <w:r>
              <w:rPr>
                <w:rFonts w:hint="default" w:ascii="Times New Roman" w:hAnsi="Times New Roman" w:cs="Times New Roman"/>
                <w:color w:val="auto"/>
                <w:highlight w:val="none"/>
              </w:rPr>
              <w:t>中华人民共和国水污染防治法</w:t>
            </w:r>
            <w:r>
              <w:rPr>
                <w:rFonts w:hint="default" w:ascii="Times New Roman" w:hAnsi="Times New Roman" w:cs="Times New Roman"/>
                <w:color w:val="auto"/>
                <w:highlight w:val="none"/>
                <w:lang w:val="en-US" w:eastAsia="zh-CN"/>
              </w:rPr>
              <w:t>》符合性如下表。</w:t>
            </w:r>
          </w:p>
          <w:p>
            <w:pPr>
              <w:pStyle w:val="16"/>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表1-1  项目与《</w:t>
            </w:r>
            <w:r>
              <w:rPr>
                <w:rFonts w:hint="default" w:ascii="Times New Roman" w:hAnsi="Times New Roman" w:cs="Times New Roman"/>
                <w:color w:val="auto"/>
                <w:highlight w:val="none"/>
              </w:rPr>
              <w:t>中华人民共和国水污染防治法</w:t>
            </w:r>
            <w:r>
              <w:rPr>
                <w:rFonts w:hint="default" w:ascii="Times New Roman" w:hAnsi="Times New Roman" w:cs="Times New Roman"/>
                <w:color w:val="auto"/>
                <w:highlight w:val="none"/>
                <w:lang w:val="en-US" w:eastAsia="zh-CN"/>
              </w:rPr>
              <w:t>》符合性分析</w:t>
            </w:r>
          </w:p>
          <w:tbl>
            <w:tblPr>
              <w:tblStyle w:val="12"/>
              <w:tblW w:w="855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77"/>
              <w:gridCol w:w="3974"/>
              <w:gridCol w:w="2932"/>
              <w:gridCol w:w="96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77" w:type="dxa"/>
                  <w:tcBorders>
                    <w:tl2br w:val="nil"/>
                    <w:tr2bl w:val="nil"/>
                  </w:tcBorders>
                  <w:vAlign w:val="center"/>
                </w:tcPr>
                <w:p>
                  <w:pPr>
                    <w:pStyle w:val="15"/>
                    <w:jc w:val="center"/>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序号</w:t>
                  </w:r>
                </w:p>
              </w:tc>
              <w:tc>
                <w:tcPr>
                  <w:tcW w:w="3974" w:type="dxa"/>
                  <w:tcBorders>
                    <w:tl2br w:val="nil"/>
                    <w:tr2bl w:val="nil"/>
                  </w:tcBorders>
                  <w:vAlign w:val="center"/>
                </w:tcPr>
                <w:p>
                  <w:pPr>
                    <w:pStyle w:val="15"/>
                    <w:jc w:val="center"/>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条例要求</w:t>
                  </w:r>
                </w:p>
              </w:tc>
              <w:tc>
                <w:tcPr>
                  <w:tcW w:w="2932" w:type="dxa"/>
                  <w:tcBorders>
                    <w:tl2br w:val="nil"/>
                    <w:tr2bl w:val="nil"/>
                  </w:tcBorders>
                  <w:vAlign w:val="center"/>
                </w:tcPr>
                <w:p>
                  <w:pPr>
                    <w:pStyle w:val="15"/>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本项目情况</w:t>
                  </w:r>
                </w:p>
              </w:tc>
              <w:tc>
                <w:tcPr>
                  <w:tcW w:w="969" w:type="dxa"/>
                  <w:tcBorders>
                    <w:tl2br w:val="nil"/>
                    <w:tr2bl w:val="nil"/>
                  </w:tcBorders>
                  <w:vAlign w:val="center"/>
                </w:tcPr>
                <w:p>
                  <w:pPr>
                    <w:pStyle w:val="15"/>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77"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w:t>
                  </w:r>
                </w:p>
              </w:tc>
              <w:tc>
                <w:tcPr>
                  <w:tcW w:w="3974" w:type="dxa"/>
                  <w:tcBorders>
                    <w:tl2br w:val="nil"/>
                    <w:tr2bl w:val="nil"/>
                  </w:tcBorders>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第三十三条</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禁止向水体排放油类、酸液、碱液或者剧毒废液。禁止在水体清洗装贮过油类或者有毒污染物的车辆和容器。</w:t>
                  </w:r>
                </w:p>
              </w:tc>
              <w:tc>
                <w:tcPr>
                  <w:tcW w:w="2932" w:type="dxa"/>
                  <w:tcBorders>
                    <w:tl2br w:val="nil"/>
                    <w:tr2bl w:val="nil"/>
                  </w:tcBorders>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本项目为防洪治理工程，无废水外排，不涉及向</w:t>
                  </w:r>
                  <w:r>
                    <w:rPr>
                      <w:rFonts w:hint="default" w:ascii="Times New Roman" w:hAnsi="Times New Roman" w:cs="Times New Roman"/>
                      <w:color w:val="auto"/>
                      <w:highlight w:val="none"/>
                    </w:rPr>
                    <w:t>水体排放油类、酸液、碱液或者剧毒废液</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项目车辆冲洗废水经预处理后回用，不涉及</w:t>
                  </w:r>
                  <w:r>
                    <w:rPr>
                      <w:rFonts w:hint="default" w:ascii="Times New Roman" w:hAnsi="Times New Roman" w:cs="Times New Roman"/>
                      <w:color w:val="auto"/>
                      <w:highlight w:val="none"/>
                    </w:rPr>
                    <w:t>在水体清洗装贮过油类或者有毒污染物的车辆和容器。</w:t>
                  </w:r>
                </w:p>
              </w:tc>
              <w:tc>
                <w:tcPr>
                  <w:tcW w:w="969"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77"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w:t>
                  </w:r>
                </w:p>
              </w:tc>
              <w:tc>
                <w:tcPr>
                  <w:tcW w:w="3974" w:type="dxa"/>
                  <w:tcBorders>
                    <w:tl2br w:val="nil"/>
                    <w:tr2bl w:val="nil"/>
                  </w:tcBorders>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第三十七条</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禁止向水体排放、倾倒工业废渣、城镇垃圾和其他废弃物。禁止将含有汞、镉、砷、铬、铅、氰化物、黄磷等的可溶性剧毒废渣向水体排放、倾倒或者直接埋入地下。存放可溶性剧毒废渣的场所，应当采取防水、防渗漏、防流失的措施。</w:t>
                  </w:r>
                </w:p>
              </w:tc>
              <w:tc>
                <w:tcPr>
                  <w:tcW w:w="2932" w:type="dxa"/>
                  <w:tcBorders>
                    <w:tl2br w:val="nil"/>
                    <w:tr2bl w:val="nil"/>
                  </w:tcBorders>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本项目为防洪治理工程，不存在可溶性剧毒废渣等，项目产生的固体废弃物均得到妥善处置，处置率100%，不存在以上行为。</w:t>
                  </w:r>
                </w:p>
              </w:tc>
              <w:tc>
                <w:tcPr>
                  <w:tcW w:w="969"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77"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w:t>
                  </w:r>
                </w:p>
              </w:tc>
              <w:tc>
                <w:tcPr>
                  <w:tcW w:w="3974" w:type="dxa"/>
                  <w:tcBorders>
                    <w:tl2br w:val="nil"/>
                    <w:tr2bl w:val="nil"/>
                  </w:tcBorders>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第六十四条</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在饮用水水源保护区内，禁止设置排污口。</w:t>
                  </w:r>
                </w:p>
              </w:tc>
              <w:tc>
                <w:tcPr>
                  <w:tcW w:w="2932"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项目流域为胡家河，项目施工废水不排放，施工场地生活废水依托附近民宅既有污水处理设施收集处理，不设排污口。</w:t>
                  </w:r>
                </w:p>
              </w:tc>
              <w:tc>
                <w:tcPr>
                  <w:tcW w:w="969"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77"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w:t>
                  </w:r>
                </w:p>
              </w:tc>
              <w:tc>
                <w:tcPr>
                  <w:tcW w:w="3974" w:type="dxa"/>
                  <w:tcBorders>
                    <w:tl2br w:val="nil"/>
                    <w:tr2bl w:val="nil"/>
                  </w:tcBorders>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第六十五条</w:t>
                  </w:r>
                  <w:r>
                    <w:rPr>
                      <w:rFonts w:hint="default" w:ascii="Times New Roman" w:hAnsi="Times New Roman" w:cs="Times New Roman"/>
                      <w:color w:val="auto"/>
                      <w:highlight w:val="none"/>
                      <w:lang w:val="en-US" w:eastAsia="zh-CN"/>
                    </w:rPr>
                    <w:t>、</w:t>
                  </w:r>
                  <w:r>
                    <w:rPr>
                      <w:rFonts w:hint="default" w:ascii="Times New Roman" w:hAnsi="Times New Roman" w:cs="Times New Roman"/>
                      <w:color w:val="auto"/>
                      <w:highlight w:val="none"/>
                    </w:rPr>
                    <w:t>禁止在饮用水水源一级保护区内新建、</w:t>
                  </w:r>
                  <w:r>
                    <w:rPr>
                      <w:rFonts w:hint="default" w:ascii="Times New Roman" w:hAnsi="Times New Roman" w:cs="Times New Roman"/>
                      <w:color w:val="auto"/>
                      <w:highlight w:val="none"/>
                      <w:lang w:val="en-US" w:eastAsia="zh-CN"/>
                    </w:rPr>
                    <w:t>改</w:t>
                  </w:r>
                  <w:r>
                    <w:rPr>
                      <w:rFonts w:hint="default" w:ascii="Times New Roman" w:hAnsi="Times New Roman" w:cs="Times New Roman"/>
                      <w:color w:val="auto"/>
                      <w:highlight w:val="none"/>
                    </w:rPr>
                    <w:t>建、扩建与供水设施和保护水源无关的建设项目；已建成的与供水设施和保护水源无关的建设项目，由县级以上人民政府责令拆除或者关闭。</w:t>
                  </w:r>
                </w:p>
              </w:tc>
              <w:tc>
                <w:tcPr>
                  <w:tcW w:w="2932" w:type="dxa"/>
                  <w:tcBorders>
                    <w:tl2br w:val="nil"/>
                    <w:tr2bl w:val="nil"/>
                  </w:tcBorders>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本项目为防洪治理工程，为非污染类生态型项目，不在饮用水水源一级保护区内。</w:t>
                  </w:r>
                </w:p>
              </w:tc>
              <w:tc>
                <w:tcPr>
                  <w:tcW w:w="969"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77"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w:t>
                  </w:r>
                </w:p>
              </w:tc>
              <w:tc>
                <w:tcPr>
                  <w:tcW w:w="3974" w:type="dxa"/>
                  <w:tcBorders>
                    <w:tl2br w:val="nil"/>
                    <w:tr2bl w:val="nil"/>
                  </w:tcBorders>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第六十七条</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禁止在饮用水水源准保护区内新建、扩建对水体污染严重的建设项目；改建建设项目，不得增加排污量。</w:t>
                  </w:r>
                </w:p>
              </w:tc>
              <w:tc>
                <w:tcPr>
                  <w:tcW w:w="2932" w:type="dxa"/>
                  <w:tcBorders>
                    <w:tl2br w:val="nil"/>
                    <w:tr2bl w:val="nil"/>
                  </w:tcBorders>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本项目为防洪治理工程，为非污染类生态型项目，不会对胡家河水体造成严重污染。</w:t>
                  </w:r>
                </w:p>
              </w:tc>
              <w:tc>
                <w:tcPr>
                  <w:tcW w:w="969"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符合</w:t>
                  </w:r>
                </w:p>
              </w:tc>
            </w:tr>
          </w:tbl>
          <w:p>
            <w:pP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综上所述，本项目符合《</w:t>
            </w:r>
            <w:r>
              <w:rPr>
                <w:rFonts w:hint="default" w:ascii="Times New Roman" w:hAnsi="Times New Roman" w:cs="Times New Roman"/>
                <w:color w:val="auto"/>
                <w:highlight w:val="none"/>
              </w:rPr>
              <w:t>中华人民共和国水污染防治法</w:t>
            </w:r>
            <w:r>
              <w:rPr>
                <w:rFonts w:hint="default" w:ascii="Times New Roman" w:hAnsi="Times New Roman" w:cs="Times New Roman"/>
                <w:color w:val="auto"/>
                <w:highlight w:val="none"/>
                <w:lang w:val="en-US" w:eastAsia="zh-CN"/>
              </w:rPr>
              <w:t>》要求。</w:t>
            </w:r>
          </w:p>
          <w:p>
            <w:pPr>
              <w:rPr>
                <w:rFonts w:hint="default" w:ascii="Times New Roman" w:hAnsi="Times New Roman" w:cs="Times New Roman"/>
                <w:color w:val="auto"/>
                <w:highlight w:val="none"/>
                <w:lang w:val="en-US" w:eastAsia="zh-CN"/>
              </w:rPr>
            </w:pPr>
            <w:r>
              <w:rPr>
                <w:rFonts w:hint="default" w:ascii="Times New Roman" w:hAnsi="Times New Roman" w:cs="Times New Roman"/>
                <w:b/>
                <w:bCs/>
                <w:color w:val="auto"/>
                <w:highlight w:val="none"/>
                <w:lang w:val="en-US" w:eastAsia="zh-CN"/>
              </w:rPr>
              <w:t>4、项目与《四川省饮用水水源保护管理条例》（2019修正）符合性分析</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为加强饮用水水源保护，保障饮用水水源安全，根据《中华人民共和国水污染防治法</w:t>
            </w:r>
            <w:r>
              <w:rPr>
                <w:rFonts w:hint="eastAsia" w:cs="Times New Roman"/>
                <w:color w:val="auto"/>
                <w:highlight w:val="none"/>
                <w:lang w:eastAsia="zh-CN"/>
              </w:rPr>
              <w:t>》《</w:t>
            </w:r>
            <w:r>
              <w:rPr>
                <w:rFonts w:hint="default" w:ascii="Times New Roman" w:hAnsi="Times New Roman" w:cs="Times New Roman"/>
                <w:color w:val="auto"/>
                <w:highlight w:val="none"/>
              </w:rPr>
              <w:t>中华人民共和国水法》等法律法规，</w:t>
            </w:r>
            <w:r>
              <w:rPr>
                <w:rFonts w:hint="default" w:ascii="Times New Roman" w:hAnsi="Times New Roman" w:cs="Times New Roman"/>
                <w:color w:val="auto"/>
                <w:highlight w:val="none"/>
                <w:lang w:val="en-US" w:eastAsia="zh-CN"/>
              </w:rPr>
              <w:t>根据2019年9月26日四川省第十三届人民代表大会常务委员会第十三次会议《关于修改&lt;四川省饮用水水源地保护条例&gt;的决定》修正，自2019年9月26日起实行。本项目与该文件中相关规定的对比分析详见表1-2。</w:t>
            </w:r>
          </w:p>
          <w:p>
            <w:pPr>
              <w:pStyle w:val="16"/>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表1-2  项目与《四川省饮用水水源地保护管理条例》符合性分析</w:t>
            </w:r>
          </w:p>
          <w:tbl>
            <w:tblPr>
              <w:tblStyle w:val="12"/>
              <w:tblW w:w="856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77"/>
              <w:gridCol w:w="3974"/>
              <w:gridCol w:w="2944"/>
              <w:gridCol w:w="96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77" w:type="dxa"/>
                  <w:tcBorders>
                    <w:tl2br w:val="nil"/>
                    <w:tr2bl w:val="nil"/>
                  </w:tcBorders>
                  <w:vAlign w:val="center"/>
                </w:tcPr>
                <w:p>
                  <w:pPr>
                    <w:pStyle w:val="15"/>
                    <w:jc w:val="center"/>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序号</w:t>
                  </w:r>
                </w:p>
              </w:tc>
              <w:tc>
                <w:tcPr>
                  <w:tcW w:w="3974" w:type="dxa"/>
                  <w:tcBorders>
                    <w:tl2br w:val="nil"/>
                    <w:tr2bl w:val="nil"/>
                  </w:tcBorders>
                  <w:vAlign w:val="center"/>
                </w:tcPr>
                <w:p>
                  <w:pPr>
                    <w:pStyle w:val="15"/>
                    <w:jc w:val="center"/>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条例要求</w:t>
                  </w:r>
                </w:p>
              </w:tc>
              <w:tc>
                <w:tcPr>
                  <w:tcW w:w="2944" w:type="dxa"/>
                  <w:tcBorders>
                    <w:tl2br w:val="nil"/>
                    <w:tr2bl w:val="nil"/>
                  </w:tcBorders>
                  <w:vAlign w:val="center"/>
                </w:tcPr>
                <w:p>
                  <w:pPr>
                    <w:pStyle w:val="15"/>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本项目情况</w:t>
                  </w:r>
                </w:p>
              </w:tc>
              <w:tc>
                <w:tcPr>
                  <w:tcW w:w="969" w:type="dxa"/>
                  <w:tcBorders>
                    <w:tl2br w:val="nil"/>
                    <w:tr2bl w:val="nil"/>
                  </w:tcBorders>
                  <w:vAlign w:val="center"/>
                </w:tcPr>
                <w:p>
                  <w:pPr>
                    <w:pStyle w:val="15"/>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77"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w:t>
                  </w:r>
                </w:p>
              </w:tc>
              <w:tc>
                <w:tcPr>
                  <w:tcW w:w="3974" w:type="dxa"/>
                  <w:tcBorders>
                    <w:tl2br w:val="nil"/>
                    <w:tr2bl w:val="nil"/>
                  </w:tcBorders>
                  <w:vAlign w:val="center"/>
                </w:tcPr>
                <w:p>
                  <w:pPr>
                    <w:pStyle w:val="15"/>
                    <w:jc w:val="both"/>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第十六条</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在地表水饮用水水源保护区内，禁止设置排污口。</w:t>
                  </w:r>
                </w:p>
              </w:tc>
              <w:tc>
                <w:tcPr>
                  <w:tcW w:w="2944"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本项目不在饮用水水源一级、二级保护区内，本项目位于宣汉县胡家镇，项目为防洪治理工程，且项目营运期不设置排污口。</w:t>
                  </w:r>
                </w:p>
              </w:tc>
              <w:tc>
                <w:tcPr>
                  <w:tcW w:w="969"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77"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w:t>
                  </w:r>
                </w:p>
              </w:tc>
              <w:tc>
                <w:tcPr>
                  <w:tcW w:w="3974" w:type="dxa"/>
                  <w:tcBorders>
                    <w:tl2br w:val="nil"/>
                    <w:tr2bl w:val="nil"/>
                  </w:tcBorders>
                  <w:vAlign w:val="center"/>
                </w:tcPr>
                <w:p>
                  <w:pPr>
                    <w:pStyle w:val="15"/>
                    <w:jc w:val="both"/>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第十七条：地表水饮用水水源准保护区内，应当遵守下列规定：</w:t>
                  </w:r>
                </w:p>
                <w:p>
                  <w:pPr>
                    <w:pStyle w:val="15"/>
                    <w:jc w:val="both"/>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（一）禁止新建、扩建对水体污染严重的建设项目；改建建设项目，不得增加排污量；</w:t>
                  </w:r>
                </w:p>
                <w:p>
                  <w:pPr>
                    <w:pStyle w:val="15"/>
                    <w:jc w:val="both"/>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（二）禁止向水体排放油类、酸液、碱液或者有毒废液；</w:t>
                  </w:r>
                </w:p>
                <w:p>
                  <w:pPr>
                    <w:pStyle w:val="15"/>
                    <w:jc w:val="both"/>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（三）禁止在水体清洗装贮过油类或者有毒污染物的车辆和容器；</w:t>
                  </w:r>
                </w:p>
                <w:p>
                  <w:pPr>
                    <w:pStyle w:val="15"/>
                    <w:jc w:val="both"/>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（四）禁止向水体排放、倾倒废水、含病原体的污水、放射性固体废物；</w:t>
                  </w:r>
                </w:p>
                <w:p>
                  <w:pPr>
                    <w:pStyle w:val="15"/>
                    <w:jc w:val="both"/>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（五）禁止向水体排放、倾倒工业废渣、城镇垃圾和医疗垃圾等其他废弃物；</w:t>
                  </w:r>
                </w:p>
                <w:p>
                  <w:pPr>
                    <w:pStyle w:val="15"/>
                    <w:jc w:val="both"/>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（六）禁止将含有汞、镉、砷、铬、铅、氰化物、黄磷等的可溶性剧毒废渣向水体排放、倾倒或者直接埋入地下；</w:t>
                  </w:r>
                </w:p>
                <w:p>
                  <w:pPr>
                    <w:pStyle w:val="15"/>
                    <w:jc w:val="both"/>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（七）禁止船舶向水体倾倒垃圾或者排放含油污水、生活污水；</w:t>
                  </w:r>
                </w:p>
                <w:p>
                  <w:pPr>
                    <w:pStyle w:val="15"/>
                    <w:jc w:val="both"/>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（八）禁止设置易溶性、有毒有害废弃物和危险废物的暂存和转运场所；禁止设置生活垃圾和工业固体废物的处置场所，生活垃圾转运站和工业固体废物暂存场所应当设置防护设施；</w:t>
                  </w:r>
                </w:p>
                <w:p>
                  <w:pPr>
                    <w:pStyle w:val="15"/>
                    <w:jc w:val="both"/>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九）禁止通行装载剧毒化学品或者危险废物的船舶、车辆。装载其他危险品的船舶、车辆确需驶入饮用水水源保护区内的，应当在驶入该区域的二十四小时前向当地海事管理机构或者公安机关交通管理部门报告，配备防止污染物散落、溢流、渗漏的设施设备，指定专人保障危险品运输安全；</w:t>
                  </w:r>
                </w:p>
                <w:p>
                  <w:pPr>
                    <w:pStyle w:val="15"/>
                    <w:jc w:val="both"/>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（十）禁止进行可能严重影响饮用水水源水质的矿产勘查、开采等活动；</w:t>
                  </w:r>
                </w:p>
                <w:p>
                  <w:pPr>
                    <w:pStyle w:val="15"/>
                    <w:jc w:val="both"/>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（十一）禁止非更新性、非抚育性采伐和破坏饮用水水源涵养林、护岸林和其他植被。</w:t>
                  </w:r>
                </w:p>
              </w:tc>
              <w:tc>
                <w:tcPr>
                  <w:tcW w:w="2944"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本项目位于宣汉县胡家镇，项目为防洪治理工程，为非污染类生态型项目，不涉及以上行为。</w:t>
                  </w:r>
                </w:p>
              </w:tc>
              <w:tc>
                <w:tcPr>
                  <w:tcW w:w="969"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77"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w:t>
                  </w:r>
                </w:p>
              </w:tc>
              <w:tc>
                <w:tcPr>
                  <w:tcW w:w="3974" w:type="dxa"/>
                  <w:tcBorders>
                    <w:tl2br w:val="nil"/>
                    <w:tr2bl w:val="nil"/>
                  </w:tcBorders>
                  <w:vAlign w:val="center"/>
                </w:tcPr>
                <w:p>
                  <w:pPr>
                    <w:pStyle w:val="15"/>
                    <w:jc w:val="both"/>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第十八条：地表水饮用水水源二级保护区内，除遵守本条例第十七条规定外，还应当遵守下列规定：</w:t>
                  </w:r>
                </w:p>
                <w:p>
                  <w:pPr>
                    <w:pStyle w:val="15"/>
                    <w:jc w:val="both"/>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（一）禁止新建、改建、扩建排放污染物的建设项目；已建成的排放污染物的建设项目，由县级以上地方人民政府责令拆除或者关闭；</w:t>
                  </w:r>
                </w:p>
                <w:p>
                  <w:pPr>
                    <w:pStyle w:val="15"/>
                    <w:jc w:val="both"/>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（二）禁止从事经营性取土和采石（砂）等活动；</w:t>
                  </w:r>
                </w:p>
                <w:p>
                  <w:pPr>
                    <w:pStyle w:val="15"/>
                    <w:jc w:val="both"/>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（三）禁止围水造田；</w:t>
                  </w:r>
                </w:p>
                <w:p>
                  <w:pPr>
                    <w:pStyle w:val="15"/>
                    <w:jc w:val="both"/>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（四）禁止使用农药；禁止丢弃农药、农药包装物或者清洗施药器械；限制使用化肥；</w:t>
                  </w:r>
                </w:p>
                <w:p>
                  <w:pPr>
                    <w:pStyle w:val="15"/>
                    <w:jc w:val="both"/>
                    <w:rPr>
                      <w:rFonts w:hint="default" w:ascii="Times New Roman" w:hAnsi="Times New Roman" w:cs="Times New Roman"/>
                      <w:color w:val="auto"/>
                      <w:highlight w:val="none"/>
                      <w:lang w:val="en-US"/>
                    </w:rPr>
                  </w:pPr>
                  <w:r>
                    <w:rPr>
                      <w:rFonts w:hint="default" w:ascii="Times New Roman" w:hAnsi="Times New Roman" w:cs="Times New Roman"/>
                      <w:color w:val="auto"/>
                      <w:highlight w:val="none"/>
                      <w:lang w:val="en-US" w:eastAsia="zh-CN"/>
                    </w:rPr>
                    <w:t>（五）禁止修建墓地；</w:t>
                  </w:r>
                </w:p>
                <w:p>
                  <w:pPr>
                    <w:pStyle w:val="15"/>
                    <w:jc w:val="both"/>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（六）禁止丢弃及掩埋动物尸体；</w:t>
                  </w:r>
                </w:p>
                <w:p>
                  <w:pPr>
                    <w:pStyle w:val="15"/>
                    <w:jc w:val="both"/>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（七）禁止从事网箱养殖、施肥养鱼和超标准养殖等污染饮用水水体的活动；</w:t>
                  </w:r>
                </w:p>
                <w:p>
                  <w:pPr>
                    <w:pStyle w:val="15"/>
                    <w:jc w:val="both"/>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（八）从事旅游等活动的，应当按照规定采取措施，防止污染饮用水水体；</w:t>
                  </w:r>
                </w:p>
                <w:p>
                  <w:pPr>
                    <w:pStyle w:val="15"/>
                    <w:jc w:val="both"/>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（九）道路、桥梁、码头及其他可能威胁饮用水水源安全的设施或者装置，应当设置独立的污染物收集、排放和处理系统及隔离设施。</w:t>
                  </w:r>
                </w:p>
              </w:tc>
              <w:tc>
                <w:tcPr>
                  <w:tcW w:w="2944"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本项目为非污染类生态型项目，不在地表水饮用水水源二级保护区内。</w:t>
                  </w:r>
                </w:p>
              </w:tc>
              <w:tc>
                <w:tcPr>
                  <w:tcW w:w="969"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77"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w:t>
                  </w:r>
                </w:p>
              </w:tc>
              <w:tc>
                <w:tcPr>
                  <w:tcW w:w="3974" w:type="dxa"/>
                  <w:tcBorders>
                    <w:tl2br w:val="nil"/>
                    <w:tr2bl w:val="nil"/>
                  </w:tcBorders>
                  <w:vAlign w:val="center"/>
                </w:tcPr>
                <w:p>
                  <w:pPr>
                    <w:pStyle w:val="15"/>
                    <w:jc w:val="both"/>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第十九条：地表水饮用水水源一级保护区内，除遵守本条例第十七条和第十八条规定外，还应当遵守下列规定：</w:t>
                  </w:r>
                </w:p>
                <w:p>
                  <w:pPr>
                    <w:pStyle w:val="15"/>
                    <w:jc w:val="both"/>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（一）禁止新建、改建、扩建与供水设施和保护水源无关的建设项目；已建成的与供水设施和保护水源无关的建设项目，由县级以上地方人民政府责令拆除或者关闭；</w:t>
                  </w:r>
                </w:p>
                <w:p>
                  <w:pPr>
                    <w:pStyle w:val="15"/>
                    <w:jc w:val="both"/>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（二）禁止使用化肥；</w:t>
                  </w:r>
                </w:p>
                <w:p>
                  <w:pPr>
                    <w:pStyle w:val="15"/>
                    <w:jc w:val="both"/>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（三）禁止设置畜禽养殖场；</w:t>
                  </w:r>
                </w:p>
                <w:p>
                  <w:pPr>
                    <w:pStyle w:val="15"/>
                    <w:jc w:val="both"/>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（四）禁止与保护水源无关的船舶停靠、装卸；</w:t>
                  </w:r>
                </w:p>
                <w:p>
                  <w:pPr>
                    <w:pStyle w:val="15"/>
                    <w:jc w:val="both"/>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（五）禁止在水体清洗机动车辆；</w:t>
                  </w:r>
                </w:p>
                <w:p>
                  <w:pPr>
                    <w:pStyle w:val="15"/>
                    <w:jc w:val="both"/>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（六）禁止从事旅游、游泳、垂钓或者其他污染饮用水水体的活动。</w:t>
                  </w:r>
                </w:p>
              </w:tc>
              <w:tc>
                <w:tcPr>
                  <w:tcW w:w="2944" w:type="dxa"/>
                  <w:tcBorders>
                    <w:tl2br w:val="nil"/>
                    <w:tr2bl w:val="nil"/>
                  </w:tcBorders>
                  <w:vAlign w:val="center"/>
                </w:tcPr>
                <w:p>
                  <w:pPr>
                    <w:pStyle w:val="15"/>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本项目为非污染类生态型项目，项目不在地表水饮用水水源一级保护区内。</w:t>
                  </w:r>
                </w:p>
              </w:tc>
              <w:tc>
                <w:tcPr>
                  <w:tcW w:w="969"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符合</w:t>
                  </w:r>
                </w:p>
              </w:tc>
            </w:tr>
          </w:tbl>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综上，本项目符合《四川省饮用水水源保护管理条例》（2019修正）要求。</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b/>
                <w:bCs/>
                <w:color w:val="auto"/>
                <w:highlight w:val="none"/>
                <w:lang w:val="en-US" w:eastAsia="zh-CN"/>
              </w:rPr>
              <w:t>5、与《长江经济带发展负面清单指南（试行，2022年版）》符合性分析</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根据《长江经济带发展负面清单指南（试行，2022年版）》，项目不在负面清单之中，符合性分析见下表。</w:t>
            </w:r>
          </w:p>
          <w:p>
            <w:pPr>
              <w:pStyle w:val="1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表1-3  本项目与《长江经济带发展负面清单指南》符合性分析</w:t>
            </w:r>
          </w:p>
          <w:tbl>
            <w:tblPr>
              <w:tblStyle w:val="12"/>
              <w:tblW w:w="855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67"/>
              <w:gridCol w:w="4489"/>
              <w:gridCol w:w="2432"/>
              <w:gridCol w:w="97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67" w:type="dxa"/>
                  <w:tcBorders>
                    <w:tl2br w:val="nil"/>
                    <w:tr2bl w:val="nil"/>
                  </w:tcBorders>
                  <w:vAlign w:val="center"/>
                </w:tcPr>
                <w:p>
                  <w:pPr>
                    <w:pStyle w:val="15"/>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序号</w:t>
                  </w:r>
                </w:p>
              </w:tc>
              <w:tc>
                <w:tcPr>
                  <w:tcW w:w="4489" w:type="dxa"/>
                  <w:tcBorders>
                    <w:tl2br w:val="nil"/>
                    <w:tr2bl w:val="nil"/>
                  </w:tcBorders>
                  <w:vAlign w:val="center"/>
                </w:tcPr>
                <w:p>
                  <w:pPr>
                    <w:pStyle w:val="15"/>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长江经济带发展负面清单内容</w:t>
                  </w:r>
                </w:p>
              </w:tc>
              <w:tc>
                <w:tcPr>
                  <w:tcW w:w="2432" w:type="dxa"/>
                  <w:tcBorders>
                    <w:tl2br w:val="nil"/>
                    <w:tr2bl w:val="nil"/>
                  </w:tcBorders>
                  <w:vAlign w:val="center"/>
                </w:tcPr>
                <w:p>
                  <w:pPr>
                    <w:pStyle w:val="15"/>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本项目情况</w:t>
                  </w:r>
                </w:p>
              </w:tc>
              <w:tc>
                <w:tcPr>
                  <w:tcW w:w="970" w:type="dxa"/>
                  <w:tcBorders>
                    <w:tl2br w:val="nil"/>
                    <w:tr2bl w:val="nil"/>
                  </w:tcBorders>
                  <w:vAlign w:val="center"/>
                </w:tcPr>
                <w:p>
                  <w:pPr>
                    <w:pStyle w:val="15"/>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67" w:type="dxa"/>
                  <w:tcBorders>
                    <w:tl2br w:val="nil"/>
                    <w:tr2bl w:val="nil"/>
                  </w:tcBorders>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w:t>
                  </w:r>
                </w:p>
              </w:tc>
              <w:tc>
                <w:tcPr>
                  <w:tcW w:w="4489" w:type="dxa"/>
                  <w:tcBorders>
                    <w:tl2br w:val="nil"/>
                    <w:tr2bl w:val="nil"/>
                  </w:tcBorders>
                  <w:vAlign w:val="center"/>
                </w:tcPr>
                <w:p>
                  <w:pPr>
                    <w:pStyle w:val="15"/>
                    <w:bidi w:val="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禁止建设不符合全国和省级港口布局规划以及港口总体规划的码头项目，禁止建设不符合《长江干线过江通道布局规划》的过长江通道项目。</w:t>
                  </w:r>
                </w:p>
              </w:tc>
              <w:tc>
                <w:tcPr>
                  <w:tcW w:w="2432" w:type="dxa"/>
                  <w:tcBorders>
                    <w:tl2br w:val="nil"/>
                    <w:tr2bl w:val="nil"/>
                  </w:tcBorders>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本项目为</w:t>
                  </w:r>
                  <w:r>
                    <w:rPr>
                      <w:rFonts w:hint="default" w:ascii="Times New Roman" w:hAnsi="Times New Roman" w:cs="Times New Roman"/>
                      <w:color w:val="auto"/>
                      <w:highlight w:val="none"/>
                      <w:lang w:val="en-US" w:eastAsia="zh-CN"/>
                    </w:rPr>
                    <w:t>防洪治理项目</w:t>
                  </w:r>
                  <w:r>
                    <w:rPr>
                      <w:rFonts w:hint="default" w:ascii="Times New Roman" w:hAnsi="Times New Roman" w:cs="Times New Roman"/>
                      <w:color w:val="auto"/>
                      <w:highlight w:val="none"/>
                      <w:lang w:eastAsia="zh-CN"/>
                    </w:rPr>
                    <w:t>，不属于码头项目</w:t>
                  </w:r>
                  <w:r>
                    <w:rPr>
                      <w:rFonts w:hint="default" w:ascii="Times New Roman" w:hAnsi="Times New Roman" w:cs="Times New Roman"/>
                      <w:color w:val="auto"/>
                      <w:highlight w:val="none"/>
                    </w:rPr>
                    <w:t>。</w:t>
                  </w:r>
                </w:p>
              </w:tc>
              <w:tc>
                <w:tcPr>
                  <w:tcW w:w="970" w:type="dxa"/>
                  <w:tcBorders>
                    <w:tl2br w:val="nil"/>
                    <w:tr2bl w:val="nil"/>
                  </w:tcBorders>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67" w:type="dxa"/>
                  <w:tcBorders>
                    <w:tl2br w:val="nil"/>
                    <w:tr2bl w:val="nil"/>
                  </w:tcBorders>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w:t>
                  </w:r>
                </w:p>
              </w:tc>
              <w:tc>
                <w:tcPr>
                  <w:tcW w:w="4489" w:type="dxa"/>
                  <w:tcBorders>
                    <w:tl2br w:val="nil"/>
                    <w:tr2bl w:val="nil"/>
                  </w:tcBorders>
                  <w:vAlign w:val="center"/>
                </w:tcPr>
                <w:p>
                  <w:pPr>
                    <w:pStyle w:val="15"/>
                    <w:bidi w:val="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禁止在自然保护区核心区、缓冲区的岸线和河段范围内投资建设旅游和生产经营项目。禁止在风景名胜区核心景区的岸线和河段范围内投资建设与风景名胜资源保护无关的项目。</w:t>
                  </w:r>
                </w:p>
              </w:tc>
              <w:tc>
                <w:tcPr>
                  <w:tcW w:w="2432" w:type="dxa"/>
                  <w:tcBorders>
                    <w:tl2br w:val="nil"/>
                    <w:tr2bl w:val="nil"/>
                  </w:tcBorders>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项目区及周边无自然保护区和风景名胜区。</w:t>
                  </w:r>
                </w:p>
              </w:tc>
              <w:tc>
                <w:tcPr>
                  <w:tcW w:w="970" w:type="dxa"/>
                  <w:tcBorders>
                    <w:tl2br w:val="nil"/>
                    <w:tr2bl w:val="nil"/>
                  </w:tcBorders>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67" w:type="dxa"/>
                  <w:tcBorders>
                    <w:tl2br w:val="nil"/>
                    <w:tr2bl w:val="nil"/>
                  </w:tcBorders>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w:t>
                  </w:r>
                </w:p>
              </w:tc>
              <w:tc>
                <w:tcPr>
                  <w:tcW w:w="4489" w:type="dxa"/>
                  <w:tcBorders>
                    <w:tl2br w:val="nil"/>
                    <w:tr2bl w:val="nil"/>
                  </w:tcBorders>
                  <w:vAlign w:val="center"/>
                </w:tcPr>
                <w:p>
                  <w:pPr>
                    <w:pStyle w:val="15"/>
                    <w:bidi w:val="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禁止在饮用水水源一级保护区的岸线和河段范围内新建、改建、扩建与供水设施和保护水源无关的项目，以及网箱养殖、畜禽养殖、旅游等可能污染饮用水水体的投资建设项目。禁止在饮用水水源二级保护区的岸线和河段范围内新建、改建、扩建排放污染物的投资建设项目。</w:t>
                  </w:r>
                </w:p>
              </w:tc>
              <w:tc>
                <w:tcPr>
                  <w:tcW w:w="2432" w:type="dxa"/>
                  <w:tcBorders>
                    <w:tl2br w:val="nil"/>
                    <w:tr2bl w:val="nil"/>
                  </w:tcBorders>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项目区不涉及饮用水源</w:t>
                  </w:r>
                  <w:r>
                    <w:rPr>
                      <w:rFonts w:hint="default" w:ascii="Times New Roman" w:hAnsi="Times New Roman" w:cs="Times New Roman"/>
                      <w:color w:val="auto"/>
                      <w:highlight w:val="none"/>
                      <w:lang w:val="en-US" w:eastAsia="zh-CN"/>
                    </w:rPr>
                    <w:t>一级</w:t>
                  </w:r>
                  <w:r>
                    <w:rPr>
                      <w:rFonts w:hint="default" w:ascii="Times New Roman" w:hAnsi="Times New Roman" w:cs="Times New Roman"/>
                      <w:color w:val="auto"/>
                      <w:highlight w:val="none"/>
                    </w:rPr>
                    <w:t>保护区。</w:t>
                  </w:r>
                </w:p>
              </w:tc>
              <w:tc>
                <w:tcPr>
                  <w:tcW w:w="970" w:type="dxa"/>
                  <w:tcBorders>
                    <w:tl2br w:val="nil"/>
                    <w:tr2bl w:val="nil"/>
                  </w:tcBorders>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67" w:type="dxa"/>
                  <w:tcBorders>
                    <w:tl2br w:val="nil"/>
                    <w:tr2bl w:val="nil"/>
                  </w:tcBorders>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w:t>
                  </w:r>
                </w:p>
              </w:tc>
              <w:tc>
                <w:tcPr>
                  <w:tcW w:w="4489" w:type="dxa"/>
                  <w:tcBorders>
                    <w:tl2br w:val="nil"/>
                    <w:tr2bl w:val="nil"/>
                  </w:tcBorders>
                  <w:vAlign w:val="center"/>
                </w:tcPr>
                <w:p>
                  <w:pPr>
                    <w:pStyle w:val="15"/>
                    <w:bidi w:val="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禁止在水产种质资源保护区的岸线和河段范围内新建围湖造田、围海造地或填海等投资建设项目。禁止在国家湿地公园的岸线和河段范围内挖沙、采矿，以及任何不符合主体功能定位的投资建设项目。</w:t>
                  </w:r>
                </w:p>
              </w:tc>
              <w:tc>
                <w:tcPr>
                  <w:tcW w:w="2432" w:type="dxa"/>
                  <w:tcBorders>
                    <w:tl2br w:val="nil"/>
                    <w:tr2bl w:val="nil"/>
                  </w:tcBorders>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项目</w:t>
                  </w:r>
                  <w:r>
                    <w:rPr>
                      <w:rFonts w:hint="default" w:ascii="Times New Roman" w:hAnsi="Times New Roman" w:cs="Times New Roman"/>
                      <w:color w:val="auto"/>
                      <w:highlight w:val="none"/>
                      <w:lang w:val="en-US" w:eastAsia="zh-CN"/>
                    </w:rPr>
                    <w:t>不在</w:t>
                  </w:r>
                  <w:r>
                    <w:rPr>
                      <w:rFonts w:hint="default" w:ascii="Times New Roman" w:hAnsi="Times New Roman" w:cs="Times New Roman"/>
                      <w:color w:val="auto"/>
                      <w:highlight w:val="none"/>
                    </w:rPr>
                    <w:t>水产种质资源保护区的岸线和河段范围内</w:t>
                  </w:r>
                  <w:r>
                    <w:rPr>
                      <w:rFonts w:hint="default" w:ascii="Times New Roman" w:hAnsi="Times New Roman" w:cs="Times New Roman"/>
                      <w:color w:val="auto"/>
                      <w:highlight w:val="none"/>
                      <w:lang w:val="en-US" w:eastAsia="zh-CN"/>
                    </w:rPr>
                    <w:t>，此外不涉及湿地公园等。</w:t>
                  </w:r>
                </w:p>
              </w:tc>
              <w:tc>
                <w:tcPr>
                  <w:tcW w:w="970" w:type="dxa"/>
                  <w:tcBorders>
                    <w:tl2br w:val="nil"/>
                    <w:tr2bl w:val="nil"/>
                  </w:tcBorders>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67" w:type="dxa"/>
                  <w:tcBorders>
                    <w:tl2br w:val="nil"/>
                    <w:tr2bl w:val="nil"/>
                  </w:tcBorders>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w:t>
                  </w:r>
                </w:p>
              </w:tc>
              <w:tc>
                <w:tcPr>
                  <w:tcW w:w="4489" w:type="dxa"/>
                  <w:tcBorders>
                    <w:tl2br w:val="nil"/>
                    <w:tr2bl w:val="nil"/>
                  </w:tcBorders>
                  <w:vAlign w:val="center"/>
                </w:tcPr>
                <w:p>
                  <w:pPr>
                    <w:pStyle w:val="15"/>
                    <w:bidi w:val="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禁止违法利用、占用长江流域河湖岸线。禁止在《长江岸线保护和开发利用总体规划》划定的岸线保护区和保留区内投资建设除事关公共安全及公众利益的防洪护岸、河道治理、供水、生态环境保护、航道整治、国家重要基础设施以外的项目。禁止在《全国重要江河湖泊水功能区划》划定的河段及湖泊保护区、保留区内投资建设不利于水资源及自然生态保护的项目。</w:t>
                  </w:r>
                </w:p>
              </w:tc>
              <w:tc>
                <w:tcPr>
                  <w:tcW w:w="2432" w:type="dxa"/>
                  <w:tcBorders>
                    <w:tl2br w:val="nil"/>
                    <w:tr2bl w:val="nil"/>
                  </w:tcBorders>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项目不涉及利用、占用长江流域河湖岸线；不涉及相关保护区。</w:t>
                  </w:r>
                </w:p>
              </w:tc>
              <w:tc>
                <w:tcPr>
                  <w:tcW w:w="970" w:type="dxa"/>
                  <w:tcBorders>
                    <w:tl2br w:val="nil"/>
                    <w:tr2bl w:val="nil"/>
                  </w:tcBorders>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67" w:type="dxa"/>
                  <w:tcBorders>
                    <w:tl2br w:val="nil"/>
                    <w:tr2bl w:val="nil"/>
                  </w:tcBorders>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6</w:t>
                  </w:r>
                </w:p>
              </w:tc>
              <w:tc>
                <w:tcPr>
                  <w:tcW w:w="4489" w:type="dxa"/>
                  <w:tcBorders>
                    <w:tl2br w:val="nil"/>
                    <w:tr2bl w:val="nil"/>
                  </w:tcBorders>
                  <w:vAlign w:val="center"/>
                </w:tcPr>
                <w:p>
                  <w:pPr>
                    <w:pStyle w:val="15"/>
                    <w:bidi w:val="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禁止未经许可在长江干支流及湖泊新设、改设或扩大排污口。</w:t>
                  </w:r>
                </w:p>
              </w:tc>
              <w:tc>
                <w:tcPr>
                  <w:tcW w:w="2432" w:type="dxa"/>
                  <w:tcBorders>
                    <w:tl2br w:val="nil"/>
                    <w:tr2bl w:val="nil"/>
                  </w:tcBorders>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项目流域为胡家河，项目施工废水不排放，</w:t>
                  </w:r>
                  <w:r>
                    <w:rPr>
                      <w:rFonts w:hint="default" w:ascii="Times New Roman" w:hAnsi="Times New Roman" w:cs="Times New Roman"/>
                      <w:color w:val="auto"/>
                      <w:highlight w:val="none"/>
                    </w:rPr>
                    <w:t>施工场地生活废水依托附近民宅既有污水处理设施收集处理</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不设排污口。</w:t>
                  </w:r>
                </w:p>
              </w:tc>
              <w:tc>
                <w:tcPr>
                  <w:tcW w:w="970" w:type="dxa"/>
                  <w:tcBorders>
                    <w:tl2br w:val="nil"/>
                    <w:tr2bl w:val="nil"/>
                  </w:tcBorders>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67" w:type="dxa"/>
                  <w:tcBorders>
                    <w:tl2br w:val="nil"/>
                    <w:tr2bl w:val="nil"/>
                  </w:tcBorders>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7</w:t>
                  </w:r>
                </w:p>
              </w:tc>
              <w:tc>
                <w:tcPr>
                  <w:tcW w:w="4489" w:type="dxa"/>
                  <w:tcBorders>
                    <w:tl2br w:val="nil"/>
                    <w:tr2bl w:val="nil"/>
                  </w:tcBorders>
                  <w:vAlign w:val="center"/>
                </w:tcPr>
                <w:p>
                  <w:pPr>
                    <w:pStyle w:val="15"/>
                    <w:bidi w:val="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禁止在“一江一口两湖七河”和322个水生生物保护区开展生产性捕捞。</w:t>
                  </w:r>
                </w:p>
              </w:tc>
              <w:tc>
                <w:tcPr>
                  <w:tcW w:w="2432" w:type="dxa"/>
                  <w:tcBorders>
                    <w:tl2br w:val="nil"/>
                    <w:tr2bl w:val="nil"/>
                  </w:tcBorders>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本项目为</w:t>
                  </w:r>
                  <w:r>
                    <w:rPr>
                      <w:rFonts w:hint="default" w:ascii="Times New Roman" w:hAnsi="Times New Roman" w:cs="Times New Roman"/>
                      <w:color w:val="auto"/>
                      <w:highlight w:val="none"/>
                      <w:lang w:val="en-US" w:eastAsia="zh-CN"/>
                    </w:rPr>
                    <w:t>防洪治理工程项目</w:t>
                  </w:r>
                  <w:r>
                    <w:rPr>
                      <w:rFonts w:hint="default" w:ascii="Times New Roman" w:hAnsi="Times New Roman" w:cs="Times New Roman"/>
                      <w:color w:val="auto"/>
                      <w:highlight w:val="none"/>
                    </w:rPr>
                    <w:t>，不涉及捕捞。</w:t>
                  </w:r>
                </w:p>
              </w:tc>
              <w:tc>
                <w:tcPr>
                  <w:tcW w:w="970" w:type="dxa"/>
                  <w:tcBorders>
                    <w:tl2br w:val="nil"/>
                    <w:tr2bl w:val="nil"/>
                  </w:tcBorders>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67" w:type="dxa"/>
                  <w:tcBorders>
                    <w:tl2br w:val="nil"/>
                    <w:tr2bl w:val="nil"/>
                  </w:tcBorders>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8</w:t>
                  </w:r>
                </w:p>
              </w:tc>
              <w:tc>
                <w:tcPr>
                  <w:tcW w:w="4489" w:type="dxa"/>
                  <w:tcBorders>
                    <w:tl2br w:val="nil"/>
                    <w:tr2bl w:val="nil"/>
                  </w:tcBorders>
                  <w:vAlign w:val="center"/>
                </w:tcPr>
                <w:p>
                  <w:pPr>
                    <w:pStyle w:val="15"/>
                    <w:bidi w:val="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禁止在长江干支流、重要湖泊岸线一公里范围内新建、扩建化工园区和化工项目。禁止在长江干流岸线三公里范围内和重要支流岸线一公里范围内新建、改建、扩建尾矿库、冶炼渣库、磷石膏库，已提升安全、生态环境保护水平为目的的改建除外。</w:t>
                  </w:r>
                </w:p>
              </w:tc>
              <w:tc>
                <w:tcPr>
                  <w:tcW w:w="2432" w:type="dxa"/>
                  <w:vMerge w:val="restart"/>
                  <w:tcBorders>
                    <w:tl2br w:val="nil"/>
                    <w:tr2bl w:val="nil"/>
                  </w:tcBorders>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项目为</w:t>
                  </w:r>
                  <w:r>
                    <w:rPr>
                      <w:rFonts w:hint="default" w:ascii="Times New Roman" w:hAnsi="Times New Roman" w:cs="Times New Roman"/>
                      <w:color w:val="auto"/>
                      <w:highlight w:val="none"/>
                      <w:lang w:val="en-US" w:eastAsia="zh-CN"/>
                    </w:rPr>
                    <w:t>防洪治理工程项目</w:t>
                  </w:r>
                  <w:r>
                    <w:rPr>
                      <w:rFonts w:hint="default" w:ascii="Times New Roman" w:hAnsi="Times New Roman" w:cs="Times New Roman"/>
                      <w:color w:val="auto"/>
                      <w:highlight w:val="none"/>
                    </w:rPr>
                    <w:t>，不属于工业类高污染项目。</w:t>
                  </w:r>
                </w:p>
              </w:tc>
              <w:tc>
                <w:tcPr>
                  <w:tcW w:w="970" w:type="dxa"/>
                  <w:tcBorders>
                    <w:tl2br w:val="nil"/>
                    <w:tr2bl w:val="nil"/>
                  </w:tcBorders>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67" w:type="dxa"/>
                  <w:tcBorders>
                    <w:tl2br w:val="nil"/>
                    <w:tr2bl w:val="nil"/>
                  </w:tcBorders>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9</w:t>
                  </w:r>
                </w:p>
              </w:tc>
              <w:tc>
                <w:tcPr>
                  <w:tcW w:w="4489" w:type="dxa"/>
                  <w:tcBorders>
                    <w:tl2br w:val="nil"/>
                    <w:tr2bl w:val="nil"/>
                  </w:tcBorders>
                  <w:vAlign w:val="center"/>
                </w:tcPr>
                <w:p>
                  <w:pPr>
                    <w:pStyle w:val="15"/>
                    <w:bidi w:val="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禁止在合规园区外新建、扩建钢铁、石化、化工、焦化、建材、有色、制浆造纸等高污染项目。</w:t>
                  </w:r>
                </w:p>
              </w:tc>
              <w:tc>
                <w:tcPr>
                  <w:tcW w:w="2432" w:type="dxa"/>
                  <w:vMerge w:val="continue"/>
                  <w:tcBorders>
                    <w:tl2br w:val="nil"/>
                    <w:tr2bl w:val="nil"/>
                  </w:tcBorders>
                  <w:vAlign w:val="center"/>
                </w:tcPr>
                <w:p>
                  <w:pPr>
                    <w:pStyle w:val="15"/>
                    <w:bidi w:val="0"/>
                    <w:jc w:val="both"/>
                    <w:rPr>
                      <w:rFonts w:hint="default" w:ascii="Times New Roman" w:hAnsi="Times New Roman" w:cs="Times New Roman"/>
                      <w:color w:val="auto"/>
                      <w:highlight w:val="none"/>
                    </w:rPr>
                  </w:pPr>
                </w:p>
              </w:tc>
              <w:tc>
                <w:tcPr>
                  <w:tcW w:w="970" w:type="dxa"/>
                  <w:tcBorders>
                    <w:tl2br w:val="nil"/>
                    <w:tr2bl w:val="nil"/>
                  </w:tcBorders>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67" w:type="dxa"/>
                  <w:tcBorders>
                    <w:tl2br w:val="nil"/>
                    <w:tr2bl w:val="nil"/>
                  </w:tcBorders>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10</w:t>
                  </w:r>
                </w:p>
              </w:tc>
              <w:tc>
                <w:tcPr>
                  <w:tcW w:w="4489" w:type="dxa"/>
                  <w:tcBorders>
                    <w:tl2br w:val="nil"/>
                    <w:tr2bl w:val="nil"/>
                  </w:tcBorders>
                  <w:vAlign w:val="center"/>
                </w:tcPr>
                <w:p>
                  <w:pPr>
                    <w:pStyle w:val="15"/>
                    <w:bidi w:val="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禁止新建、扩建不符合国家石化、现代煤化工等产业布局规划的项目。</w:t>
                  </w:r>
                </w:p>
              </w:tc>
              <w:tc>
                <w:tcPr>
                  <w:tcW w:w="2432" w:type="dxa"/>
                  <w:tcBorders>
                    <w:tl2br w:val="nil"/>
                    <w:tr2bl w:val="nil"/>
                  </w:tcBorders>
                  <w:vAlign w:val="center"/>
                </w:tcPr>
                <w:p>
                  <w:pPr>
                    <w:pStyle w:val="15"/>
                    <w:bidi w:val="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本项目为</w:t>
                  </w:r>
                  <w:r>
                    <w:rPr>
                      <w:rFonts w:hint="default" w:ascii="Times New Roman" w:hAnsi="Times New Roman" w:cs="Times New Roman"/>
                      <w:color w:val="auto"/>
                      <w:highlight w:val="none"/>
                      <w:lang w:val="en-US" w:eastAsia="zh-CN"/>
                    </w:rPr>
                    <w:t>防洪治理工程项目</w:t>
                  </w:r>
                  <w:r>
                    <w:rPr>
                      <w:rFonts w:hint="default" w:ascii="Times New Roman" w:hAnsi="Times New Roman" w:cs="Times New Roman"/>
                      <w:color w:val="auto"/>
                      <w:highlight w:val="none"/>
                    </w:rPr>
                    <w:t>，不涉及石化、现代煤化工产业。</w:t>
                  </w:r>
                </w:p>
              </w:tc>
              <w:tc>
                <w:tcPr>
                  <w:tcW w:w="970" w:type="dxa"/>
                  <w:tcBorders>
                    <w:tl2br w:val="nil"/>
                    <w:tr2bl w:val="nil"/>
                  </w:tcBorders>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67" w:type="dxa"/>
                  <w:tcBorders>
                    <w:tl2br w:val="nil"/>
                    <w:tr2bl w:val="nil"/>
                  </w:tcBorders>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11</w:t>
                  </w:r>
                </w:p>
              </w:tc>
              <w:tc>
                <w:tcPr>
                  <w:tcW w:w="4489" w:type="dxa"/>
                  <w:tcBorders>
                    <w:tl2br w:val="nil"/>
                    <w:tr2bl w:val="nil"/>
                  </w:tcBorders>
                  <w:vAlign w:val="center"/>
                </w:tcPr>
                <w:p>
                  <w:pPr>
                    <w:pStyle w:val="15"/>
                    <w:bidi w:val="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禁止新建、扩建法律法规和相关政策明令禁止的落后产能项目。禁止新建、扩建不符合国家产能置换要求的严重过剩产能行业的项目。禁止新建、扩建不符合要求的高耗能高排放项目。</w:t>
                  </w:r>
                </w:p>
              </w:tc>
              <w:tc>
                <w:tcPr>
                  <w:tcW w:w="2432" w:type="dxa"/>
                  <w:tcBorders>
                    <w:tl2br w:val="nil"/>
                    <w:tr2bl w:val="nil"/>
                  </w:tcBorders>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本项目不属于落后产能项目，不属于过剩产能行业项目，不属于高耗能高排放项目。</w:t>
                  </w:r>
                </w:p>
              </w:tc>
              <w:tc>
                <w:tcPr>
                  <w:tcW w:w="970" w:type="dxa"/>
                  <w:tcBorders>
                    <w:tl2br w:val="nil"/>
                    <w:tr2bl w:val="nil"/>
                  </w:tcBorders>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67" w:type="dxa"/>
                  <w:tcBorders>
                    <w:tl2br w:val="nil"/>
                    <w:tr2bl w:val="nil"/>
                  </w:tcBorders>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1</w:t>
                  </w:r>
                  <w:r>
                    <w:rPr>
                      <w:rFonts w:hint="default" w:ascii="Times New Roman" w:hAnsi="Times New Roman" w:cs="Times New Roman"/>
                      <w:color w:val="auto"/>
                      <w:highlight w:val="none"/>
                      <w:lang w:val="en-US" w:eastAsia="zh-CN"/>
                    </w:rPr>
                    <w:t>2</w:t>
                  </w:r>
                </w:p>
              </w:tc>
              <w:tc>
                <w:tcPr>
                  <w:tcW w:w="4489" w:type="dxa"/>
                  <w:tcBorders>
                    <w:tl2br w:val="nil"/>
                    <w:tr2bl w:val="nil"/>
                  </w:tcBorders>
                  <w:vAlign w:val="center"/>
                </w:tcPr>
                <w:p>
                  <w:pPr>
                    <w:pStyle w:val="15"/>
                    <w:bidi w:val="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法律法规及相关政策文件有更加严格规定的从其规定。</w:t>
                  </w:r>
                </w:p>
              </w:tc>
              <w:tc>
                <w:tcPr>
                  <w:tcW w:w="2432" w:type="dxa"/>
                  <w:tcBorders>
                    <w:tl2br w:val="nil"/>
                    <w:tr2bl w:val="nil"/>
                  </w:tcBorders>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本项目符合相关法律法规及政策规定。</w:t>
                  </w:r>
                </w:p>
              </w:tc>
              <w:tc>
                <w:tcPr>
                  <w:tcW w:w="970" w:type="dxa"/>
                  <w:tcBorders>
                    <w:tl2br w:val="nil"/>
                    <w:tr2bl w:val="nil"/>
                  </w:tcBorders>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符合</w:t>
                  </w:r>
                </w:p>
              </w:tc>
            </w:tr>
          </w:tbl>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综上分析，本项目不属于《长江经济带发展负面清单指南（试行，2022年版）》禁止及限制建设内容。</w:t>
            </w:r>
          </w:p>
          <w:p>
            <w:pPr>
              <w:numPr>
                <w:ilvl w:val="-1"/>
                <w:numId w:val="0"/>
              </w:numPr>
              <w:bidi w:val="0"/>
              <w:ind w:firstLine="482" w:firstLineChars="200"/>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6、与《四川省、重庆市长江经济带发展负面清单实施细则（试行，2022年版）（征求意见稿）》符合性分析</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根据《四川省、重庆市长江经济带发展负面清单实施细则（试行，2022年版）》，项目不在负面清单之中，符合性分析见下表。</w:t>
            </w:r>
          </w:p>
          <w:p>
            <w:pPr>
              <w:pStyle w:val="1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表1-4  项目与《四川省、重庆市长江经济带发展负面清单实施细则（试行，2022年版）》符合性分析</w:t>
            </w:r>
          </w:p>
          <w:tbl>
            <w:tblPr>
              <w:tblStyle w:val="12"/>
              <w:tblW w:w="851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50"/>
              <w:gridCol w:w="4454"/>
              <w:gridCol w:w="2553"/>
              <w:gridCol w:w="86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50" w:type="dxa"/>
                  <w:tcBorders>
                    <w:tl2br w:val="nil"/>
                    <w:tr2bl w:val="nil"/>
                  </w:tcBorders>
                  <w:vAlign w:val="center"/>
                </w:tcPr>
                <w:p>
                  <w:pPr>
                    <w:pStyle w:val="15"/>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序号</w:t>
                  </w:r>
                </w:p>
              </w:tc>
              <w:tc>
                <w:tcPr>
                  <w:tcW w:w="4454" w:type="dxa"/>
                  <w:tcBorders>
                    <w:tl2br w:val="nil"/>
                    <w:tr2bl w:val="nil"/>
                  </w:tcBorders>
                  <w:vAlign w:val="center"/>
                </w:tcPr>
                <w:p>
                  <w:pPr>
                    <w:pStyle w:val="15"/>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内容</w:t>
                  </w:r>
                </w:p>
              </w:tc>
              <w:tc>
                <w:tcPr>
                  <w:tcW w:w="2553" w:type="dxa"/>
                  <w:tcBorders>
                    <w:tl2br w:val="nil"/>
                    <w:tr2bl w:val="nil"/>
                  </w:tcBorders>
                  <w:vAlign w:val="center"/>
                </w:tcPr>
                <w:p>
                  <w:pPr>
                    <w:pStyle w:val="15"/>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本项目情况</w:t>
                  </w:r>
                </w:p>
              </w:tc>
              <w:tc>
                <w:tcPr>
                  <w:tcW w:w="860" w:type="dxa"/>
                  <w:tcBorders>
                    <w:tl2br w:val="nil"/>
                    <w:tr2bl w:val="nil"/>
                  </w:tcBorders>
                  <w:vAlign w:val="center"/>
                </w:tcPr>
                <w:p>
                  <w:pPr>
                    <w:pStyle w:val="15"/>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50"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w:t>
                  </w:r>
                </w:p>
              </w:tc>
              <w:tc>
                <w:tcPr>
                  <w:tcW w:w="4454"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禁止新建、改建和扩建不符合《全国内河航道与港口布局规划》等全国港口规划，以及《四川省内河水运发展规划》《泸州—宜宾—乐山港口群布局规划》《重庆港总体规划（2035年）》等省级港口布局规划及市级港口总体规划的码头项目。</w:t>
                  </w:r>
                </w:p>
              </w:tc>
              <w:tc>
                <w:tcPr>
                  <w:tcW w:w="2553"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w:t>
                  </w:r>
                  <w:r>
                    <w:rPr>
                      <w:rFonts w:hint="default" w:ascii="Times New Roman" w:hAnsi="Times New Roman" w:cs="Times New Roman"/>
                      <w:color w:val="auto"/>
                      <w:highlight w:val="none"/>
                    </w:rPr>
                    <w:t>为</w:t>
                  </w:r>
                  <w:r>
                    <w:rPr>
                      <w:rFonts w:hint="default" w:ascii="Times New Roman" w:hAnsi="Times New Roman" w:cs="Times New Roman"/>
                      <w:color w:val="auto"/>
                      <w:highlight w:val="none"/>
                      <w:lang w:val="en-US" w:eastAsia="zh-CN"/>
                    </w:rPr>
                    <w:t>防洪治理工程项目</w:t>
                  </w:r>
                  <w:r>
                    <w:rPr>
                      <w:rFonts w:hint="default" w:ascii="Times New Roman" w:hAnsi="Times New Roman" w:cs="Times New Roman"/>
                      <w:color w:val="auto"/>
                      <w:highlight w:val="none"/>
                      <w:lang w:eastAsia="zh-CN"/>
                    </w:rPr>
                    <w:t>，不属于码头项目</w:t>
                  </w:r>
                  <w:r>
                    <w:rPr>
                      <w:rFonts w:hint="default" w:ascii="Times New Roman" w:hAnsi="Times New Roman" w:cs="Times New Roman"/>
                      <w:color w:val="auto"/>
                      <w:highlight w:val="none"/>
                    </w:rPr>
                    <w:t>。</w:t>
                  </w:r>
                </w:p>
              </w:tc>
              <w:tc>
                <w:tcPr>
                  <w:tcW w:w="860"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50"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w:t>
                  </w:r>
                </w:p>
              </w:tc>
              <w:tc>
                <w:tcPr>
                  <w:tcW w:w="4454"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禁止新建、改建和扩建不符合《长江干线过江通道布局规划（2020—2035年）》的过长江通道项目（含桥梁、隧道），国家发展改革委同意过长江通道线位调整的除外。</w:t>
                  </w:r>
                </w:p>
              </w:tc>
              <w:tc>
                <w:tcPr>
                  <w:tcW w:w="2553"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w:t>
                  </w:r>
                  <w:r>
                    <w:rPr>
                      <w:rFonts w:hint="default" w:ascii="Times New Roman" w:hAnsi="Times New Roman" w:cs="Times New Roman"/>
                      <w:color w:val="auto"/>
                      <w:highlight w:val="none"/>
                    </w:rPr>
                    <w:t>为</w:t>
                  </w:r>
                  <w:r>
                    <w:rPr>
                      <w:rFonts w:hint="default" w:ascii="Times New Roman" w:hAnsi="Times New Roman" w:cs="Times New Roman"/>
                      <w:color w:val="auto"/>
                      <w:highlight w:val="none"/>
                      <w:lang w:val="en-US" w:eastAsia="zh-CN"/>
                    </w:rPr>
                    <w:t>防洪治理工程项目</w:t>
                  </w:r>
                  <w:r>
                    <w:rPr>
                      <w:rFonts w:hint="default" w:ascii="Times New Roman" w:hAnsi="Times New Roman" w:cs="Times New Roman"/>
                      <w:color w:val="auto"/>
                      <w:highlight w:val="none"/>
                      <w:lang w:eastAsia="zh-CN"/>
                    </w:rPr>
                    <w:t>，不属于</w:t>
                  </w:r>
                  <w:r>
                    <w:rPr>
                      <w:rFonts w:hint="default" w:ascii="Times New Roman" w:hAnsi="Times New Roman" w:cs="Times New Roman"/>
                      <w:color w:val="auto"/>
                      <w:highlight w:val="none"/>
                      <w:lang w:val="en-US" w:eastAsia="zh-CN"/>
                    </w:rPr>
                    <w:t>过长江通道</w:t>
                  </w:r>
                  <w:r>
                    <w:rPr>
                      <w:rFonts w:hint="default" w:ascii="Times New Roman" w:hAnsi="Times New Roman" w:cs="Times New Roman"/>
                      <w:color w:val="auto"/>
                      <w:highlight w:val="none"/>
                      <w:lang w:eastAsia="zh-CN"/>
                    </w:rPr>
                    <w:t>项目</w:t>
                  </w:r>
                  <w:r>
                    <w:rPr>
                      <w:rFonts w:hint="default" w:ascii="Times New Roman" w:hAnsi="Times New Roman" w:cs="Times New Roman"/>
                      <w:color w:val="auto"/>
                      <w:highlight w:val="none"/>
                    </w:rPr>
                    <w:t>。</w:t>
                  </w:r>
                </w:p>
              </w:tc>
              <w:tc>
                <w:tcPr>
                  <w:tcW w:w="860"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50"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w:t>
                  </w:r>
                </w:p>
              </w:tc>
              <w:tc>
                <w:tcPr>
                  <w:tcW w:w="4454"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禁止在自然保护区核心区、缓冲区的岸线和河段范围内投资建设旅游和生产经营项目。自然保护区的内部未分区的，依照本实施细则核心区和缓冲区的规定管控。</w:t>
                  </w:r>
                </w:p>
              </w:tc>
              <w:tc>
                <w:tcPr>
                  <w:tcW w:w="2553"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项目区及周边无自然保护区</w:t>
                  </w:r>
                  <w:r>
                    <w:rPr>
                      <w:rFonts w:hint="default" w:ascii="Times New Roman" w:hAnsi="Times New Roman" w:cs="Times New Roman"/>
                      <w:color w:val="auto"/>
                      <w:highlight w:val="none"/>
                      <w:lang w:eastAsia="zh-CN"/>
                    </w:rPr>
                    <w:t>。</w:t>
                  </w:r>
                </w:p>
              </w:tc>
              <w:tc>
                <w:tcPr>
                  <w:tcW w:w="860"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50"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w:t>
                  </w:r>
                </w:p>
              </w:tc>
              <w:tc>
                <w:tcPr>
                  <w:tcW w:w="4454" w:type="dxa"/>
                  <w:tcBorders>
                    <w:tl2br w:val="nil"/>
                    <w:tr2bl w:val="nil"/>
                  </w:tcBorders>
                  <w:vAlign w:val="center"/>
                </w:tcPr>
                <w:p>
                  <w:pPr>
                    <w:pStyle w:val="15"/>
                    <w:rPr>
                      <w:rFonts w:hint="default" w:ascii="Times New Roman" w:hAnsi="Times New Roman" w:cs="Times New Roman"/>
                      <w:color w:val="auto"/>
                      <w:highlight w:val="none"/>
                    </w:rPr>
                  </w:pPr>
                  <w:r>
                    <w:rPr>
                      <w:rFonts w:hint="default" w:ascii="Times New Roman" w:hAnsi="Times New Roman" w:cs="Times New Roman"/>
                      <w:color w:val="auto"/>
                      <w:highlight w:val="none"/>
                    </w:rPr>
                    <w:t>禁止违反风景名胜区规划，在风景名胜区内设立各类开发区。禁止在风景名胜区核心景区的岸线和河段范围内建设宾馆、招待所、培训中心、疗养院以及与风景名胜资源保护无关的项目。</w:t>
                  </w:r>
                </w:p>
              </w:tc>
              <w:tc>
                <w:tcPr>
                  <w:tcW w:w="2553"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项目区及周边</w:t>
                  </w:r>
                  <w:r>
                    <w:rPr>
                      <w:rFonts w:hint="default" w:ascii="Times New Roman" w:hAnsi="Times New Roman" w:cs="Times New Roman"/>
                      <w:color w:val="auto"/>
                      <w:highlight w:val="none"/>
                      <w:lang w:val="en-US" w:eastAsia="zh-CN"/>
                    </w:rPr>
                    <w:t>无</w:t>
                  </w:r>
                  <w:r>
                    <w:rPr>
                      <w:rFonts w:hint="default" w:ascii="Times New Roman" w:hAnsi="Times New Roman" w:cs="Times New Roman"/>
                      <w:color w:val="auto"/>
                      <w:highlight w:val="none"/>
                    </w:rPr>
                    <w:t>风景名胜区。</w:t>
                  </w:r>
                </w:p>
              </w:tc>
              <w:tc>
                <w:tcPr>
                  <w:tcW w:w="860"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50"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w:t>
                  </w:r>
                </w:p>
              </w:tc>
              <w:tc>
                <w:tcPr>
                  <w:tcW w:w="4454" w:type="dxa"/>
                  <w:tcBorders>
                    <w:tl2br w:val="nil"/>
                    <w:tr2bl w:val="nil"/>
                  </w:tcBorders>
                  <w:vAlign w:val="center"/>
                </w:tcPr>
                <w:p>
                  <w:pPr>
                    <w:pStyle w:val="15"/>
                    <w:rPr>
                      <w:rFonts w:hint="default" w:ascii="Times New Roman" w:hAnsi="Times New Roman" w:cs="Times New Roman"/>
                      <w:color w:val="auto"/>
                      <w:highlight w:val="none"/>
                    </w:rPr>
                  </w:pPr>
                  <w:r>
                    <w:rPr>
                      <w:rFonts w:hint="default" w:ascii="Times New Roman" w:hAnsi="Times New Roman" w:cs="Times New Roman"/>
                      <w:color w:val="auto"/>
                      <w:highlight w:val="none"/>
                    </w:rPr>
                    <w:t>禁止在饮用水水源准保护区的岸线和河段范围内新建、扩建对水体污染严重的建设项目，禁止改建增加排污量的建设项目。</w:t>
                  </w:r>
                </w:p>
              </w:tc>
              <w:tc>
                <w:tcPr>
                  <w:tcW w:w="2553"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项目区不涉及饮用水源保护区。</w:t>
                  </w:r>
                </w:p>
              </w:tc>
              <w:tc>
                <w:tcPr>
                  <w:tcW w:w="860"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50"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w:t>
                  </w:r>
                </w:p>
              </w:tc>
              <w:tc>
                <w:tcPr>
                  <w:tcW w:w="4454" w:type="dxa"/>
                  <w:tcBorders>
                    <w:tl2br w:val="nil"/>
                    <w:tr2bl w:val="nil"/>
                  </w:tcBorders>
                  <w:vAlign w:val="center"/>
                </w:tcPr>
                <w:p>
                  <w:pPr>
                    <w:pStyle w:val="15"/>
                    <w:rPr>
                      <w:rFonts w:hint="default" w:ascii="Times New Roman" w:hAnsi="Times New Roman" w:cs="Times New Roman"/>
                      <w:color w:val="auto"/>
                      <w:highlight w:val="none"/>
                    </w:rPr>
                  </w:pPr>
                  <w:r>
                    <w:rPr>
                      <w:rFonts w:hint="default" w:ascii="Times New Roman" w:hAnsi="Times New Roman" w:cs="Times New Roman"/>
                      <w:color w:val="auto"/>
                      <w:highlight w:val="none"/>
                    </w:rPr>
                    <w:t>饮用水水源二级保护区的岸线和河段范围内，除应遵守准保护区规定外，禁止新建、改建、扩建排放污染物的投资建设项目；禁止从事采石（砂）、对水体有污染的水产养殖等活动</w:t>
                  </w:r>
                </w:p>
              </w:tc>
              <w:tc>
                <w:tcPr>
                  <w:tcW w:w="2553"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项目区不涉及饮用水源</w:t>
                  </w:r>
                  <w:r>
                    <w:rPr>
                      <w:rFonts w:hint="default" w:ascii="Times New Roman" w:hAnsi="Times New Roman" w:cs="Times New Roman"/>
                      <w:color w:val="auto"/>
                      <w:highlight w:val="none"/>
                      <w:lang w:val="en-US" w:eastAsia="zh-CN"/>
                    </w:rPr>
                    <w:t>二级</w:t>
                  </w:r>
                  <w:r>
                    <w:rPr>
                      <w:rFonts w:hint="default" w:ascii="Times New Roman" w:hAnsi="Times New Roman" w:cs="Times New Roman"/>
                      <w:color w:val="auto"/>
                      <w:highlight w:val="none"/>
                    </w:rPr>
                    <w:t>保护区。</w:t>
                  </w:r>
                </w:p>
              </w:tc>
              <w:tc>
                <w:tcPr>
                  <w:tcW w:w="860"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50"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w:t>
                  </w:r>
                </w:p>
              </w:tc>
              <w:tc>
                <w:tcPr>
                  <w:tcW w:w="4454" w:type="dxa"/>
                  <w:tcBorders>
                    <w:tl2br w:val="nil"/>
                    <w:tr2bl w:val="nil"/>
                  </w:tcBorders>
                  <w:vAlign w:val="center"/>
                </w:tcPr>
                <w:p>
                  <w:pPr>
                    <w:pStyle w:val="15"/>
                    <w:rPr>
                      <w:rFonts w:hint="default" w:ascii="Times New Roman" w:hAnsi="Times New Roman" w:cs="Times New Roman"/>
                      <w:color w:val="auto"/>
                      <w:highlight w:val="none"/>
                    </w:rPr>
                  </w:pPr>
                  <w:r>
                    <w:rPr>
                      <w:rFonts w:hint="default" w:ascii="Times New Roman" w:hAnsi="Times New Roman" w:cs="Times New Roman"/>
                      <w:color w:val="auto"/>
                      <w:highlight w:val="none"/>
                    </w:rPr>
                    <w:t>饮用水水源一级保护区的岸线和河段范围内，除应遵守二级保护区规定外，禁止新建、改建、扩建与供（取）水设施和保护水源无关的项目，以及网箱养殖、畜禽养殖、旅游等—4—可能污染饮用水水体的投资建设项目。</w:t>
                  </w:r>
                </w:p>
              </w:tc>
              <w:tc>
                <w:tcPr>
                  <w:tcW w:w="2553"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项目区不涉及饮用水源</w:t>
                  </w:r>
                  <w:r>
                    <w:rPr>
                      <w:rFonts w:hint="default" w:ascii="Times New Roman" w:hAnsi="Times New Roman" w:cs="Times New Roman"/>
                      <w:color w:val="auto"/>
                      <w:highlight w:val="none"/>
                      <w:lang w:val="en-US" w:eastAsia="zh-CN"/>
                    </w:rPr>
                    <w:t>一级</w:t>
                  </w:r>
                  <w:r>
                    <w:rPr>
                      <w:rFonts w:hint="default" w:ascii="Times New Roman" w:hAnsi="Times New Roman" w:cs="Times New Roman"/>
                      <w:color w:val="auto"/>
                      <w:highlight w:val="none"/>
                    </w:rPr>
                    <w:t>保护区。</w:t>
                  </w:r>
                </w:p>
              </w:tc>
              <w:tc>
                <w:tcPr>
                  <w:tcW w:w="860"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50"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8</w:t>
                  </w:r>
                </w:p>
              </w:tc>
              <w:tc>
                <w:tcPr>
                  <w:tcW w:w="4454" w:type="dxa"/>
                  <w:tcBorders>
                    <w:tl2br w:val="nil"/>
                    <w:tr2bl w:val="nil"/>
                  </w:tcBorders>
                  <w:vAlign w:val="center"/>
                </w:tcPr>
                <w:p>
                  <w:pPr>
                    <w:pStyle w:val="15"/>
                    <w:rPr>
                      <w:rFonts w:hint="default" w:ascii="Times New Roman" w:hAnsi="Times New Roman" w:cs="Times New Roman"/>
                      <w:color w:val="auto"/>
                      <w:highlight w:val="none"/>
                    </w:rPr>
                  </w:pPr>
                  <w:r>
                    <w:rPr>
                      <w:rFonts w:hint="default" w:ascii="Times New Roman" w:hAnsi="Times New Roman" w:cs="Times New Roman"/>
                      <w:color w:val="auto"/>
                      <w:highlight w:val="none"/>
                    </w:rPr>
                    <w:t>禁止在水产种质资源保护区岸线和河段范围内新建围湖造田、围湖造地或挖沙采石等投资建设项目。</w:t>
                  </w:r>
                </w:p>
              </w:tc>
              <w:tc>
                <w:tcPr>
                  <w:tcW w:w="2553"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w:t>
                  </w:r>
                  <w:r>
                    <w:rPr>
                      <w:rFonts w:hint="default" w:ascii="Times New Roman" w:hAnsi="Times New Roman" w:cs="Times New Roman"/>
                      <w:color w:val="auto"/>
                      <w:highlight w:val="none"/>
                      <w:lang w:eastAsia="zh-CN"/>
                    </w:rPr>
                    <w:t>项目</w:t>
                  </w:r>
                  <w:r>
                    <w:rPr>
                      <w:rFonts w:hint="default" w:ascii="Times New Roman" w:hAnsi="Times New Roman" w:cs="Times New Roman"/>
                      <w:color w:val="auto"/>
                      <w:highlight w:val="none"/>
                    </w:rPr>
                    <w:t>为</w:t>
                  </w:r>
                  <w:r>
                    <w:rPr>
                      <w:rFonts w:hint="default" w:ascii="Times New Roman" w:hAnsi="Times New Roman" w:cs="Times New Roman"/>
                      <w:color w:val="auto"/>
                      <w:highlight w:val="none"/>
                      <w:lang w:val="en-US" w:eastAsia="zh-CN"/>
                    </w:rPr>
                    <w:t>防洪治理工程项目，不涉及</w:t>
                  </w:r>
                  <w:r>
                    <w:rPr>
                      <w:rFonts w:hint="default" w:ascii="Times New Roman" w:hAnsi="Times New Roman" w:cs="Times New Roman"/>
                      <w:color w:val="auto"/>
                      <w:highlight w:val="none"/>
                    </w:rPr>
                    <w:t>在水产种质资源保护区岸线和河段范围内新建围湖造田、围湖造地或挖沙采石等投资建设项目</w:t>
                  </w:r>
                  <w:r>
                    <w:rPr>
                      <w:rFonts w:hint="default" w:ascii="Times New Roman" w:hAnsi="Times New Roman" w:cs="Times New Roman"/>
                      <w:color w:val="auto"/>
                      <w:highlight w:val="none"/>
                      <w:lang w:val="en-US" w:eastAsia="zh-CN"/>
                    </w:rPr>
                    <w:t>。</w:t>
                  </w:r>
                </w:p>
              </w:tc>
              <w:tc>
                <w:tcPr>
                  <w:tcW w:w="860"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50"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9</w:t>
                  </w:r>
                </w:p>
              </w:tc>
              <w:tc>
                <w:tcPr>
                  <w:tcW w:w="4454" w:type="dxa"/>
                  <w:tcBorders>
                    <w:tl2br w:val="nil"/>
                    <w:tr2bl w:val="nil"/>
                  </w:tcBorders>
                  <w:vAlign w:val="center"/>
                </w:tcPr>
                <w:p>
                  <w:pPr>
                    <w:pStyle w:val="15"/>
                    <w:rPr>
                      <w:rFonts w:hint="default" w:ascii="Times New Roman" w:hAnsi="Times New Roman" w:cs="Times New Roman"/>
                      <w:color w:val="auto"/>
                      <w:highlight w:val="none"/>
                    </w:rPr>
                  </w:pPr>
                  <w:r>
                    <w:rPr>
                      <w:rFonts w:hint="default" w:ascii="Times New Roman" w:hAnsi="Times New Roman" w:cs="Times New Roman"/>
                      <w:color w:val="auto"/>
                      <w:highlight w:val="none"/>
                    </w:rPr>
                    <w:t>禁止在国家湿地公园的岸线和河段范围内开（围）垦、填埋或者排干湿地，截断湿地水源，挖沙、采矿，倾倒有毒有害物质、废弃物、垃圾，从事房地产、度假村、高尔夫球场、风力发电、光伏发电等任何不符合主体功能定位的建设项 目和开发活动，破坏野生动物栖息地和迁徙通道、鱼类洄游通道。</w:t>
                  </w:r>
                </w:p>
              </w:tc>
              <w:tc>
                <w:tcPr>
                  <w:tcW w:w="2553"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项目区不涉及湿地公园。</w:t>
                  </w:r>
                </w:p>
              </w:tc>
              <w:tc>
                <w:tcPr>
                  <w:tcW w:w="860"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50"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10</w:t>
                  </w:r>
                </w:p>
              </w:tc>
              <w:tc>
                <w:tcPr>
                  <w:tcW w:w="4454" w:type="dxa"/>
                  <w:tcBorders>
                    <w:tl2br w:val="nil"/>
                    <w:tr2bl w:val="nil"/>
                  </w:tcBorders>
                  <w:vAlign w:val="center"/>
                </w:tcPr>
                <w:p>
                  <w:pPr>
                    <w:pStyle w:val="15"/>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rPr>
                    <w:t>禁止违法利用、占用长江流域河湖岸线。禁止在《长江岸线保护和开发利用总体规划》划定的岸线保护区和岸线保留区内投资建设除事关公共安全及公众利益的防洪护岸、河道—5—治理、供水、生态环境保护、航道整治、国家重要基础设施以外的项目</w:t>
                  </w:r>
                  <w:r>
                    <w:rPr>
                      <w:rFonts w:hint="default" w:ascii="Times New Roman" w:hAnsi="Times New Roman" w:cs="Times New Roman"/>
                      <w:color w:val="auto"/>
                      <w:highlight w:val="none"/>
                      <w:lang w:eastAsia="zh-CN"/>
                    </w:rPr>
                    <w:t>。</w:t>
                  </w:r>
                </w:p>
              </w:tc>
              <w:tc>
                <w:tcPr>
                  <w:tcW w:w="2553"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项目为</w:t>
                  </w:r>
                  <w:r>
                    <w:rPr>
                      <w:rFonts w:hint="default" w:ascii="Times New Roman" w:hAnsi="Times New Roman" w:cs="Times New Roman"/>
                      <w:color w:val="auto"/>
                      <w:highlight w:val="none"/>
                      <w:lang w:val="en-US" w:eastAsia="zh-CN"/>
                    </w:rPr>
                    <w:t>防洪治理工程项目。</w:t>
                  </w:r>
                </w:p>
              </w:tc>
              <w:tc>
                <w:tcPr>
                  <w:tcW w:w="860"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50"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11</w:t>
                  </w:r>
                </w:p>
              </w:tc>
              <w:tc>
                <w:tcPr>
                  <w:tcW w:w="4454" w:type="dxa"/>
                  <w:tcBorders>
                    <w:tl2br w:val="nil"/>
                    <w:tr2bl w:val="nil"/>
                  </w:tcBorders>
                  <w:vAlign w:val="center"/>
                </w:tcPr>
                <w:p>
                  <w:pPr>
                    <w:pStyle w:val="15"/>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rPr>
                    <w:t>禁止在《全国重要江河湖泊水功能区划》划定的河段及湖泊保护区、保留区内投资建设不利于水资源及自然生态保护的项目</w:t>
                  </w:r>
                  <w:r>
                    <w:rPr>
                      <w:rFonts w:hint="default" w:ascii="Times New Roman" w:hAnsi="Times New Roman" w:cs="Times New Roman"/>
                      <w:color w:val="auto"/>
                      <w:highlight w:val="none"/>
                      <w:lang w:eastAsia="zh-CN"/>
                    </w:rPr>
                    <w:t>。</w:t>
                  </w:r>
                </w:p>
              </w:tc>
              <w:tc>
                <w:tcPr>
                  <w:tcW w:w="2553"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w:t>
                  </w:r>
                  <w:r>
                    <w:rPr>
                      <w:rFonts w:hint="default" w:ascii="Times New Roman" w:hAnsi="Times New Roman" w:cs="Times New Roman"/>
                      <w:color w:val="auto"/>
                      <w:highlight w:val="none"/>
                    </w:rPr>
                    <w:t>为</w:t>
                  </w:r>
                  <w:r>
                    <w:rPr>
                      <w:rFonts w:hint="default" w:ascii="Times New Roman" w:hAnsi="Times New Roman" w:cs="Times New Roman"/>
                      <w:color w:val="auto"/>
                      <w:highlight w:val="none"/>
                      <w:lang w:val="en-US" w:eastAsia="zh-CN"/>
                    </w:rPr>
                    <w:t>防洪治理工程项目，不涉及</w:t>
                  </w:r>
                  <w:r>
                    <w:rPr>
                      <w:rFonts w:hint="default" w:ascii="Times New Roman" w:hAnsi="Times New Roman" w:cs="Times New Roman"/>
                      <w:color w:val="auto"/>
                      <w:highlight w:val="none"/>
                    </w:rPr>
                    <w:t>在《全国重要江河湖泊水功能区划》划定的河段及湖泊保护区、保留区内投资建设不利于水资源及自然生态保护的项目</w:t>
                  </w:r>
                  <w:r>
                    <w:rPr>
                      <w:rFonts w:hint="default" w:ascii="Times New Roman" w:hAnsi="Times New Roman" w:cs="Times New Roman"/>
                      <w:color w:val="auto"/>
                      <w:highlight w:val="none"/>
                      <w:lang w:eastAsia="zh-CN"/>
                    </w:rPr>
                    <w:t>。</w:t>
                  </w:r>
                </w:p>
              </w:tc>
              <w:tc>
                <w:tcPr>
                  <w:tcW w:w="860"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50"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12</w:t>
                  </w:r>
                </w:p>
              </w:tc>
              <w:tc>
                <w:tcPr>
                  <w:tcW w:w="4454" w:type="dxa"/>
                  <w:tcBorders>
                    <w:tl2br w:val="nil"/>
                    <w:tr2bl w:val="nil"/>
                  </w:tcBorders>
                  <w:vAlign w:val="center"/>
                </w:tcPr>
                <w:p>
                  <w:pPr>
                    <w:pStyle w:val="15"/>
                    <w:rPr>
                      <w:rFonts w:hint="default" w:ascii="Times New Roman" w:hAnsi="Times New Roman" w:cs="Times New Roman"/>
                      <w:color w:val="auto"/>
                      <w:highlight w:val="none"/>
                    </w:rPr>
                  </w:pPr>
                  <w:r>
                    <w:rPr>
                      <w:rFonts w:hint="default" w:ascii="Times New Roman" w:hAnsi="Times New Roman" w:cs="Times New Roman"/>
                      <w:color w:val="auto"/>
                      <w:highlight w:val="none"/>
                    </w:rPr>
                    <w:t>禁止在长江流域江河、湖泊新设、改设或者扩大排污口，经有管辖权的生态环境主管部门或者长江流域生态环境监督管理机构同意的除外</w:t>
                  </w:r>
                </w:p>
              </w:tc>
              <w:tc>
                <w:tcPr>
                  <w:tcW w:w="2553"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项目</w:t>
                  </w:r>
                  <w:r>
                    <w:rPr>
                      <w:rFonts w:hint="default" w:ascii="Times New Roman" w:hAnsi="Times New Roman" w:cs="Times New Roman"/>
                      <w:color w:val="auto"/>
                      <w:highlight w:val="none"/>
                    </w:rPr>
                    <w:t>为</w:t>
                  </w:r>
                  <w:r>
                    <w:rPr>
                      <w:rFonts w:hint="default" w:ascii="Times New Roman" w:hAnsi="Times New Roman" w:cs="Times New Roman"/>
                      <w:color w:val="auto"/>
                      <w:highlight w:val="none"/>
                      <w:lang w:val="en-US" w:eastAsia="zh-CN"/>
                    </w:rPr>
                    <w:t>防洪治理工程项目，不设排污口，不涉及</w:t>
                  </w:r>
                  <w:r>
                    <w:rPr>
                      <w:rFonts w:hint="default" w:ascii="Times New Roman" w:hAnsi="Times New Roman" w:cs="Times New Roman"/>
                      <w:color w:val="auto"/>
                      <w:highlight w:val="none"/>
                    </w:rPr>
                    <w:t>改设或者扩大排污口</w:t>
                  </w:r>
                  <w:r>
                    <w:rPr>
                      <w:rFonts w:hint="default" w:ascii="Times New Roman" w:hAnsi="Times New Roman" w:cs="Times New Roman"/>
                      <w:color w:val="auto"/>
                      <w:highlight w:val="none"/>
                      <w:lang w:eastAsia="zh-CN"/>
                    </w:rPr>
                    <w:t>。</w:t>
                  </w:r>
                </w:p>
              </w:tc>
              <w:tc>
                <w:tcPr>
                  <w:tcW w:w="860"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50"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13</w:t>
                  </w:r>
                </w:p>
              </w:tc>
              <w:tc>
                <w:tcPr>
                  <w:tcW w:w="4454" w:type="dxa"/>
                  <w:tcBorders>
                    <w:tl2br w:val="nil"/>
                    <w:tr2bl w:val="nil"/>
                  </w:tcBorders>
                  <w:vAlign w:val="center"/>
                </w:tcPr>
                <w:p>
                  <w:pPr>
                    <w:pStyle w:val="15"/>
                    <w:rPr>
                      <w:rFonts w:hint="default" w:ascii="Times New Roman" w:hAnsi="Times New Roman" w:cs="Times New Roman"/>
                      <w:color w:val="auto"/>
                      <w:highlight w:val="none"/>
                    </w:rPr>
                  </w:pPr>
                  <w:r>
                    <w:rPr>
                      <w:rFonts w:hint="default" w:ascii="Times New Roman" w:hAnsi="Times New Roman" w:cs="Times New Roman"/>
                      <w:color w:val="auto"/>
                      <w:highlight w:val="none"/>
                    </w:rPr>
                    <w:t>禁止在长江、大渡河、岷江、赤水河、沱江、嘉陵江、乌江、汉江和51个（四川省45个、重庆市6个）水生生物保护区开展生产性捕捞</w:t>
                  </w:r>
                </w:p>
              </w:tc>
              <w:tc>
                <w:tcPr>
                  <w:tcW w:w="2553"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本项目为</w:t>
                  </w:r>
                  <w:r>
                    <w:rPr>
                      <w:rFonts w:hint="default" w:ascii="Times New Roman" w:hAnsi="Times New Roman" w:cs="Times New Roman"/>
                      <w:color w:val="auto"/>
                      <w:highlight w:val="none"/>
                      <w:lang w:val="en-US" w:eastAsia="zh-CN"/>
                    </w:rPr>
                    <w:t>防洪治理工程项目</w:t>
                  </w:r>
                  <w:r>
                    <w:rPr>
                      <w:rFonts w:hint="default" w:ascii="Times New Roman" w:hAnsi="Times New Roman" w:cs="Times New Roman"/>
                      <w:color w:val="auto"/>
                      <w:highlight w:val="none"/>
                    </w:rPr>
                    <w:t>，不涉及捕捞。</w:t>
                  </w:r>
                </w:p>
              </w:tc>
              <w:tc>
                <w:tcPr>
                  <w:tcW w:w="860"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50"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14</w:t>
                  </w:r>
                </w:p>
              </w:tc>
              <w:tc>
                <w:tcPr>
                  <w:tcW w:w="4454" w:type="dxa"/>
                  <w:tcBorders>
                    <w:tl2br w:val="nil"/>
                    <w:tr2bl w:val="nil"/>
                  </w:tcBorders>
                  <w:vAlign w:val="center"/>
                </w:tcPr>
                <w:p>
                  <w:pPr>
                    <w:pStyle w:val="15"/>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rPr>
                    <w:t>禁止在长江干支流、重要湖泊岸线一公里范围内新建、扩建化工园区和化工项目</w:t>
                  </w:r>
                  <w:r>
                    <w:rPr>
                      <w:rFonts w:hint="default" w:ascii="Times New Roman" w:hAnsi="Times New Roman" w:cs="Times New Roman"/>
                      <w:color w:val="auto"/>
                      <w:highlight w:val="none"/>
                      <w:lang w:eastAsia="zh-CN"/>
                    </w:rPr>
                    <w:t>。</w:t>
                  </w:r>
                </w:p>
              </w:tc>
              <w:tc>
                <w:tcPr>
                  <w:tcW w:w="2553"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w:t>
                  </w:r>
                  <w:r>
                    <w:rPr>
                      <w:rFonts w:hint="default" w:ascii="Times New Roman" w:hAnsi="Times New Roman" w:cs="Times New Roman"/>
                      <w:color w:val="auto"/>
                      <w:highlight w:val="none"/>
                    </w:rPr>
                    <w:t>项目为</w:t>
                  </w:r>
                  <w:r>
                    <w:rPr>
                      <w:rFonts w:hint="default" w:ascii="Times New Roman" w:hAnsi="Times New Roman" w:cs="Times New Roman"/>
                      <w:color w:val="auto"/>
                      <w:highlight w:val="none"/>
                      <w:lang w:val="en-US" w:eastAsia="zh-CN"/>
                    </w:rPr>
                    <w:t>防洪治理工程项目</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不属于</w:t>
                  </w:r>
                  <w:r>
                    <w:rPr>
                      <w:rFonts w:hint="default" w:ascii="Times New Roman" w:hAnsi="Times New Roman" w:cs="Times New Roman"/>
                      <w:color w:val="auto"/>
                      <w:highlight w:val="none"/>
                    </w:rPr>
                    <w:t>新建、扩建化工园区和化工项目。</w:t>
                  </w:r>
                </w:p>
              </w:tc>
              <w:tc>
                <w:tcPr>
                  <w:tcW w:w="860"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50"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15</w:t>
                  </w:r>
                </w:p>
              </w:tc>
              <w:tc>
                <w:tcPr>
                  <w:tcW w:w="4454" w:type="dxa"/>
                  <w:tcBorders>
                    <w:tl2br w:val="nil"/>
                    <w:tr2bl w:val="nil"/>
                  </w:tcBorders>
                  <w:vAlign w:val="center"/>
                </w:tcPr>
                <w:p>
                  <w:pPr>
                    <w:pStyle w:val="15"/>
                    <w:rPr>
                      <w:rFonts w:hint="default" w:ascii="Times New Roman" w:hAnsi="Times New Roman" w:cs="Times New Roman"/>
                      <w:color w:val="auto"/>
                      <w:highlight w:val="none"/>
                    </w:rPr>
                  </w:pPr>
                  <w:r>
                    <w:rPr>
                      <w:rFonts w:hint="default" w:ascii="Times New Roman" w:hAnsi="Times New Roman" w:cs="Times New Roman"/>
                      <w:color w:val="auto"/>
                      <w:highlight w:val="none"/>
                    </w:rPr>
                    <w:t>禁止在长江干流岸线三公里范围内和重要支流岸线一公里范围内新建、改建、扩建尾矿库、冶炼渣库、磷石膏库，以提升安全、生态环境保护水平为目的的改建除外。</w:t>
                  </w:r>
                </w:p>
              </w:tc>
              <w:tc>
                <w:tcPr>
                  <w:tcW w:w="2553"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w:t>
                  </w:r>
                  <w:r>
                    <w:rPr>
                      <w:rFonts w:hint="default" w:ascii="Times New Roman" w:hAnsi="Times New Roman" w:cs="Times New Roman"/>
                      <w:color w:val="auto"/>
                      <w:highlight w:val="none"/>
                    </w:rPr>
                    <w:t>项目为</w:t>
                  </w:r>
                  <w:r>
                    <w:rPr>
                      <w:rFonts w:hint="default" w:ascii="Times New Roman" w:hAnsi="Times New Roman" w:cs="Times New Roman"/>
                      <w:color w:val="auto"/>
                      <w:highlight w:val="none"/>
                      <w:lang w:val="en-US" w:eastAsia="zh-CN"/>
                    </w:rPr>
                    <w:t>防洪治理工程项目</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不涉及</w:t>
                  </w:r>
                  <w:r>
                    <w:rPr>
                      <w:rFonts w:hint="default" w:ascii="Times New Roman" w:hAnsi="Times New Roman" w:cs="Times New Roman"/>
                      <w:color w:val="auto"/>
                      <w:highlight w:val="none"/>
                    </w:rPr>
                    <w:t>尾矿库、冶炼渣库、磷石膏库</w:t>
                  </w:r>
                  <w:r>
                    <w:rPr>
                      <w:rFonts w:hint="default" w:ascii="Times New Roman" w:hAnsi="Times New Roman" w:cs="Times New Roman"/>
                      <w:color w:val="auto"/>
                      <w:highlight w:val="none"/>
                      <w:lang w:val="en-US" w:eastAsia="zh-CN"/>
                    </w:rPr>
                    <w:t>项目。</w:t>
                  </w:r>
                </w:p>
              </w:tc>
              <w:tc>
                <w:tcPr>
                  <w:tcW w:w="860"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50"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16</w:t>
                  </w:r>
                </w:p>
              </w:tc>
              <w:tc>
                <w:tcPr>
                  <w:tcW w:w="4454" w:type="dxa"/>
                  <w:tcBorders>
                    <w:tl2br w:val="nil"/>
                    <w:tr2bl w:val="nil"/>
                  </w:tcBorders>
                  <w:vAlign w:val="center"/>
                </w:tcPr>
                <w:p>
                  <w:pPr>
                    <w:pStyle w:val="15"/>
                    <w:rPr>
                      <w:rFonts w:hint="default" w:ascii="Times New Roman" w:hAnsi="Times New Roman" w:cs="Times New Roman"/>
                      <w:color w:val="auto"/>
                      <w:highlight w:val="none"/>
                    </w:rPr>
                  </w:pPr>
                  <w:r>
                    <w:rPr>
                      <w:rFonts w:hint="default" w:ascii="Times New Roman" w:hAnsi="Times New Roman" w:cs="Times New Roman"/>
                      <w:color w:val="auto"/>
                      <w:highlight w:val="none"/>
                    </w:rPr>
                    <w:t>禁止在生态保护红线区域、永久基本农田集中区域和其他需要特别保护的区域内选址建设尾矿库、冶炼渣库、磷石膏库</w:t>
                  </w:r>
                </w:p>
              </w:tc>
              <w:tc>
                <w:tcPr>
                  <w:tcW w:w="2553"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w:t>
                  </w:r>
                  <w:r>
                    <w:rPr>
                      <w:rFonts w:hint="default" w:ascii="Times New Roman" w:hAnsi="Times New Roman" w:cs="Times New Roman"/>
                      <w:color w:val="auto"/>
                      <w:highlight w:val="none"/>
                    </w:rPr>
                    <w:t>项目为</w:t>
                  </w:r>
                  <w:r>
                    <w:rPr>
                      <w:rFonts w:hint="default" w:ascii="Times New Roman" w:hAnsi="Times New Roman" w:cs="Times New Roman"/>
                      <w:color w:val="auto"/>
                      <w:highlight w:val="none"/>
                      <w:lang w:val="en-US" w:eastAsia="zh-CN"/>
                    </w:rPr>
                    <w:t>防洪治理工程项目，不在生态保护红线区域内、不占用基本农田集中区域</w:t>
                  </w:r>
                  <w:r>
                    <w:rPr>
                      <w:rFonts w:hint="default" w:ascii="Times New Roman" w:hAnsi="Times New Roman" w:cs="Times New Roman"/>
                      <w:color w:val="auto"/>
                      <w:highlight w:val="none"/>
                    </w:rPr>
                    <w:t>和其他需要特别保护的区域</w:t>
                  </w:r>
                  <w:r>
                    <w:rPr>
                      <w:rFonts w:hint="default" w:ascii="Times New Roman" w:hAnsi="Times New Roman" w:cs="Times New Roman"/>
                      <w:color w:val="auto"/>
                      <w:highlight w:val="none"/>
                      <w:lang w:val="en-US" w:eastAsia="zh-CN"/>
                    </w:rPr>
                    <w:t>等。</w:t>
                  </w:r>
                </w:p>
              </w:tc>
              <w:tc>
                <w:tcPr>
                  <w:tcW w:w="860"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50"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17</w:t>
                  </w:r>
                </w:p>
              </w:tc>
              <w:tc>
                <w:tcPr>
                  <w:tcW w:w="4454" w:type="dxa"/>
                  <w:tcBorders>
                    <w:tl2br w:val="nil"/>
                    <w:tr2bl w:val="nil"/>
                  </w:tcBorders>
                  <w:vAlign w:val="center"/>
                </w:tcPr>
                <w:p>
                  <w:pPr>
                    <w:pStyle w:val="15"/>
                    <w:rPr>
                      <w:rFonts w:hint="default" w:ascii="Times New Roman" w:hAnsi="Times New Roman" w:cs="Times New Roman"/>
                      <w:color w:val="auto"/>
                      <w:highlight w:val="none"/>
                    </w:rPr>
                  </w:pPr>
                  <w:r>
                    <w:rPr>
                      <w:rFonts w:hint="default" w:ascii="Times New Roman" w:hAnsi="Times New Roman" w:cs="Times New Roman"/>
                      <w:color w:val="auto"/>
                      <w:highlight w:val="none"/>
                    </w:rPr>
                    <w:t>禁止在合规园区外新建、扩建钢铁、石化、化工、焦化、建材、有色、制浆造纸等高污染项目。</w:t>
                  </w:r>
                </w:p>
              </w:tc>
              <w:tc>
                <w:tcPr>
                  <w:tcW w:w="2553"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w:t>
                  </w:r>
                  <w:r>
                    <w:rPr>
                      <w:rFonts w:hint="default" w:ascii="Times New Roman" w:hAnsi="Times New Roman" w:cs="Times New Roman"/>
                      <w:color w:val="auto"/>
                      <w:highlight w:val="none"/>
                    </w:rPr>
                    <w:t>项目为</w:t>
                  </w:r>
                  <w:r>
                    <w:rPr>
                      <w:rFonts w:hint="default" w:ascii="Times New Roman" w:hAnsi="Times New Roman" w:cs="Times New Roman"/>
                      <w:color w:val="auto"/>
                      <w:highlight w:val="none"/>
                      <w:lang w:val="en-US" w:eastAsia="zh-CN"/>
                    </w:rPr>
                    <w:t>防洪治理工程项目</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不涉及</w:t>
                  </w:r>
                  <w:r>
                    <w:rPr>
                      <w:rFonts w:hint="default" w:ascii="Times New Roman" w:hAnsi="Times New Roman" w:cs="Times New Roman"/>
                      <w:color w:val="auto"/>
                      <w:highlight w:val="none"/>
                    </w:rPr>
                    <w:t>钢铁、石化、化工、焦化、建材、有色、制浆造纸等高污染项目</w:t>
                  </w:r>
                </w:p>
              </w:tc>
              <w:tc>
                <w:tcPr>
                  <w:tcW w:w="860"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50"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18</w:t>
                  </w:r>
                </w:p>
              </w:tc>
              <w:tc>
                <w:tcPr>
                  <w:tcW w:w="4454" w:type="dxa"/>
                  <w:tcBorders>
                    <w:tl2br w:val="nil"/>
                    <w:tr2bl w:val="nil"/>
                  </w:tcBorders>
                  <w:vAlign w:val="center"/>
                </w:tcPr>
                <w:p>
                  <w:pPr>
                    <w:pStyle w:val="15"/>
                    <w:rPr>
                      <w:rFonts w:hint="default" w:ascii="Times New Roman" w:hAnsi="Times New Roman" w:cs="Times New Roman"/>
                      <w:color w:val="auto"/>
                      <w:highlight w:val="none"/>
                    </w:rPr>
                  </w:pPr>
                  <w:r>
                    <w:rPr>
                      <w:rFonts w:hint="default" w:ascii="Times New Roman" w:hAnsi="Times New Roman" w:cs="Times New Roman"/>
                      <w:color w:val="auto"/>
                      <w:highlight w:val="none"/>
                    </w:rPr>
                    <w:t>禁止新建、扩建不符合国家石化、现代煤化工等产业布局规划的项目。（一）严格控制新增炼油项目，未列入《石化产业规划布局 方案（修订版）》的新增炼油产能一律不得建设。（二）新建煤制烯烃、煤制芳烃项目必须列入《现代煤化工产业创新发展布局方案》，必须符合《现代煤化工建设项目环境准入条件（试行）》要求</w:t>
                  </w:r>
                </w:p>
              </w:tc>
              <w:tc>
                <w:tcPr>
                  <w:tcW w:w="2553"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w:t>
                  </w:r>
                  <w:r>
                    <w:rPr>
                      <w:rFonts w:hint="default" w:ascii="Times New Roman" w:hAnsi="Times New Roman" w:cs="Times New Roman"/>
                      <w:color w:val="auto"/>
                      <w:highlight w:val="none"/>
                    </w:rPr>
                    <w:t>项目为</w:t>
                  </w:r>
                  <w:r>
                    <w:rPr>
                      <w:rFonts w:hint="default" w:ascii="Times New Roman" w:hAnsi="Times New Roman" w:cs="Times New Roman"/>
                      <w:color w:val="auto"/>
                      <w:highlight w:val="none"/>
                      <w:lang w:val="en-US" w:eastAsia="zh-CN"/>
                    </w:rPr>
                    <w:t>防洪治理工程项目，不属于国家石化、现代煤化等项目。</w:t>
                  </w:r>
                </w:p>
              </w:tc>
              <w:tc>
                <w:tcPr>
                  <w:tcW w:w="860"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50"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19</w:t>
                  </w:r>
                </w:p>
              </w:tc>
              <w:tc>
                <w:tcPr>
                  <w:tcW w:w="4454" w:type="dxa"/>
                  <w:tcBorders>
                    <w:tl2br w:val="nil"/>
                    <w:tr2bl w:val="nil"/>
                  </w:tcBorders>
                  <w:vAlign w:val="center"/>
                </w:tcPr>
                <w:p>
                  <w:pPr>
                    <w:pStyle w:val="15"/>
                    <w:rPr>
                      <w:rFonts w:hint="default" w:ascii="Times New Roman" w:hAnsi="Times New Roman" w:cs="Times New Roman"/>
                      <w:color w:val="auto"/>
                      <w:highlight w:val="none"/>
                    </w:rPr>
                  </w:pPr>
                  <w:r>
                    <w:rPr>
                      <w:rFonts w:hint="default" w:ascii="Times New Roman" w:hAnsi="Times New Roman" w:cs="Times New Roman"/>
                      <w:color w:val="auto"/>
                      <w:highlight w:val="none"/>
                    </w:rPr>
                    <w:t>禁止新建、扩建法律法规和相关政策明令禁止的落后产能项目。对《产业结构调整指导目录》中淘汰类项目，禁止投资；限制类的新建项目，禁止投资，对属于限制类的现有生产能力，允许企业在一定期限内采取措施改造升级。</w:t>
                  </w:r>
                </w:p>
              </w:tc>
              <w:tc>
                <w:tcPr>
                  <w:tcW w:w="2553"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根据</w:t>
                  </w:r>
                  <w:r>
                    <w:rPr>
                      <w:rFonts w:hint="default" w:ascii="Times New Roman" w:hAnsi="Times New Roman" w:cs="Times New Roman"/>
                      <w:color w:val="auto"/>
                      <w:highlight w:val="none"/>
                    </w:rPr>
                    <w:t>《产业结构调整指导目录（</w:t>
                  </w:r>
                  <w:r>
                    <w:rPr>
                      <w:rFonts w:hint="default" w:ascii="Times New Roman" w:hAnsi="Times New Roman" w:cs="Times New Roman"/>
                      <w:color w:val="auto"/>
                      <w:highlight w:val="none"/>
                      <w:lang w:val="en-US" w:eastAsia="zh-CN"/>
                    </w:rPr>
                    <w:t>2024</w:t>
                  </w:r>
                  <w:r>
                    <w:rPr>
                      <w:rFonts w:hint="default" w:ascii="Times New Roman" w:hAnsi="Times New Roman" w:cs="Times New Roman"/>
                      <w:color w:val="auto"/>
                      <w:highlight w:val="none"/>
                    </w:rPr>
                    <w:t>年本）》中的相关规定，本项目</w:t>
                  </w:r>
                  <w:r>
                    <w:rPr>
                      <w:rFonts w:hint="default" w:ascii="Times New Roman" w:hAnsi="Times New Roman" w:cs="Times New Roman"/>
                      <w:color w:val="auto"/>
                      <w:highlight w:val="none"/>
                      <w:lang w:val="en-US" w:eastAsia="zh-CN"/>
                    </w:rPr>
                    <w:t>属于</w:t>
                  </w:r>
                  <w:r>
                    <w:rPr>
                      <w:rFonts w:hint="default" w:ascii="Times New Roman" w:hAnsi="Times New Roman" w:cs="Times New Roman"/>
                      <w:color w:val="auto"/>
                      <w:highlight w:val="none"/>
                    </w:rPr>
                    <w:t>鼓励类不属于淘汰类和限制类</w:t>
                  </w:r>
                  <w:r>
                    <w:rPr>
                      <w:rFonts w:hint="default" w:ascii="Times New Roman" w:hAnsi="Times New Roman" w:cs="Times New Roman"/>
                      <w:color w:val="auto"/>
                      <w:highlight w:val="none"/>
                      <w:lang w:eastAsia="zh-CN"/>
                    </w:rPr>
                    <w:t>。</w:t>
                  </w:r>
                </w:p>
              </w:tc>
              <w:tc>
                <w:tcPr>
                  <w:tcW w:w="860"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50"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20</w:t>
                  </w:r>
                </w:p>
              </w:tc>
              <w:tc>
                <w:tcPr>
                  <w:tcW w:w="4454" w:type="dxa"/>
                  <w:tcBorders>
                    <w:tl2br w:val="nil"/>
                    <w:tr2bl w:val="nil"/>
                  </w:tcBorders>
                  <w:vAlign w:val="center"/>
                </w:tcPr>
                <w:p>
                  <w:pPr>
                    <w:pStyle w:val="15"/>
                    <w:rPr>
                      <w:rFonts w:hint="default" w:ascii="Times New Roman" w:hAnsi="Times New Roman" w:cs="Times New Roman"/>
                      <w:color w:val="auto"/>
                      <w:highlight w:val="none"/>
                    </w:rPr>
                  </w:pPr>
                  <w:r>
                    <w:rPr>
                      <w:rFonts w:hint="default" w:ascii="Times New Roman" w:hAnsi="Times New Roman" w:cs="Times New Roman"/>
                      <w:color w:val="auto"/>
                      <w:highlight w:val="none"/>
                    </w:rPr>
                    <w:t>禁止新建、扩建不符合国家产能置换要求的严重过剩产能行业的项目。对于不符合国家产能置换要求的严重过剩产能行业，不得以其他任何名义、任何方式备案新增产能项目。</w:t>
                  </w:r>
                </w:p>
              </w:tc>
              <w:tc>
                <w:tcPr>
                  <w:tcW w:w="2553"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w:t>
                  </w:r>
                  <w:r>
                    <w:rPr>
                      <w:rFonts w:hint="default" w:ascii="Times New Roman" w:hAnsi="Times New Roman" w:cs="Times New Roman"/>
                      <w:color w:val="auto"/>
                      <w:highlight w:val="none"/>
                    </w:rPr>
                    <w:t>项目为</w:t>
                  </w:r>
                  <w:r>
                    <w:rPr>
                      <w:rFonts w:hint="default" w:ascii="Times New Roman" w:hAnsi="Times New Roman" w:cs="Times New Roman"/>
                      <w:color w:val="auto"/>
                      <w:highlight w:val="none"/>
                      <w:lang w:val="en-US" w:eastAsia="zh-CN"/>
                    </w:rPr>
                    <w:t>防洪治理工程项目，不属于国家产能置换要求严重过剩产能行业的项目。</w:t>
                  </w:r>
                </w:p>
              </w:tc>
              <w:tc>
                <w:tcPr>
                  <w:tcW w:w="860"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50"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21</w:t>
                  </w:r>
                </w:p>
              </w:tc>
              <w:tc>
                <w:tcPr>
                  <w:tcW w:w="4454" w:type="dxa"/>
                  <w:tcBorders>
                    <w:tl2br w:val="nil"/>
                    <w:tr2bl w:val="nil"/>
                  </w:tcBorders>
                  <w:vAlign w:val="center"/>
                </w:tcPr>
                <w:p>
                  <w:pPr>
                    <w:pStyle w:val="15"/>
                    <w:rPr>
                      <w:rFonts w:hint="default" w:ascii="Times New Roman" w:hAnsi="Times New Roman" w:cs="Times New Roman"/>
                      <w:color w:val="auto"/>
                      <w:highlight w:val="none"/>
                    </w:rPr>
                  </w:pPr>
                  <w:r>
                    <w:rPr>
                      <w:rFonts w:hint="default" w:ascii="Times New Roman" w:hAnsi="Times New Roman" w:cs="Times New Roman"/>
                      <w:color w:val="auto"/>
                      <w:highlight w:val="none"/>
                    </w:rPr>
                    <w:t>禁止建设以下燃油汽车投资项目（不在中国境内销售产品的投资项目除外）： （一）新建独立燃油汽车企业；（二）现有汽车企业跨乘用车、商用车类别建设燃油汽车生产能力；（三）外省现有燃油汽车企业整体搬迁至本省（列入国家级 区域发展规划或不改变企业股权结构的项目除外）；（四）对行业管理部门特别公示的燃油汽车企业进行投资 （企业原有股东投资或将该企业转为非独立法人的投资项目除外）。</w:t>
                  </w:r>
                </w:p>
              </w:tc>
              <w:tc>
                <w:tcPr>
                  <w:tcW w:w="2553"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w:t>
                  </w:r>
                  <w:r>
                    <w:rPr>
                      <w:rFonts w:hint="default" w:ascii="Times New Roman" w:hAnsi="Times New Roman" w:cs="Times New Roman"/>
                      <w:color w:val="auto"/>
                      <w:highlight w:val="none"/>
                    </w:rPr>
                    <w:t>项目为</w:t>
                  </w:r>
                  <w:r>
                    <w:rPr>
                      <w:rFonts w:hint="default" w:ascii="Times New Roman" w:hAnsi="Times New Roman" w:cs="Times New Roman"/>
                      <w:color w:val="auto"/>
                      <w:highlight w:val="none"/>
                      <w:lang w:val="en-US" w:eastAsia="zh-CN"/>
                    </w:rPr>
                    <w:t>防洪治理工程项目</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不属于燃油汽车投资项目。</w:t>
                  </w:r>
                </w:p>
              </w:tc>
              <w:tc>
                <w:tcPr>
                  <w:tcW w:w="860"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50"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22</w:t>
                  </w:r>
                </w:p>
              </w:tc>
              <w:tc>
                <w:tcPr>
                  <w:tcW w:w="4454" w:type="dxa"/>
                  <w:tcBorders>
                    <w:tl2br w:val="nil"/>
                    <w:tr2bl w:val="nil"/>
                  </w:tcBorders>
                  <w:vAlign w:val="center"/>
                </w:tcPr>
                <w:p>
                  <w:pPr>
                    <w:pStyle w:val="15"/>
                    <w:rPr>
                      <w:rFonts w:hint="default" w:ascii="Times New Roman" w:hAnsi="Times New Roman" w:cs="Times New Roman"/>
                      <w:color w:val="auto"/>
                      <w:highlight w:val="none"/>
                    </w:rPr>
                  </w:pPr>
                  <w:r>
                    <w:rPr>
                      <w:rFonts w:hint="default" w:ascii="Times New Roman" w:hAnsi="Times New Roman" w:cs="Times New Roman"/>
                      <w:color w:val="auto"/>
                      <w:highlight w:val="none"/>
                    </w:rPr>
                    <w:t>禁止新建、扩建不符合要求的高耗能、高排放、低水平项目</w:t>
                  </w:r>
                </w:p>
              </w:tc>
              <w:tc>
                <w:tcPr>
                  <w:tcW w:w="2553"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w:t>
                  </w:r>
                  <w:r>
                    <w:rPr>
                      <w:rFonts w:hint="default" w:ascii="Times New Roman" w:hAnsi="Times New Roman" w:cs="Times New Roman"/>
                      <w:color w:val="auto"/>
                      <w:highlight w:val="none"/>
                    </w:rPr>
                    <w:t>项目为</w:t>
                  </w:r>
                  <w:r>
                    <w:rPr>
                      <w:rFonts w:hint="default" w:ascii="Times New Roman" w:hAnsi="Times New Roman" w:cs="Times New Roman"/>
                      <w:color w:val="auto"/>
                      <w:highlight w:val="none"/>
                      <w:lang w:val="en-US" w:eastAsia="zh-CN"/>
                    </w:rPr>
                    <w:t>防洪治理工程项目</w:t>
                  </w:r>
                  <w:r>
                    <w:rPr>
                      <w:rFonts w:hint="default" w:ascii="Times New Roman" w:hAnsi="Times New Roman" w:cs="Times New Roman"/>
                      <w:color w:val="auto"/>
                      <w:highlight w:val="none"/>
                    </w:rPr>
                    <w:t>，不属于高耗能</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高排放</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低水平</w:t>
                  </w:r>
                  <w:r>
                    <w:rPr>
                      <w:rFonts w:hint="default" w:ascii="Times New Roman" w:hAnsi="Times New Roman" w:cs="Times New Roman"/>
                      <w:color w:val="auto"/>
                      <w:highlight w:val="none"/>
                    </w:rPr>
                    <w:t>项目。</w:t>
                  </w:r>
                </w:p>
              </w:tc>
              <w:tc>
                <w:tcPr>
                  <w:tcW w:w="860"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符合</w:t>
                  </w:r>
                </w:p>
              </w:tc>
            </w:tr>
          </w:tbl>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综上，本项目不在《四川省、重庆市长江经济带发展负面清单实施细则（试行，2022年版）》负面清单之中。</w:t>
            </w:r>
          </w:p>
          <w:p>
            <w:pPr>
              <w:numPr>
                <w:ilvl w:val="0"/>
                <w:numId w:val="0"/>
              </w:numPr>
              <w:bidi w:val="0"/>
              <w:ind w:left="480" w:leftChars="0"/>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7、与国家及地方土壤污染防治要求的符合性分析</w:t>
            </w:r>
          </w:p>
          <w:p>
            <w:pPr>
              <w:ind w:firstLine="480" w:firstLineChars="20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项目与《国务院关于印发土壤污染防治行动计划的通知》（国发[2016]31号）及《土壤污染防治行动计划四川省工作方案》符合性见下表。</w:t>
            </w:r>
          </w:p>
          <w:p>
            <w:pPr>
              <w:pStyle w:val="1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表1-5  项目与国家及地方土壤污染防治要求的符合性分析</w:t>
            </w:r>
          </w:p>
          <w:tbl>
            <w:tblPr>
              <w:tblStyle w:val="12"/>
              <w:tblW w:w="858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96"/>
              <w:gridCol w:w="3731"/>
              <w:gridCol w:w="2418"/>
              <w:gridCol w:w="93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96" w:type="dxa"/>
                  <w:tcBorders>
                    <w:tl2br w:val="nil"/>
                    <w:tr2bl w:val="nil"/>
                  </w:tcBorders>
                  <w:vAlign w:val="center"/>
                </w:tcPr>
                <w:p>
                  <w:pPr>
                    <w:pStyle w:val="15"/>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相关文件</w:t>
                  </w:r>
                </w:p>
              </w:tc>
              <w:tc>
                <w:tcPr>
                  <w:tcW w:w="3731" w:type="dxa"/>
                  <w:tcBorders>
                    <w:tl2br w:val="nil"/>
                    <w:tr2bl w:val="nil"/>
                  </w:tcBorders>
                  <w:vAlign w:val="center"/>
                </w:tcPr>
                <w:p>
                  <w:pPr>
                    <w:pStyle w:val="15"/>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与项目相关的管理要求</w:t>
                  </w:r>
                </w:p>
              </w:tc>
              <w:tc>
                <w:tcPr>
                  <w:tcW w:w="2418" w:type="dxa"/>
                  <w:tcBorders>
                    <w:tl2br w:val="nil"/>
                    <w:tr2bl w:val="nil"/>
                  </w:tcBorders>
                  <w:vAlign w:val="center"/>
                </w:tcPr>
                <w:p>
                  <w:pPr>
                    <w:pStyle w:val="15"/>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本项目情况</w:t>
                  </w:r>
                </w:p>
              </w:tc>
              <w:tc>
                <w:tcPr>
                  <w:tcW w:w="935" w:type="dxa"/>
                  <w:tcBorders>
                    <w:tl2br w:val="nil"/>
                    <w:tr2bl w:val="nil"/>
                  </w:tcBorders>
                  <w:vAlign w:val="center"/>
                </w:tcPr>
                <w:p>
                  <w:pPr>
                    <w:pStyle w:val="15"/>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96"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国发[2016]31号</w:t>
                  </w:r>
                </w:p>
              </w:tc>
              <w:tc>
                <w:tcPr>
                  <w:tcW w:w="3731"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八）切实加大保护力度。防控企业污染。严格控制在优先保护类耕地集中区域新建有色金属冶炼、石油加工、化工、焦化、电镀、制革等行业企业，现有相关行业企业要采用新技术、新工艺，加快提标升级改造步伐。</w:t>
                  </w:r>
                </w:p>
              </w:tc>
              <w:tc>
                <w:tcPr>
                  <w:tcW w:w="2418"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本项目位于宣汉县胡家镇，为防洪治理工程项目，项目不占用优先保护类耕地。</w:t>
                  </w:r>
                </w:p>
              </w:tc>
              <w:tc>
                <w:tcPr>
                  <w:tcW w:w="935"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96" w:type="dxa"/>
                  <w:vMerge w:val="restart"/>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《土壤污染防治行动计划四川省工作方案》</w:t>
                  </w:r>
                </w:p>
              </w:tc>
              <w:tc>
                <w:tcPr>
                  <w:tcW w:w="3731"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十六）防范建设用地新增污染。排放重点污染物的建设项目，在开展环境影响评价时，要增加对土壤环境影响的评价内容，并提出防范土壤污染的具体措施；需要建设的土壤污染防治设施，要与主体工程同时设计、同时施工、同时投产使用；有关环境保护部门要做好有关措施落实情况的监督管理工作。</w:t>
                  </w:r>
                </w:p>
              </w:tc>
              <w:tc>
                <w:tcPr>
                  <w:tcW w:w="2418"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本项目为防洪治理工程项目，不属于排放重点污染物项目，项目根据土壤导则进行环境影响评价。</w:t>
                  </w:r>
                </w:p>
              </w:tc>
              <w:tc>
                <w:tcPr>
                  <w:tcW w:w="935"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96" w:type="dxa"/>
                  <w:vMerge w:val="continue"/>
                  <w:tcBorders>
                    <w:tl2br w:val="nil"/>
                    <w:tr2bl w:val="nil"/>
                  </w:tcBorders>
                  <w:vAlign w:val="center"/>
                </w:tcPr>
                <w:p>
                  <w:pPr>
                    <w:pStyle w:val="15"/>
                    <w:rPr>
                      <w:rFonts w:hint="default" w:ascii="Times New Roman" w:hAnsi="Times New Roman" w:cs="Times New Roman"/>
                      <w:color w:val="auto"/>
                      <w:highlight w:val="none"/>
                      <w:lang w:val="en-US" w:eastAsia="zh-CN"/>
                    </w:rPr>
                  </w:pPr>
                </w:p>
              </w:tc>
              <w:tc>
                <w:tcPr>
                  <w:tcW w:w="3731"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（二十）加强涉重金属行业污染控制。</w:t>
                  </w:r>
                  <w:r>
                    <w:rPr>
                      <w:rFonts w:hint="default" w:ascii="Times New Roman" w:hAnsi="Times New Roman" w:cs="Times New Roman"/>
                      <w:color w:val="auto"/>
                      <w:highlight w:val="none"/>
                    </w:rPr>
                    <w:t>严格执行重金属污染物排放标准并落实相关总量控制指标，涉重金属产业发展规划必须开展规划环境影响评价，严禁在生态红线管控区、人口聚集区新建涉及重金属排放的项目。</w:t>
                  </w:r>
                </w:p>
              </w:tc>
              <w:tc>
                <w:tcPr>
                  <w:tcW w:w="2418"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本项目为防洪治理项目，不涉及重金属污染。</w:t>
                  </w:r>
                </w:p>
              </w:tc>
              <w:tc>
                <w:tcPr>
                  <w:tcW w:w="935" w:type="dxa"/>
                  <w:tcBorders>
                    <w:tl2br w:val="nil"/>
                    <w:tr2bl w:val="nil"/>
                  </w:tcBorders>
                  <w:vAlign w:val="center"/>
                </w:tcPr>
                <w:p>
                  <w:pPr>
                    <w:pStyle w:val="15"/>
                    <w:rPr>
                      <w:rFonts w:hint="default" w:ascii="Times New Roman" w:hAnsi="Times New Roman" w:cs="Times New Roman"/>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96" w:type="dxa"/>
                  <w:vMerge w:val="continue"/>
                  <w:tcBorders>
                    <w:tl2br w:val="nil"/>
                    <w:tr2bl w:val="nil"/>
                  </w:tcBorders>
                  <w:vAlign w:val="center"/>
                </w:tcPr>
                <w:p>
                  <w:pPr>
                    <w:pStyle w:val="15"/>
                    <w:rPr>
                      <w:rFonts w:hint="default" w:ascii="Times New Roman" w:hAnsi="Times New Roman" w:cs="Times New Roman"/>
                      <w:color w:val="auto"/>
                      <w:highlight w:val="none"/>
                      <w:lang w:val="en-US" w:eastAsia="zh-CN"/>
                    </w:rPr>
                  </w:pPr>
                </w:p>
              </w:tc>
              <w:tc>
                <w:tcPr>
                  <w:tcW w:w="3731"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二十一）加强工业废物处理处置。全面整治尾矿、煤矸石、工业副产石膏、粉煤灰、赤泥、冶炼渣、电石渣、铬渣、砷渣以及脱硫、脱硝、除尘产生固体废物的堆存场所，完善防扬散、防流失、防渗漏等设施，制定整治方案并有序实施。加强工业固体废物综合利用。对电子废物、废轮胎、废塑料等再生利用活动进行清理整顿，引导有关企业采用先进适用加工工艺、集聚发展，集中建设和运营污染治理设施，防止污染土壤和地下水。</w:t>
                  </w:r>
                </w:p>
              </w:tc>
              <w:tc>
                <w:tcPr>
                  <w:tcW w:w="2418" w:type="dxa"/>
                  <w:tcBorders>
                    <w:tl2br w:val="nil"/>
                    <w:tr2bl w:val="nil"/>
                  </w:tcBorders>
                  <w:vAlign w:val="center"/>
                </w:tcPr>
                <w:p>
                  <w:pPr>
                    <w:pStyle w:val="15"/>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本项目土方石开挖后部分用于</w:t>
                  </w:r>
                  <w:r>
                    <w:rPr>
                      <w:rFonts w:hint="default" w:ascii="Times New Roman" w:hAnsi="Times New Roman" w:cs="Times New Roman"/>
                      <w:color w:val="auto"/>
                      <w:highlight w:val="none"/>
                    </w:rPr>
                    <w:t>堤后回填</w:t>
                  </w:r>
                  <w:r>
                    <w:rPr>
                      <w:rFonts w:hint="default" w:ascii="Times New Roman" w:hAnsi="Times New Roman" w:cs="Times New Roman"/>
                      <w:color w:val="auto"/>
                      <w:highlight w:val="none"/>
                      <w:lang w:val="en-US" w:eastAsia="zh-CN"/>
                    </w:rPr>
                    <w:t>和草皮护坡的种植土，多余的堆放于胡家城市规划区内。</w:t>
                  </w:r>
                </w:p>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建筑垃圾</w:t>
                  </w:r>
                  <w:r>
                    <w:rPr>
                      <w:rFonts w:hint="default" w:ascii="Times New Roman" w:hAnsi="Times New Roman" w:cs="Times New Roman"/>
                      <w:color w:val="auto"/>
                      <w:highlight w:val="none"/>
                    </w:rPr>
                    <w:t>集中收集，进行回收利用，无法回收利用的按相关管理部门要求运至指定地点规范化处置</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生活垃圾</w:t>
                  </w:r>
                  <w:r>
                    <w:rPr>
                      <w:rFonts w:hint="default" w:ascii="Times New Roman" w:hAnsi="Times New Roman" w:cs="Times New Roman"/>
                      <w:color w:val="auto"/>
                      <w:highlight w:val="none"/>
                    </w:rPr>
                    <w:t>统一收集后就近运至附近居民区垃圾收集点，由当地环卫部门清运处置</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固体废物采取相应的污染防治措施后均得到妥当处置。</w:t>
                  </w:r>
                </w:p>
              </w:tc>
              <w:tc>
                <w:tcPr>
                  <w:tcW w:w="935"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符合</w:t>
                  </w:r>
                </w:p>
              </w:tc>
            </w:tr>
          </w:tbl>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综上所述，项目与《国务院关于印发土壤污染防治行动计划的通知》（国发[2016]31号）及《土壤污染防治行动计划四川省工作方案》的要求相符合。</w:t>
            </w:r>
          </w:p>
          <w:p>
            <w:pPr>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lang w:val="en-US" w:eastAsia="zh-CN"/>
              </w:rPr>
              <w:t>8</w:t>
            </w:r>
            <w:r>
              <w:rPr>
                <w:rFonts w:hint="default" w:ascii="Times New Roman" w:hAnsi="Times New Roman" w:cs="Times New Roman"/>
                <w:b/>
                <w:bCs/>
                <w:color w:val="auto"/>
                <w:highlight w:val="none"/>
              </w:rPr>
              <w:t>、与“三线一单”的符合性分析</w:t>
            </w:r>
          </w:p>
          <w:p>
            <w:pPr>
              <w:keepNext w:val="0"/>
              <w:keepLines w:val="0"/>
              <w:suppressLineNumbers w:val="0"/>
              <w:bidi w:val="0"/>
              <w:spacing w:before="0" w:beforeAutospacing="0" w:after="0" w:afterAutospacing="0"/>
              <w:ind w:left="0" w:right="0"/>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（1）与达州市“三线一单”符合性分析</w:t>
            </w:r>
          </w:p>
          <w:p>
            <w:pPr>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rPr>
            </w:pPr>
            <w:r>
              <w:rPr>
                <w:rFonts w:hint="default" w:ascii="Times New Roman" w:hAnsi="Times New Roman" w:cs="Times New Roman"/>
                <w:color w:val="auto"/>
                <w:highlight w:val="none"/>
              </w:rPr>
              <w:t>根据生态环境部发布的《关于以改善环境质量为核心加强环境影响评价管理的通知》（以下简称《通知》），《通知》要求切实加强环境影响评价管理，落实“生态保护红线、环境质量底线、资源利用上线和环境准入负面清单”约束，建立项目环评审批与规划环评、现有项目环境管理、区域环境质量联动机制，更好地发挥环评制度从源头防范环境污染和生态破坏的作用，加快推进改善环境质量。</w:t>
            </w:r>
          </w:p>
          <w:p>
            <w:pPr>
              <w:keepNext w:val="0"/>
              <w:keepLines w:val="0"/>
              <w:suppressLineNumbers w:val="0"/>
              <w:bidi w:val="0"/>
              <w:spacing w:before="0" w:beforeAutospacing="0" w:after="0" w:afterAutospacing="0"/>
              <w:ind w:left="0" w:right="0" w:firstLine="480" w:firstLineChars="20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1）生态保护红线</w:t>
            </w:r>
          </w:p>
          <w:p>
            <w:pPr>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rPr>
            </w:pPr>
            <w:r>
              <w:rPr>
                <w:rFonts w:hint="default" w:ascii="Times New Roman" w:hAnsi="Times New Roman" w:cs="Times New Roman"/>
                <w:color w:val="auto"/>
                <w:highlight w:val="none"/>
              </w:rPr>
              <w:t>生态保护红线是生态空间范围内具有特殊重要生态功能必须实行强制性严格保护的区域。</w:t>
            </w:r>
          </w:p>
          <w:p>
            <w:pPr>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根据达州市人民政府发布的《关于落实生态保护红线、环境质量底线、资源利用上线制定生态环境准人清单实施生态环境分区管控的通知》（达市府发</w:t>
            </w:r>
            <w:r>
              <w:rPr>
                <w:rFonts w:hint="eastAsia" w:cs="Times New Roman"/>
                <w:color w:val="auto"/>
                <w:highlight w:val="none"/>
                <w:lang w:eastAsia="zh-CN"/>
              </w:rPr>
              <w:t>〔2021〕</w:t>
            </w:r>
            <w:r>
              <w:rPr>
                <w:rFonts w:hint="default" w:ascii="Times New Roman" w:hAnsi="Times New Roman" w:cs="Times New Roman"/>
                <w:color w:val="auto"/>
                <w:highlight w:val="none"/>
                <w:lang w:eastAsia="zh-CN"/>
              </w:rPr>
              <w:t>17号），达州市将全市行政区域从生态环境保护角度划分为优先保护、重点管控和一般管控三类环境管控单元，全市共划定46个综合环境管控单元。其中：</w:t>
            </w:r>
          </w:p>
          <w:p>
            <w:pPr>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优先保护单元。以生态环境保护为主的区域，全市划分优先保护单元17个，主要包括生态保护红线、自然保护地、饮用水水源保护区等，应以生态环境保护优先为原则，严格执行相关法律、法规要求，严守生态环境质量底线，确保生态环境功能不降低。</w:t>
            </w:r>
          </w:p>
          <w:p>
            <w:pPr>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重点管控单元。涉及水、大气、土壤、自然资源等资源环境要素重点管控的区域，全市划分重点管控单元22个，主要包括人口密集的城镇规划区和产业集聚的工业园区（工业集聚区）等，应不断提升资源利用效率，有针对性地加强污染物排放控制和环境风险防控，解决生态环境质量不达标、生态环境风险突出等问题，制定差别化的生态环境准入要求。对环境质量不达标区域，提出污染物削减比例要求。对环境质量达标区域，提出允许排放量建议指标。</w:t>
            </w:r>
          </w:p>
          <w:p>
            <w:pPr>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一</w:t>
            </w:r>
            <w:r>
              <w:rPr>
                <w:rFonts w:hint="default" w:ascii="Times New Roman" w:hAnsi="Times New Roman" w:cs="Times New Roman"/>
                <w:color w:val="auto"/>
                <w:highlight w:val="none"/>
                <w:lang w:eastAsia="zh-CN"/>
              </w:rPr>
              <w:t>般管控单元。除优先保护单元和重点管控单元之外的其他区域，全市共划分一般管控单元7个。执行区域生态环境保护的基本要求，重点加强农业、生活等领域污染治理。</w:t>
            </w:r>
          </w:p>
          <w:p>
            <w:pPr>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eastAsia="zh-CN"/>
              </w:rPr>
              <w:t>本项目</w:t>
            </w:r>
            <w:r>
              <w:rPr>
                <w:rFonts w:hint="default" w:ascii="Times New Roman" w:hAnsi="Times New Roman" w:cs="Times New Roman"/>
                <w:color w:val="auto"/>
                <w:highlight w:val="none"/>
                <w:lang w:val="en-US" w:eastAsia="zh-CN"/>
              </w:rPr>
              <w:t>所在区域</w:t>
            </w:r>
            <w:r>
              <w:rPr>
                <w:rFonts w:hint="default" w:ascii="Times New Roman" w:hAnsi="Times New Roman" w:cs="Times New Roman"/>
                <w:color w:val="auto"/>
                <w:highlight w:val="none"/>
                <w:lang w:eastAsia="zh-CN"/>
              </w:rPr>
              <w:t>属于一般管控单元。同时项目</w:t>
            </w:r>
            <w:r>
              <w:rPr>
                <w:rFonts w:hint="default" w:ascii="Times New Roman" w:hAnsi="Times New Roman" w:cs="Times New Roman"/>
                <w:color w:val="auto"/>
                <w:highlight w:val="none"/>
                <w:lang w:val="en-US" w:eastAsia="zh-CN"/>
              </w:rPr>
              <w:t>堤防修建</w:t>
            </w:r>
            <w:r>
              <w:rPr>
                <w:rFonts w:hint="default" w:ascii="Times New Roman" w:hAnsi="Times New Roman" w:cs="Times New Roman"/>
                <w:color w:val="auto"/>
                <w:highlight w:val="none"/>
                <w:lang w:eastAsia="zh-CN"/>
              </w:rPr>
              <w:t>，不属于区域重点管控项目，区域环境质量良好，污染物均能实现达标排放，满足环境质量管控要求。</w:t>
            </w:r>
            <w:r>
              <w:rPr>
                <w:rFonts w:hint="default" w:ascii="Times New Roman" w:hAnsi="Times New Roman" w:cs="Times New Roman"/>
                <w:color w:val="auto"/>
                <w:highlight w:val="none"/>
                <w:lang w:val="en-US" w:eastAsia="zh-CN"/>
              </w:rPr>
              <w:t>本项目与达州市环境管控单元位置关系见图1-1，宣汉县总体生态环境管控要求见表1-6。</w:t>
            </w:r>
          </w:p>
          <w:p>
            <w:pPr>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val="en-US" w:eastAsia="zh-CN"/>
              </w:rPr>
            </w:pPr>
          </w:p>
          <w:p>
            <w:pPr>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val="en-US" w:eastAsia="zh-CN"/>
              </w:rPr>
            </w:pPr>
          </w:p>
          <w:p>
            <w:pPr>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val="en-US" w:eastAsia="zh-CN"/>
              </w:rPr>
            </w:pPr>
          </w:p>
          <w:p>
            <w:pPr>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val="en-US" w:eastAsia="zh-CN"/>
              </w:rPr>
            </w:pPr>
          </w:p>
          <w:p>
            <w:pPr>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val="en-US" w:eastAsia="zh-CN"/>
              </w:rPr>
            </w:pPr>
          </w:p>
          <w:p>
            <w:pPr>
              <w:ind w:left="0" w:leftChars="0"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drawing>
                <wp:inline distT="0" distB="0" distL="114300" distR="114300">
                  <wp:extent cx="5480050" cy="3874770"/>
                  <wp:effectExtent l="0" t="0" r="6350" b="11430"/>
                  <wp:docPr id="2" name="图片 2"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图片1"/>
                          <pic:cNvPicPr>
                            <a:picLocks noChangeAspect="1"/>
                          </pic:cNvPicPr>
                        </pic:nvPicPr>
                        <pic:blipFill>
                          <a:blip r:embed="rId16"/>
                          <a:stretch>
                            <a:fillRect/>
                          </a:stretch>
                        </pic:blipFill>
                        <pic:spPr>
                          <a:xfrm>
                            <a:off x="0" y="0"/>
                            <a:ext cx="5480050" cy="3874770"/>
                          </a:xfrm>
                          <a:prstGeom prst="rect">
                            <a:avLst/>
                          </a:prstGeom>
                        </pic:spPr>
                      </pic:pic>
                    </a:graphicData>
                  </a:graphic>
                </wp:inline>
              </w:drawing>
            </w:r>
          </w:p>
          <w:p>
            <w:pPr>
              <w:pStyle w:val="18"/>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图1-</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lang w:eastAsia="zh-CN"/>
              </w:rPr>
              <w:t xml:space="preserve"> </w:t>
            </w: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lang w:eastAsia="zh-CN"/>
              </w:rPr>
              <w:t>项目与达州市环境管控单元位置关系</w:t>
            </w:r>
          </w:p>
          <w:p>
            <w:pPr>
              <w:pStyle w:val="16"/>
              <w:keepNext w:val="0"/>
              <w:keepLines w:val="0"/>
              <w:suppressLineNumbers w:val="0"/>
              <w:bidi w:val="0"/>
              <w:spacing w:beforeAutospacing="0" w:after="0" w:afterAutospacing="0"/>
              <w:ind w:left="0" w:right="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表</w:t>
            </w:r>
            <w:r>
              <w:rPr>
                <w:rFonts w:hint="default" w:ascii="Times New Roman" w:hAnsi="Times New Roman" w:cs="Times New Roman"/>
                <w:color w:val="auto"/>
                <w:highlight w:val="none"/>
                <w:lang w:val="en-US" w:eastAsia="zh-CN"/>
              </w:rPr>
              <w:t>1-6</w:t>
            </w:r>
            <w:r>
              <w:rPr>
                <w:rFonts w:hint="default" w:ascii="Times New Roman" w:hAnsi="Times New Roman" w:cs="Times New Roman"/>
                <w:color w:val="auto"/>
                <w:highlight w:val="none"/>
                <w:lang w:eastAsia="zh-CN"/>
              </w:rPr>
              <w:t xml:space="preserve">  宣汉县总体生态环境管控要求</w:t>
            </w:r>
          </w:p>
          <w:tbl>
            <w:tblPr>
              <w:tblStyle w:val="12"/>
              <w:tblW w:w="856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83"/>
              <w:gridCol w:w="4843"/>
              <w:gridCol w:w="2122"/>
              <w:gridCol w:w="91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83" w:type="dxa"/>
                  <w:tcBorders>
                    <w:tl2br w:val="nil"/>
                    <w:tr2bl w:val="nil"/>
                  </w:tcBorders>
                  <w:noWrap w:val="0"/>
                  <w:vAlign w:val="center"/>
                </w:tcPr>
                <w:p>
                  <w:pPr>
                    <w:pStyle w:val="15"/>
                    <w:keepNext w:val="0"/>
                    <w:keepLines w:val="0"/>
                    <w:suppressLineNumbers w:val="0"/>
                    <w:bidi w:val="0"/>
                    <w:spacing w:before="0" w:beforeAutospacing="0" w:after="0" w:afterAutospacing="0"/>
                    <w:ind w:left="0" w:right="0"/>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序号</w:t>
                  </w:r>
                </w:p>
              </w:tc>
              <w:tc>
                <w:tcPr>
                  <w:tcW w:w="4843" w:type="dxa"/>
                  <w:tcBorders>
                    <w:tl2br w:val="nil"/>
                    <w:tr2bl w:val="nil"/>
                  </w:tcBorders>
                  <w:noWrap w:val="0"/>
                  <w:vAlign w:val="center"/>
                </w:tcPr>
                <w:p>
                  <w:pPr>
                    <w:pStyle w:val="15"/>
                    <w:keepNext w:val="0"/>
                    <w:keepLines w:val="0"/>
                    <w:suppressLineNumbers w:val="0"/>
                    <w:bidi w:val="0"/>
                    <w:spacing w:before="0" w:beforeAutospacing="0" w:after="0" w:afterAutospacing="0"/>
                    <w:ind w:left="0" w:right="0"/>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宣汉县总体生态环境管控要求</w:t>
                  </w:r>
                </w:p>
              </w:tc>
              <w:tc>
                <w:tcPr>
                  <w:tcW w:w="2122" w:type="dxa"/>
                  <w:tcBorders>
                    <w:tl2br w:val="nil"/>
                    <w:tr2bl w:val="nil"/>
                  </w:tcBorders>
                  <w:noWrap w:val="0"/>
                  <w:vAlign w:val="center"/>
                </w:tcPr>
                <w:p>
                  <w:pPr>
                    <w:pStyle w:val="15"/>
                    <w:keepNext w:val="0"/>
                    <w:keepLines w:val="0"/>
                    <w:suppressLineNumbers w:val="0"/>
                    <w:bidi w:val="0"/>
                    <w:spacing w:before="0" w:beforeAutospacing="0" w:after="0" w:afterAutospacing="0"/>
                    <w:ind w:left="0" w:right="0"/>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本项目</w:t>
                  </w:r>
                </w:p>
              </w:tc>
              <w:tc>
                <w:tcPr>
                  <w:tcW w:w="916" w:type="dxa"/>
                  <w:tcBorders>
                    <w:tl2br w:val="nil"/>
                    <w:tr2bl w:val="nil"/>
                  </w:tcBorders>
                  <w:noWrap w:val="0"/>
                  <w:vAlign w:val="center"/>
                </w:tcPr>
                <w:p>
                  <w:pPr>
                    <w:pStyle w:val="15"/>
                    <w:keepNext w:val="0"/>
                    <w:keepLines w:val="0"/>
                    <w:suppressLineNumbers w:val="0"/>
                    <w:bidi w:val="0"/>
                    <w:spacing w:before="0" w:beforeAutospacing="0" w:after="0" w:afterAutospacing="0"/>
                    <w:ind w:left="0" w:right="0"/>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是否符合要求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83" w:type="dxa"/>
                  <w:tcBorders>
                    <w:tl2br w:val="nil"/>
                    <w:tr2bl w:val="nil"/>
                  </w:tcBorders>
                  <w:noWrap w:val="0"/>
                  <w:vAlign w:val="center"/>
                </w:tcPr>
                <w:p>
                  <w:pPr>
                    <w:pStyle w:val="15"/>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w:t>
                  </w:r>
                </w:p>
              </w:tc>
              <w:tc>
                <w:tcPr>
                  <w:tcW w:w="4843" w:type="dxa"/>
                  <w:tcBorders>
                    <w:tl2br w:val="nil"/>
                    <w:tr2bl w:val="nil"/>
                  </w:tcBorders>
                  <w:noWrap w:val="0"/>
                  <w:vAlign w:val="center"/>
                </w:tcPr>
                <w:p>
                  <w:pPr>
                    <w:pStyle w:val="15"/>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加强小流域水环境保护，推动农村环保基础设施建设，全面推进农村环境综合整治、生活污水处理项目。大力开展沿河畜禽养殖污染整治，大力推广生态种植，减少农药化肥使用量。</w:t>
                  </w:r>
                </w:p>
              </w:tc>
              <w:tc>
                <w:tcPr>
                  <w:tcW w:w="2122" w:type="dxa"/>
                  <w:tcBorders>
                    <w:tl2br w:val="nil"/>
                    <w:tr2bl w:val="nil"/>
                  </w:tcBorders>
                  <w:noWrap w:val="0"/>
                  <w:vAlign w:val="center"/>
                </w:tcPr>
                <w:p>
                  <w:pPr>
                    <w:pStyle w:val="15"/>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本项目属于防洪治理工程，不涉及该类管控要求。</w:t>
                  </w:r>
                </w:p>
              </w:tc>
              <w:tc>
                <w:tcPr>
                  <w:tcW w:w="916" w:type="dxa"/>
                  <w:tcBorders>
                    <w:tl2br w:val="nil"/>
                    <w:tr2bl w:val="nil"/>
                  </w:tcBorders>
                  <w:noWrap w:val="0"/>
                  <w:vAlign w:val="center"/>
                </w:tcPr>
                <w:p>
                  <w:pPr>
                    <w:pStyle w:val="15"/>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83" w:type="dxa"/>
                  <w:tcBorders>
                    <w:tl2br w:val="nil"/>
                    <w:tr2bl w:val="nil"/>
                  </w:tcBorders>
                  <w:noWrap w:val="0"/>
                  <w:vAlign w:val="center"/>
                </w:tcPr>
                <w:p>
                  <w:pPr>
                    <w:pStyle w:val="15"/>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w:t>
                  </w:r>
                </w:p>
              </w:tc>
              <w:tc>
                <w:tcPr>
                  <w:tcW w:w="4843" w:type="dxa"/>
                  <w:tcBorders>
                    <w:tl2br w:val="nil"/>
                    <w:tr2bl w:val="nil"/>
                  </w:tcBorders>
                  <w:noWrap w:val="0"/>
                  <w:vAlign w:val="center"/>
                </w:tcPr>
                <w:p>
                  <w:pPr>
                    <w:pStyle w:val="15"/>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打好升级版污染防治攻坚战。持续优化调整产业布局，以PM</w:t>
                  </w:r>
                  <w:r>
                    <w:rPr>
                      <w:rFonts w:hint="default" w:ascii="Times New Roman" w:hAnsi="Times New Roman" w:cs="Times New Roman"/>
                      <w:color w:val="auto"/>
                      <w:highlight w:val="none"/>
                      <w:vertAlign w:val="subscript"/>
                      <w:lang w:val="en-US" w:eastAsia="zh-CN"/>
                    </w:rPr>
                    <w:t>2.5</w:t>
                  </w:r>
                  <w:r>
                    <w:rPr>
                      <w:rFonts w:hint="default" w:ascii="Times New Roman" w:hAnsi="Times New Roman" w:cs="Times New Roman"/>
                      <w:color w:val="auto"/>
                      <w:highlight w:val="none"/>
                      <w:lang w:val="en-US" w:eastAsia="zh-CN"/>
                    </w:rPr>
                    <w:t>和臭氧污染协同控制为重点，全面开展VOCs治理，实施移动源整治，持续推进空气质量精细化管理。</w:t>
                  </w:r>
                </w:p>
              </w:tc>
              <w:tc>
                <w:tcPr>
                  <w:tcW w:w="2122" w:type="dxa"/>
                  <w:tcBorders>
                    <w:tl2br w:val="nil"/>
                    <w:tr2bl w:val="nil"/>
                  </w:tcBorders>
                  <w:noWrap w:val="0"/>
                  <w:vAlign w:val="center"/>
                </w:tcPr>
                <w:p>
                  <w:pPr>
                    <w:pStyle w:val="15"/>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本项目属于防洪治理工程，不涉及VOCs等重点污染物排放。</w:t>
                  </w:r>
                </w:p>
              </w:tc>
              <w:tc>
                <w:tcPr>
                  <w:tcW w:w="916" w:type="dxa"/>
                  <w:tcBorders>
                    <w:tl2br w:val="nil"/>
                    <w:tr2bl w:val="nil"/>
                  </w:tcBorders>
                  <w:noWrap w:val="0"/>
                  <w:vAlign w:val="center"/>
                </w:tcPr>
                <w:p>
                  <w:pPr>
                    <w:pStyle w:val="15"/>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83" w:type="dxa"/>
                  <w:tcBorders>
                    <w:tl2br w:val="nil"/>
                    <w:tr2bl w:val="nil"/>
                  </w:tcBorders>
                  <w:noWrap w:val="0"/>
                  <w:vAlign w:val="center"/>
                </w:tcPr>
                <w:p>
                  <w:pPr>
                    <w:pStyle w:val="15"/>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w:t>
                  </w:r>
                </w:p>
              </w:tc>
              <w:tc>
                <w:tcPr>
                  <w:tcW w:w="4843" w:type="dxa"/>
                  <w:tcBorders>
                    <w:tl2br w:val="nil"/>
                    <w:tr2bl w:val="nil"/>
                  </w:tcBorders>
                  <w:noWrap w:val="0"/>
                  <w:vAlign w:val="center"/>
                </w:tcPr>
                <w:p>
                  <w:pPr>
                    <w:pStyle w:val="15"/>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优化天然气化工、硫化工、锂钾综合开发、冶金建材、新材料等产业布局，切实做好危险化学品生产、使用、贮运、废弃全过程的安全防范措施，妥善处理好锂钾综合开发产业副产物及“三废”的综合利用途径或处置去向。</w:t>
                  </w:r>
                </w:p>
              </w:tc>
              <w:tc>
                <w:tcPr>
                  <w:tcW w:w="2122" w:type="dxa"/>
                  <w:tcBorders>
                    <w:tl2br w:val="nil"/>
                    <w:tr2bl w:val="nil"/>
                  </w:tcBorders>
                  <w:noWrap w:val="0"/>
                  <w:vAlign w:val="center"/>
                </w:tcPr>
                <w:p>
                  <w:pPr>
                    <w:pStyle w:val="15"/>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本项目属于防洪治理工程，不涉及天然气化工、硫化工、锂钾综合开发、冶金建材、新材料等。</w:t>
                  </w:r>
                </w:p>
              </w:tc>
              <w:tc>
                <w:tcPr>
                  <w:tcW w:w="916" w:type="dxa"/>
                  <w:tcBorders>
                    <w:tl2br w:val="nil"/>
                    <w:tr2bl w:val="nil"/>
                  </w:tcBorders>
                  <w:noWrap w:val="0"/>
                  <w:vAlign w:val="center"/>
                </w:tcPr>
                <w:p>
                  <w:pPr>
                    <w:pStyle w:val="15"/>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符合</w:t>
                  </w:r>
                </w:p>
              </w:tc>
            </w:tr>
          </w:tbl>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eastAsia="zh-CN"/>
              </w:rPr>
              <w:t>本项目位于宣汉县</w:t>
            </w:r>
            <w:r>
              <w:rPr>
                <w:rFonts w:hint="default" w:ascii="Times New Roman" w:hAnsi="Times New Roman" w:cs="Times New Roman"/>
                <w:color w:val="auto"/>
                <w:highlight w:val="none"/>
                <w:lang w:val="en-US" w:eastAsia="zh-CN"/>
              </w:rPr>
              <w:t>胡家镇</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不涉及上述生态管控单元，满足</w:t>
            </w:r>
            <w:r>
              <w:rPr>
                <w:rFonts w:hint="default" w:ascii="Times New Roman" w:hAnsi="Times New Roman" w:cs="Times New Roman"/>
                <w:color w:val="auto"/>
                <w:highlight w:val="none"/>
                <w:lang w:eastAsia="zh-CN"/>
              </w:rPr>
              <w:t>达州市人民政府发布的《关于落实生态保护红线、环境质量底线、资源利用上线制定生态环境准人清单实施生态环境分区管控的通知》（达市府发</w:t>
            </w:r>
            <w:r>
              <w:rPr>
                <w:rFonts w:hint="eastAsia" w:cs="Times New Roman"/>
                <w:color w:val="auto"/>
                <w:highlight w:val="none"/>
                <w:lang w:eastAsia="zh-CN"/>
              </w:rPr>
              <w:t>〔2021〕</w:t>
            </w:r>
            <w:r>
              <w:rPr>
                <w:rFonts w:hint="default" w:ascii="Times New Roman" w:hAnsi="Times New Roman" w:cs="Times New Roman"/>
                <w:color w:val="auto"/>
                <w:highlight w:val="none"/>
                <w:lang w:eastAsia="zh-CN"/>
              </w:rPr>
              <w:t>17号）</w:t>
            </w:r>
            <w:r>
              <w:rPr>
                <w:rFonts w:hint="default" w:ascii="Times New Roman" w:hAnsi="Times New Roman" w:cs="Times New Roman"/>
                <w:color w:val="auto"/>
                <w:highlight w:val="none"/>
                <w:lang w:val="en-US" w:eastAsia="zh-CN"/>
              </w:rPr>
              <w:t>相关生态保护要求。</w:t>
            </w:r>
          </w:p>
          <w:p>
            <w:pPr>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环境质量底线</w:t>
            </w:r>
          </w:p>
          <w:p>
            <w:pPr>
              <w:rPr>
                <w:rFonts w:hint="default" w:ascii="Times New Roman" w:hAnsi="Times New Roman" w:cs="Times New Roman"/>
                <w:color w:val="auto"/>
                <w:highlight w:val="none"/>
              </w:rPr>
            </w:pPr>
            <w:r>
              <w:rPr>
                <w:rFonts w:hint="default" w:ascii="Times New Roman" w:hAnsi="Times New Roman" w:cs="Times New Roman"/>
                <w:color w:val="auto"/>
                <w:highlight w:val="none"/>
              </w:rPr>
              <w:t>根据达州市生态环境局官方网站发布的</w:t>
            </w:r>
            <w:r>
              <w:rPr>
                <w:rFonts w:hint="default" w:ascii="Times New Roman" w:hAnsi="Times New Roman" w:cs="Times New Roman"/>
                <w:color w:val="auto"/>
                <w:kern w:val="2"/>
                <w:szCs w:val="24"/>
                <w:highlight w:val="none"/>
              </w:rPr>
              <w:t>《达州市</w:t>
            </w:r>
            <w:r>
              <w:rPr>
                <w:rFonts w:hint="default" w:ascii="Times New Roman" w:hAnsi="Times New Roman" w:cs="Times New Roman"/>
                <w:color w:val="auto"/>
                <w:kern w:val="2"/>
                <w:szCs w:val="24"/>
                <w:highlight w:val="none"/>
                <w:lang w:val="en-US" w:eastAsia="zh-CN"/>
              </w:rPr>
              <w:t>2023年</w:t>
            </w:r>
            <w:r>
              <w:rPr>
                <w:rFonts w:hint="default" w:ascii="Times New Roman" w:hAnsi="Times New Roman" w:cs="Times New Roman"/>
                <w:color w:val="auto"/>
                <w:kern w:val="2"/>
                <w:szCs w:val="24"/>
                <w:highlight w:val="none"/>
              </w:rPr>
              <w:t>环境空气质量</w:t>
            </w:r>
            <w:r>
              <w:rPr>
                <w:rFonts w:hint="default" w:ascii="Times New Roman" w:hAnsi="Times New Roman" w:cs="Times New Roman"/>
                <w:color w:val="auto"/>
                <w:kern w:val="2"/>
                <w:szCs w:val="24"/>
                <w:highlight w:val="none"/>
                <w:lang w:val="en-US" w:eastAsia="zh-CN"/>
              </w:rPr>
              <w:t>状况</w:t>
            </w:r>
            <w:r>
              <w:rPr>
                <w:rFonts w:hint="default" w:ascii="Times New Roman" w:hAnsi="Times New Roman" w:cs="Times New Roman"/>
                <w:color w:val="auto"/>
                <w:kern w:val="2"/>
                <w:szCs w:val="24"/>
                <w:highlight w:val="none"/>
              </w:rPr>
              <w:t>》</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宣汉县202</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年环境空气质量达标率为</w:t>
            </w:r>
            <w:r>
              <w:rPr>
                <w:rFonts w:hint="default" w:ascii="Times New Roman" w:hAnsi="Times New Roman" w:cs="Times New Roman"/>
                <w:color w:val="auto"/>
                <w:highlight w:val="none"/>
                <w:lang w:val="en-US" w:eastAsia="zh-CN"/>
              </w:rPr>
              <w:t>92.9</w:t>
            </w:r>
            <w:r>
              <w:rPr>
                <w:rFonts w:hint="default" w:ascii="Times New Roman" w:hAnsi="Times New Roman" w:cs="Times New Roman"/>
                <w:color w:val="auto"/>
                <w:highlight w:val="none"/>
              </w:rPr>
              <w:t>%，SO</w:t>
            </w:r>
            <w:r>
              <w:rPr>
                <w:rFonts w:hint="default" w:ascii="Times New Roman" w:hAnsi="Times New Roman" w:cs="Times New Roman"/>
                <w:color w:val="auto"/>
                <w:highlight w:val="none"/>
                <w:vertAlign w:val="subscript"/>
              </w:rPr>
              <w:t>2</w:t>
            </w:r>
            <w:r>
              <w:rPr>
                <w:rFonts w:hint="default" w:ascii="Times New Roman" w:hAnsi="Times New Roman" w:cs="Times New Roman"/>
                <w:color w:val="auto"/>
                <w:highlight w:val="none"/>
              </w:rPr>
              <w:t>、NO</w:t>
            </w:r>
            <w:r>
              <w:rPr>
                <w:rFonts w:hint="default" w:ascii="Times New Roman" w:hAnsi="Times New Roman" w:cs="Times New Roman"/>
                <w:color w:val="auto"/>
                <w:highlight w:val="none"/>
                <w:vertAlign w:val="subscript"/>
              </w:rPr>
              <w:t>2</w:t>
            </w:r>
            <w:r>
              <w:rPr>
                <w:rFonts w:hint="default" w:ascii="Times New Roman" w:hAnsi="Times New Roman" w:cs="Times New Roman"/>
                <w:color w:val="auto"/>
                <w:highlight w:val="none"/>
              </w:rPr>
              <w:t>、PM</w:t>
            </w:r>
            <w:r>
              <w:rPr>
                <w:rFonts w:hint="default" w:ascii="Times New Roman" w:hAnsi="Times New Roman" w:cs="Times New Roman"/>
                <w:color w:val="auto"/>
                <w:highlight w:val="none"/>
                <w:vertAlign w:val="subscript"/>
                <w:lang w:val="en-US" w:eastAsia="zh-CN"/>
              </w:rPr>
              <w:t>10</w:t>
            </w:r>
            <w:r>
              <w:rPr>
                <w:rFonts w:hint="default" w:ascii="Times New Roman" w:hAnsi="Times New Roman" w:cs="Times New Roman"/>
                <w:color w:val="auto"/>
                <w:highlight w:val="none"/>
              </w:rPr>
              <w:t>、CO、O</w:t>
            </w:r>
            <w:r>
              <w:rPr>
                <w:rFonts w:hint="default" w:ascii="Times New Roman" w:hAnsi="Times New Roman" w:cs="Times New Roman"/>
                <w:color w:val="auto"/>
                <w:highlight w:val="none"/>
                <w:vertAlign w:val="subscript"/>
              </w:rPr>
              <w:t>3</w:t>
            </w:r>
            <w:r>
              <w:rPr>
                <w:rFonts w:hint="default" w:ascii="Times New Roman" w:hAnsi="Times New Roman" w:cs="Times New Roman"/>
                <w:color w:val="auto"/>
                <w:highlight w:val="none"/>
              </w:rPr>
              <w:t>和PM</w:t>
            </w:r>
            <w:r>
              <w:rPr>
                <w:rFonts w:hint="default" w:ascii="Times New Roman" w:hAnsi="Times New Roman" w:cs="Times New Roman"/>
                <w:color w:val="auto"/>
                <w:highlight w:val="none"/>
                <w:vertAlign w:val="subscript"/>
                <w:lang w:val="en-US" w:eastAsia="zh-CN"/>
              </w:rPr>
              <w:t>2.5</w:t>
            </w:r>
            <w:r>
              <w:rPr>
                <w:rFonts w:hint="default" w:ascii="Times New Roman" w:hAnsi="Times New Roman" w:cs="Times New Roman"/>
                <w:color w:val="auto"/>
                <w:highlight w:val="none"/>
              </w:rPr>
              <w:t>评价结果均达标。本项目所在区域为环境空气质量达标区。本项目属于</w:t>
            </w:r>
            <w:r>
              <w:rPr>
                <w:rFonts w:hint="default" w:ascii="Times New Roman" w:hAnsi="Times New Roman" w:cs="Times New Roman"/>
                <w:color w:val="auto"/>
                <w:highlight w:val="none"/>
                <w:lang w:val="en-US" w:eastAsia="zh-CN"/>
              </w:rPr>
              <w:t>防洪治理工程</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eastAsia="zh-CN"/>
              </w:rPr>
              <w:t>在施工阶段会产生一定污染物，营运期对环境无污染，在施工期落实相应环保治理措施后不会对区域环境质量产生明显</w:t>
            </w:r>
            <w:r>
              <w:rPr>
                <w:rFonts w:hint="default" w:ascii="Times New Roman" w:hAnsi="Times New Roman" w:cs="Times New Roman"/>
                <w:color w:val="auto"/>
                <w:highlight w:val="none"/>
                <w:lang w:val="en-US" w:eastAsia="zh-CN"/>
              </w:rPr>
              <w:t>影响</w:t>
            </w:r>
            <w:r>
              <w:rPr>
                <w:rFonts w:hint="default" w:ascii="Times New Roman" w:hAnsi="Times New Roman" w:cs="Times New Roman"/>
                <w:color w:val="auto"/>
                <w:highlight w:val="none"/>
              </w:rPr>
              <w:t>。</w:t>
            </w:r>
          </w:p>
          <w:p>
            <w:pPr>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lang w:val="en-US" w:eastAsia="zh-CN"/>
              </w:rPr>
              <w:t>综上所述，</w:t>
            </w:r>
            <w:r>
              <w:rPr>
                <w:rFonts w:hint="default" w:ascii="Times New Roman" w:hAnsi="Times New Roman" w:cs="Times New Roman"/>
                <w:color w:val="auto"/>
                <w:highlight w:val="none"/>
              </w:rPr>
              <w:t>本项目建设符合环境质量底线的要求</w:t>
            </w:r>
            <w:r>
              <w:rPr>
                <w:rFonts w:hint="default" w:ascii="Times New Roman" w:hAnsi="Times New Roman" w:cs="Times New Roman"/>
                <w:color w:val="auto"/>
                <w:highlight w:val="none"/>
                <w:lang w:eastAsia="zh-CN"/>
              </w:rPr>
              <w:t>。</w:t>
            </w:r>
          </w:p>
          <w:p>
            <w:pPr>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）资源利用上线</w:t>
            </w:r>
          </w:p>
          <w:p>
            <w:pPr>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rPr>
            </w:pPr>
            <w:r>
              <w:rPr>
                <w:rFonts w:hint="default" w:ascii="Times New Roman" w:hAnsi="Times New Roman" w:cs="Times New Roman"/>
                <w:color w:val="auto"/>
                <w:highlight w:val="none"/>
              </w:rPr>
              <w:t>资源是环境的载体，资源利用上线是各地区能源、水、土地等资源消耗不得突破的“天花板”。本项目属于</w:t>
            </w:r>
            <w:r>
              <w:rPr>
                <w:rFonts w:hint="default" w:ascii="Times New Roman" w:hAnsi="Times New Roman" w:cs="Times New Roman"/>
                <w:color w:val="auto"/>
                <w:highlight w:val="none"/>
                <w:lang w:val="en-US" w:eastAsia="zh-CN"/>
              </w:rPr>
              <w:t>防洪治涝工程</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eastAsia="zh-CN"/>
              </w:rPr>
              <w:t>施工期</w:t>
            </w:r>
            <w:r>
              <w:rPr>
                <w:rFonts w:hint="default" w:ascii="Times New Roman" w:hAnsi="Times New Roman" w:cs="Times New Roman"/>
                <w:color w:val="auto"/>
                <w:highlight w:val="none"/>
              </w:rPr>
              <w:t>涉及</w:t>
            </w:r>
            <w:r>
              <w:rPr>
                <w:rFonts w:hint="default" w:ascii="Times New Roman" w:hAnsi="Times New Roman" w:cs="Times New Roman"/>
                <w:color w:val="auto"/>
                <w:highlight w:val="none"/>
                <w:lang w:val="en-US" w:eastAsia="zh-CN"/>
              </w:rPr>
              <w:t>能源消耗主要为</w:t>
            </w:r>
            <w:r>
              <w:rPr>
                <w:rFonts w:hint="default" w:ascii="Times New Roman" w:hAnsi="Times New Roman" w:cs="Times New Roman"/>
                <w:color w:val="auto"/>
                <w:highlight w:val="none"/>
                <w:lang w:eastAsia="zh-CN"/>
              </w:rPr>
              <w:t>电能、柴油、水</w:t>
            </w:r>
            <w:r>
              <w:rPr>
                <w:rFonts w:hint="default" w:ascii="Times New Roman" w:hAnsi="Times New Roman" w:cs="Times New Roman"/>
                <w:color w:val="auto"/>
                <w:highlight w:val="none"/>
              </w:rPr>
              <w:t>资源消耗，</w:t>
            </w:r>
            <w:r>
              <w:rPr>
                <w:rFonts w:hint="default" w:ascii="Times New Roman" w:hAnsi="Times New Roman" w:cs="Times New Roman"/>
                <w:color w:val="auto"/>
                <w:highlight w:val="none"/>
                <w:lang w:eastAsia="zh-CN"/>
              </w:rPr>
              <w:t>不属于重大耗能项目</w:t>
            </w:r>
            <w:r>
              <w:rPr>
                <w:rFonts w:hint="default" w:ascii="Times New Roman" w:hAnsi="Times New Roman" w:cs="Times New Roman"/>
                <w:color w:val="auto"/>
                <w:highlight w:val="none"/>
              </w:rPr>
              <w:t>。</w:t>
            </w:r>
          </w:p>
          <w:p>
            <w:pPr>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rPr>
              <w:t>因此，项目建设符合资源利用上线要求。</w:t>
            </w:r>
          </w:p>
          <w:p>
            <w:pPr>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4</w:t>
            </w:r>
            <w:r>
              <w:rPr>
                <w:rFonts w:hint="default" w:ascii="Times New Roman" w:hAnsi="Times New Roman" w:cs="Times New Roman"/>
                <w:color w:val="auto"/>
                <w:highlight w:val="none"/>
              </w:rPr>
              <w:t>）环境准入负面清单</w:t>
            </w:r>
          </w:p>
          <w:p>
            <w:pPr>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rPr>
            </w:pPr>
            <w:r>
              <w:rPr>
                <w:rFonts w:hint="default" w:ascii="Times New Roman" w:hAnsi="Times New Roman" w:cs="Times New Roman"/>
                <w:color w:val="auto"/>
                <w:highlight w:val="none"/>
              </w:rPr>
              <w:t>环境准入负面清单是基于生态保护红线、环境质量底线和资源利用上线，以清单方式列出的禁止、限制等差别化环境准入条件和要求。根据四川省发展改革委印发的《四川省国家重点生态功能区产业准入负面清单(第一批)(试行)</w:t>
            </w:r>
            <w:r>
              <w:rPr>
                <w:rFonts w:hint="eastAsia" w:cs="Times New Roman"/>
                <w:color w:val="auto"/>
                <w:highlight w:val="none"/>
                <w:lang w:eastAsia="zh-CN"/>
              </w:rPr>
              <w:t>》《</w:t>
            </w:r>
            <w:r>
              <w:rPr>
                <w:rFonts w:hint="default" w:ascii="Times New Roman" w:hAnsi="Times New Roman" w:cs="Times New Roman"/>
                <w:color w:val="auto"/>
                <w:highlight w:val="none"/>
              </w:rPr>
              <w:t>四川省国家重点生态功能区产业准入负面清单(第二批)(试行)</w:t>
            </w:r>
            <w:r>
              <w:rPr>
                <w:rFonts w:hint="eastAsia" w:cs="Times New Roman"/>
                <w:color w:val="auto"/>
                <w:highlight w:val="none"/>
                <w:lang w:eastAsia="zh-CN"/>
              </w:rPr>
              <w:t>》《</w:t>
            </w:r>
            <w:r>
              <w:rPr>
                <w:rFonts w:hint="default" w:ascii="Times New Roman" w:hAnsi="Times New Roman" w:cs="Times New Roman"/>
                <w:color w:val="auto"/>
                <w:highlight w:val="none"/>
              </w:rPr>
              <w:t>长江经济带发展负面清单指南（试行）》，达州市宣汉县不在其所列区县之列。本项目属于</w:t>
            </w:r>
            <w:r>
              <w:rPr>
                <w:rFonts w:hint="default" w:ascii="Times New Roman" w:hAnsi="Times New Roman" w:cs="Times New Roman"/>
                <w:color w:val="auto"/>
                <w:highlight w:val="none"/>
                <w:lang w:val="en-US" w:eastAsia="zh-CN"/>
              </w:rPr>
              <w:t>防洪治理工程</w:t>
            </w:r>
            <w:r>
              <w:rPr>
                <w:rFonts w:hint="default" w:ascii="Times New Roman" w:hAnsi="Times New Roman" w:cs="Times New Roman"/>
                <w:color w:val="auto"/>
                <w:highlight w:val="none"/>
              </w:rPr>
              <w:t>，不属于环境准入负面清单之列。</w:t>
            </w:r>
          </w:p>
          <w:p>
            <w:pPr>
              <w:keepNext w:val="0"/>
              <w:keepLines w:val="0"/>
              <w:numPr>
                <w:ilvl w:val="0"/>
                <w:numId w:val="2"/>
              </w:numPr>
              <w:suppressLineNumbers w:val="0"/>
              <w:spacing w:before="0" w:beforeAutospacing="0" w:after="0" w:afterAutospacing="0" w:line="360" w:lineRule="auto"/>
              <w:ind w:left="0" w:right="0" w:firstLine="482" w:firstLineChars="200"/>
              <w:jc w:val="left"/>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与空间及管控要求符合性分析</w:t>
            </w:r>
          </w:p>
          <w:p>
            <w:pPr>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根据四川省生态环境厅办公室发布的《产业园区规划环评“三线一单”符合性分析技术要点(试行)》和《项目环评“三线一单”符合性分析技术要点(试行)》的通知（川环办函【2021】469号）可知，若建设项目位于产业园区外，需进行空间符合性分析以及管控要求符合性分析。</w:t>
            </w:r>
          </w:p>
          <w:p>
            <w:pPr>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本项目为防洪治理工程，位于产业园区外，因此，需要进行空间符合性分析及管控要求符合性分析。</w:t>
            </w:r>
          </w:p>
          <w:p>
            <w:pPr>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rPr>
            </w:pPr>
            <w:r>
              <w:rPr>
                <w:rFonts w:hint="default" w:ascii="Times New Roman" w:hAnsi="Times New Roman" w:cs="Times New Roman"/>
                <w:color w:val="auto"/>
                <w:highlight w:val="none"/>
              </w:rPr>
              <w:t>根据四川省政务服务网“三线一单”查询网站（网址：https://tftb.sczwfw.gov.cn:8085/hos-server/pub/jmas/jmasbucket/jmopen_files/webapp/html5/sxydctfx/index.html?areaCode=510000000000）查询项目所在地“三线一单”结果截图如下。</w:t>
            </w:r>
          </w:p>
          <w:p>
            <w:pPr>
              <w:keepNext w:val="0"/>
              <w:keepLines w:val="0"/>
              <w:suppressLineNumbers w:val="0"/>
              <w:spacing w:before="0" w:beforeAutospacing="0" w:after="0" w:afterAutospacing="0" w:line="360" w:lineRule="auto"/>
              <w:ind w:left="0" w:leftChars="0" w:right="0" w:firstLine="0" w:firstLineChars="0"/>
              <w:jc w:val="left"/>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drawing>
                <wp:inline distT="0" distB="0" distL="114300" distR="114300">
                  <wp:extent cx="5534025" cy="4109720"/>
                  <wp:effectExtent l="0" t="0" r="9525" b="5080"/>
                  <wp:docPr id="8" name="图片 8" descr="80c037670e2d99d24ab6bb1199078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80c037670e2d99d24ab6bb1199078a7"/>
                          <pic:cNvPicPr>
                            <a:picLocks noChangeAspect="1"/>
                          </pic:cNvPicPr>
                        </pic:nvPicPr>
                        <pic:blipFill>
                          <a:blip r:embed="rId17"/>
                          <a:stretch>
                            <a:fillRect/>
                          </a:stretch>
                        </pic:blipFill>
                        <pic:spPr>
                          <a:xfrm>
                            <a:off x="0" y="0"/>
                            <a:ext cx="5534025" cy="4109720"/>
                          </a:xfrm>
                          <a:prstGeom prst="rect">
                            <a:avLst/>
                          </a:prstGeom>
                        </pic:spPr>
                      </pic:pic>
                    </a:graphicData>
                  </a:graphic>
                </wp:inline>
              </w:drawing>
            </w:r>
          </w:p>
          <w:p>
            <w:pPr>
              <w:pStyle w:val="1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图1-2  项目区三线一单查询结果图</w:t>
            </w:r>
          </w:p>
          <w:p>
            <w:pPr>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本项目涉及4个环境管控单元，见表1-7，具体管控单元见表1-8。</w:t>
            </w:r>
          </w:p>
          <w:p>
            <w:pPr>
              <w:pStyle w:val="16"/>
              <w:keepNext w:val="0"/>
              <w:keepLines w:val="0"/>
              <w:suppressLineNumbers w:val="0"/>
              <w:bidi w:val="0"/>
              <w:spacing w:beforeAutospacing="0" w:after="0" w:afterAutospacing="0" w:line="240" w:lineRule="auto"/>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表1-7  本项目涉及环境管控单元一览表</w:t>
            </w:r>
          </w:p>
          <w:tbl>
            <w:tblPr>
              <w:tblStyle w:val="12"/>
              <w:tblW w:w="8507" w:type="dxa"/>
              <w:tblInd w:w="117"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41"/>
              <w:gridCol w:w="1453"/>
              <w:gridCol w:w="1453"/>
              <w:gridCol w:w="1165"/>
              <w:gridCol w:w="1650"/>
              <w:gridCol w:w="144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41" w:type="dxa"/>
                  <w:tcBorders>
                    <w:tl2br w:val="nil"/>
                    <w:tr2bl w:val="nil"/>
                  </w:tcBorders>
                  <w:vAlign w:val="center"/>
                </w:tcPr>
                <w:p>
                  <w:pPr>
                    <w:pStyle w:val="15"/>
                    <w:keepNext w:val="0"/>
                    <w:keepLines w:val="0"/>
                    <w:widowControl/>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cs="Times New Roman"/>
                      <w:b/>
                      <w:bCs/>
                      <w:color w:val="auto"/>
                      <w:highlight w:val="none"/>
                      <w:lang w:val="en-US" w:eastAsia="zh-CN" w:bidi="ar-SA"/>
                    </w:rPr>
                    <w:t>环境管控单元编码</w:t>
                  </w:r>
                </w:p>
              </w:tc>
              <w:tc>
                <w:tcPr>
                  <w:tcW w:w="1453" w:type="dxa"/>
                  <w:tcBorders>
                    <w:tl2br w:val="nil"/>
                    <w:tr2bl w:val="nil"/>
                  </w:tcBorders>
                  <w:vAlign w:val="center"/>
                </w:tcPr>
                <w:p>
                  <w:pPr>
                    <w:pStyle w:val="15"/>
                    <w:keepNext w:val="0"/>
                    <w:keepLines w:val="0"/>
                    <w:widowControl/>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cs="Times New Roman"/>
                      <w:b/>
                      <w:bCs/>
                      <w:color w:val="auto"/>
                      <w:highlight w:val="none"/>
                      <w:lang w:val="en-US" w:eastAsia="zh-CN" w:bidi="ar-SA"/>
                    </w:rPr>
                    <w:t>环境管控单元名称</w:t>
                  </w:r>
                </w:p>
              </w:tc>
              <w:tc>
                <w:tcPr>
                  <w:tcW w:w="1453" w:type="dxa"/>
                  <w:tcBorders>
                    <w:tl2br w:val="nil"/>
                    <w:tr2bl w:val="nil"/>
                  </w:tcBorders>
                  <w:vAlign w:val="center"/>
                </w:tcPr>
                <w:p>
                  <w:pPr>
                    <w:pStyle w:val="15"/>
                    <w:keepNext w:val="0"/>
                    <w:keepLines w:val="0"/>
                    <w:widowControl/>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cs="Times New Roman"/>
                      <w:b/>
                      <w:bCs/>
                      <w:color w:val="auto"/>
                      <w:highlight w:val="none"/>
                      <w:lang w:val="en-US" w:eastAsia="zh-CN" w:bidi="ar-SA"/>
                    </w:rPr>
                    <w:t>所属市（州）</w:t>
                  </w:r>
                </w:p>
              </w:tc>
              <w:tc>
                <w:tcPr>
                  <w:tcW w:w="1165" w:type="dxa"/>
                  <w:tcBorders>
                    <w:tl2br w:val="nil"/>
                    <w:tr2bl w:val="nil"/>
                  </w:tcBorders>
                  <w:vAlign w:val="center"/>
                </w:tcPr>
                <w:p>
                  <w:pPr>
                    <w:pStyle w:val="15"/>
                    <w:keepNext w:val="0"/>
                    <w:keepLines w:val="0"/>
                    <w:widowControl/>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cs="Times New Roman"/>
                      <w:b/>
                      <w:bCs/>
                      <w:color w:val="auto"/>
                      <w:highlight w:val="none"/>
                      <w:lang w:val="en-US" w:eastAsia="zh-CN" w:bidi="ar-SA"/>
                    </w:rPr>
                    <w:t>所属区县</w:t>
                  </w:r>
                </w:p>
              </w:tc>
              <w:tc>
                <w:tcPr>
                  <w:tcW w:w="1650" w:type="dxa"/>
                  <w:tcBorders>
                    <w:tl2br w:val="nil"/>
                    <w:tr2bl w:val="nil"/>
                  </w:tcBorders>
                  <w:vAlign w:val="center"/>
                </w:tcPr>
                <w:p>
                  <w:pPr>
                    <w:pStyle w:val="15"/>
                    <w:keepNext w:val="0"/>
                    <w:keepLines w:val="0"/>
                    <w:widowControl/>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cs="Times New Roman"/>
                      <w:b/>
                      <w:bCs/>
                      <w:color w:val="auto"/>
                      <w:highlight w:val="none"/>
                      <w:lang w:val="en-US" w:eastAsia="zh-CN" w:bidi="ar-SA"/>
                    </w:rPr>
                    <w:t>准入清单类型</w:t>
                  </w:r>
                </w:p>
              </w:tc>
              <w:tc>
                <w:tcPr>
                  <w:tcW w:w="1445" w:type="dxa"/>
                  <w:tcBorders>
                    <w:tl2br w:val="nil"/>
                    <w:tr2bl w:val="nil"/>
                  </w:tcBorders>
                  <w:vAlign w:val="center"/>
                </w:tcPr>
                <w:p>
                  <w:pPr>
                    <w:pStyle w:val="15"/>
                    <w:keepNext w:val="0"/>
                    <w:keepLines w:val="0"/>
                    <w:widowControl/>
                    <w:suppressLineNumbers w:val="0"/>
                    <w:bidi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cs="Times New Roman"/>
                      <w:b/>
                      <w:bCs/>
                      <w:color w:val="auto"/>
                      <w:highlight w:val="none"/>
                      <w:lang w:val="en-US" w:eastAsia="zh-CN" w:bidi="ar-SA"/>
                    </w:rPr>
                    <w:t>管控类型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41" w:type="dxa"/>
                  <w:tcBorders>
                    <w:tl2br w:val="nil"/>
                    <w:tr2bl w:val="nil"/>
                  </w:tcBorders>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ZH51172230001</w:t>
                  </w:r>
                </w:p>
              </w:tc>
              <w:tc>
                <w:tcPr>
                  <w:tcW w:w="1453" w:type="dxa"/>
                  <w:tcBorders>
                    <w:tl2br w:val="nil"/>
                    <w:tr2bl w:val="nil"/>
                  </w:tcBorders>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宣汉县一般管控单元</w:t>
                  </w:r>
                </w:p>
              </w:tc>
              <w:tc>
                <w:tcPr>
                  <w:tcW w:w="1453" w:type="dxa"/>
                  <w:tcBorders>
                    <w:tl2br w:val="nil"/>
                    <w:tr2bl w:val="nil"/>
                  </w:tcBorders>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达州市</w:t>
                  </w:r>
                </w:p>
              </w:tc>
              <w:tc>
                <w:tcPr>
                  <w:tcW w:w="1165" w:type="dxa"/>
                  <w:tcBorders>
                    <w:tl2br w:val="nil"/>
                    <w:tr2bl w:val="nil"/>
                  </w:tcBorders>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宣汉县</w:t>
                  </w:r>
                </w:p>
              </w:tc>
              <w:tc>
                <w:tcPr>
                  <w:tcW w:w="1650" w:type="dxa"/>
                  <w:tcBorders>
                    <w:tl2br w:val="nil"/>
                    <w:tr2bl w:val="nil"/>
                  </w:tcBorders>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环境管控单元</w:t>
                  </w:r>
                </w:p>
              </w:tc>
              <w:tc>
                <w:tcPr>
                  <w:tcW w:w="1445" w:type="dxa"/>
                  <w:tcBorders>
                    <w:tl2br w:val="nil"/>
                    <w:tr2bl w:val="nil"/>
                  </w:tcBorders>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环境综合管控单元一般管控单元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41" w:type="dxa"/>
                  <w:tcBorders>
                    <w:tl2br w:val="nil"/>
                    <w:tr2bl w:val="nil"/>
                  </w:tcBorders>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YS5117223210001</w:t>
                  </w:r>
                </w:p>
              </w:tc>
              <w:tc>
                <w:tcPr>
                  <w:tcW w:w="1453" w:type="dxa"/>
                  <w:tcBorders>
                    <w:tl2br w:val="nil"/>
                    <w:tr2bl w:val="nil"/>
                  </w:tcBorders>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州河宣汉县张鼓坪控制单元</w:t>
                  </w:r>
                </w:p>
              </w:tc>
              <w:tc>
                <w:tcPr>
                  <w:tcW w:w="1453" w:type="dxa"/>
                  <w:tcBorders>
                    <w:tl2br w:val="nil"/>
                    <w:tr2bl w:val="nil"/>
                  </w:tcBorders>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达州市</w:t>
                  </w:r>
                </w:p>
              </w:tc>
              <w:tc>
                <w:tcPr>
                  <w:tcW w:w="1165" w:type="dxa"/>
                  <w:tcBorders>
                    <w:tl2br w:val="nil"/>
                    <w:tr2bl w:val="nil"/>
                  </w:tcBorders>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宣汉县</w:t>
                  </w:r>
                </w:p>
              </w:tc>
              <w:tc>
                <w:tcPr>
                  <w:tcW w:w="1650" w:type="dxa"/>
                  <w:tcBorders>
                    <w:tl2br w:val="nil"/>
                    <w:tr2bl w:val="nil"/>
                  </w:tcBorders>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水环境管控分区</w:t>
                  </w:r>
                </w:p>
              </w:tc>
              <w:tc>
                <w:tcPr>
                  <w:tcW w:w="1445" w:type="dxa"/>
                  <w:tcBorders>
                    <w:tl2br w:val="nil"/>
                    <w:tr2bl w:val="nil"/>
                  </w:tcBorders>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水环境一般管控区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41" w:type="dxa"/>
                  <w:tcBorders>
                    <w:tl2br w:val="nil"/>
                    <w:tr2bl w:val="nil"/>
                  </w:tcBorders>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YS5117223310001</w:t>
                  </w:r>
                </w:p>
              </w:tc>
              <w:tc>
                <w:tcPr>
                  <w:tcW w:w="1453" w:type="dxa"/>
                  <w:tcBorders>
                    <w:tl2br w:val="nil"/>
                    <w:tr2bl w:val="nil"/>
                  </w:tcBorders>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宣汉县大气环境一般管控区</w:t>
                  </w:r>
                </w:p>
              </w:tc>
              <w:tc>
                <w:tcPr>
                  <w:tcW w:w="1453" w:type="dxa"/>
                  <w:tcBorders>
                    <w:tl2br w:val="nil"/>
                    <w:tr2bl w:val="nil"/>
                  </w:tcBorders>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达州市</w:t>
                  </w:r>
                </w:p>
              </w:tc>
              <w:tc>
                <w:tcPr>
                  <w:tcW w:w="1165" w:type="dxa"/>
                  <w:tcBorders>
                    <w:tl2br w:val="nil"/>
                    <w:tr2bl w:val="nil"/>
                  </w:tcBorders>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宣汉县</w:t>
                  </w:r>
                </w:p>
              </w:tc>
              <w:tc>
                <w:tcPr>
                  <w:tcW w:w="1650" w:type="dxa"/>
                  <w:tcBorders>
                    <w:tl2br w:val="nil"/>
                    <w:tr2bl w:val="nil"/>
                  </w:tcBorders>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大气环境管控分区</w:t>
                  </w:r>
                </w:p>
              </w:tc>
              <w:tc>
                <w:tcPr>
                  <w:tcW w:w="1445" w:type="dxa"/>
                  <w:tcBorders>
                    <w:tl2br w:val="nil"/>
                    <w:tr2bl w:val="nil"/>
                  </w:tcBorders>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大气环境一般管控区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41" w:type="dxa"/>
                  <w:tcBorders>
                    <w:tl2br w:val="nil"/>
                    <w:tr2bl w:val="nil"/>
                  </w:tcBorders>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YS5117221410003</w:t>
                  </w:r>
                </w:p>
              </w:tc>
              <w:tc>
                <w:tcPr>
                  <w:tcW w:w="1453" w:type="dxa"/>
                  <w:tcBorders>
                    <w:tl2br w:val="nil"/>
                    <w:tr2bl w:val="nil"/>
                  </w:tcBorders>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宣汉县土壤优先保护区</w:t>
                  </w:r>
                </w:p>
              </w:tc>
              <w:tc>
                <w:tcPr>
                  <w:tcW w:w="1453" w:type="dxa"/>
                  <w:tcBorders>
                    <w:tl2br w:val="nil"/>
                    <w:tr2bl w:val="nil"/>
                  </w:tcBorders>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达州市</w:t>
                  </w:r>
                </w:p>
              </w:tc>
              <w:tc>
                <w:tcPr>
                  <w:tcW w:w="1165" w:type="dxa"/>
                  <w:tcBorders>
                    <w:tl2br w:val="nil"/>
                    <w:tr2bl w:val="nil"/>
                  </w:tcBorders>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宣汉县</w:t>
                  </w:r>
                </w:p>
              </w:tc>
              <w:tc>
                <w:tcPr>
                  <w:tcW w:w="1650" w:type="dxa"/>
                  <w:tcBorders>
                    <w:tl2br w:val="nil"/>
                    <w:tr2bl w:val="nil"/>
                  </w:tcBorders>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土壤污染风险管控分区</w:t>
                  </w:r>
                </w:p>
              </w:tc>
              <w:tc>
                <w:tcPr>
                  <w:tcW w:w="1445" w:type="dxa"/>
                  <w:tcBorders>
                    <w:tl2br w:val="nil"/>
                    <w:tr2bl w:val="nil"/>
                  </w:tcBorders>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农用地优先保护区</w:t>
                  </w:r>
                </w:p>
              </w:tc>
            </w:tr>
          </w:tbl>
          <w:p>
            <w:pPr>
              <w:pStyle w:val="16"/>
              <w:keepNext w:val="0"/>
              <w:keepLines w:val="0"/>
              <w:suppressLineNumbers w:val="0"/>
              <w:bidi w:val="0"/>
              <w:spacing w:beforeAutospacing="0" w:after="0" w:afterAutospacing="0" w:line="240" w:lineRule="auto"/>
              <w:ind w:left="0" w:right="0"/>
              <w:rPr>
                <w:rFonts w:hint="default" w:ascii="Times New Roman" w:hAnsi="Times New Roman" w:cs="Times New Roman"/>
                <w:color w:val="auto"/>
                <w:highlight w:val="none"/>
                <w:lang w:val="en-US" w:eastAsia="zh-CN"/>
              </w:rPr>
            </w:pPr>
          </w:p>
          <w:p>
            <w:pPr>
              <w:rPr>
                <w:rFonts w:hint="default"/>
                <w:lang w:val="en-US" w:eastAsia="zh-CN"/>
              </w:rPr>
            </w:pPr>
          </w:p>
          <w:p>
            <w:pPr>
              <w:ind w:left="0" w:leftChars="0" w:firstLine="0" w:firstLineChars="0"/>
              <w:rPr>
                <w:rFonts w:hint="default" w:ascii="Times New Roman" w:hAnsi="Times New Roman" w:cs="Times New Roman"/>
                <w:color w:val="auto"/>
                <w:highlight w:val="none"/>
                <w:lang w:val="en-US" w:eastAsia="zh-CN"/>
              </w:rPr>
            </w:pPr>
          </w:p>
        </w:tc>
      </w:tr>
    </w:tbl>
    <w:p>
      <w:pPr>
        <w:rPr>
          <w:rFonts w:hint="default" w:ascii="宋体" w:hAnsi="宋体" w:eastAsia="宋体"/>
          <w:b/>
          <w:bCs/>
          <w:sz w:val="28"/>
          <w:szCs w:val="28"/>
          <w:lang w:val="en-US" w:eastAsia="zh-CN"/>
        </w:rPr>
        <w:sectPr>
          <w:footerReference r:id="rId9" w:type="default"/>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p>
    <w:tbl>
      <w:tblPr>
        <w:tblStyle w:val="12"/>
        <w:tblW w:w="14612" w:type="dxa"/>
        <w:tblInd w:w="-205" w:type="dxa"/>
        <w:tblBorders>
          <w:top w:val="single" w:color="auto" w:sz="12" w:space="0"/>
          <w:left w:val="single" w:color="auto" w:sz="12" w:space="0"/>
          <w:bottom w:val="single" w:color="auto" w:sz="12" w:space="0"/>
          <w:right w:val="single" w:color="auto" w:sz="12" w:space="0"/>
          <w:insideH w:val="single" w:color="auto" w:sz="12" w:space="0"/>
          <w:insideV w:val="single" w:color="auto" w:sz="4" w:space="0"/>
        </w:tblBorders>
        <w:tblLayout w:type="autofit"/>
        <w:tblCellMar>
          <w:top w:w="0" w:type="dxa"/>
          <w:left w:w="108" w:type="dxa"/>
          <w:bottom w:w="0" w:type="dxa"/>
          <w:right w:w="108" w:type="dxa"/>
        </w:tblCellMar>
      </w:tblPr>
      <w:tblGrid>
        <w:gridCol w:w="337"/>
        <w:gridCol w:w="14275"/>
      </w:tblGrid>
      <w:tr>
        <w:tblPrEx>
          <w:tblBorders>
            <w:top w:val="single" w:color="auto" w:sz="12" w:space="0"/>
            <w:left w:val="single" w:color="auto" w:sz="12" w:space="0"/>
            <w:bottom w:val="single" w:color="auto" w:sz="12" w:space="0"/>
            <w:right w:val="single" w:color="auto" w:sz="12" w:space="0"/>
            <w:insideH w:val="single" w:color="auto" w:sz="12" w:space="0"/>
            <w:insideV w:val="single" w:color="auto" w:sz="4" w:space="0"/>
          </w:tblBorders>
          <w:tblCellMar>
            <w:top w:w="0" w:type="dxa"/>
            <w:left w:w="108" w:type="dxa"/>
            <w:bottom w:w="0" w:type="dxa"/>
            <w:right w:w="108" w:type="dxa"/>
          </w:tblCellMar>
        </w:tblPrEx>
        <w:tc>
          <w:tcPr>
            <w:tcW w:w="337" w:type="dxa"/>
            <w:tcBorders>
              <w:tl2br w:val="nil"/>
              <w:tr2bl w:val="nil"/>
            </w:tcBorders>
          </w:tcPr>
          <w:p>
            <w:pPr>
              <w:ind w:left="0" w:leftChars="0" w:firstLine="0" w:firstLineChars="0"/>
              <w:rPr>
                <w:rFonts w:hint="default"/>
                <w:vertAlign w:val="baseline"/>
                <w:lang w:val="en-US" w:eastAsia="zh-CN"/>
              </w:rPr>
            </w:pPr>
          </w:p>
        </w:tc>
        <w:tc>
          <w:tcPr>
            <w:tcW w:w="14275" w:type="dxa"/>
            <w:tcBorders>
              <w:tl2br w:val="nil"/>
              <w:tr2bl w:val="nil"/>
            </w:tcBorders>
          </w:tcPr>
          <w:p>
            <w:pPr>
              <w:pStyle w:val="16"/>
              <w:bidi w:val="0"/>
              <w:rPr>
                <w:rFonts w:hint="eastAsia"/>
                <w:lang w:val="en-US" w:eastAsia="zh-CN"/>
              </w:rPr>
            </w:pPr>
            <w:r>
              <w:rPr>
                <w:rFonts w:hint="eastAsia"/>
                <w:lang w:val="en-US" w:eastAsia="zh-CN"/>
              </w:rPr>
              <w:t>表1-8  “三线一单”符合性分析一览表</w:t>
            </w:r>
          </w:p>
          <w:tbl>
            <w:tblPr>
              <w:tblStyle w:val="22"/>
              <w:tblW w:w="4997" w:type="pct"/>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842"/>
              <w:gridCol w:w="866"/>
              <w:gridCol w:w="3526"/>
              <w:gridCol w:w="737"/>
              <w:gridCol w:w="3757"/>
              <w:gridCol w:w="2446"/>
              <w:gridCol w:w="87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5" w:type="pct"/>
                  <w:tcBorders>
                    <w:tl2br w:val="nil"/>
                    <w:tr2bl w:val="nil"/>
                  </w:tcBorders>
                  <w:noWrap w:val="0"/>
                  <w:vAlign w:val="center"/>
                </w:tcPr>
                <w:p>
                  <w:pPr>
                    <w:pStyle w:val="15"/>
                    <w:bidi w:val="0"/>
                    <w:jc w:val="center"/>
                    <w:rPr>
                      <w:rFonts w:hint="eastAsia"/>
                      <w:b/>
                      <w:bCs/>
                      <w:lang w:val="en-US" w:eastAsia="zh-CN"/>
                    </w:rPr>
                  </w:pPr>
                  <w:r>
                    <w:rPr>
                      <w:rFonts w:hint="eastAsia"/>
                      <w:b/>
                      <w:bCs/>
                      <w:lang w:val="en-US" w:eastAsia="zh-CN"/>
                    </w:rPr>
                    <w:t>环境管控单元编码</w:t>
                  </w:r>
                </w:p>
              </w:tc>
              <w:tc>
                <w:tcPr>
                  <w:tcW w:w="308" w:type="pct"/>
                  <w:tcBorders>
                    <w:tl2br w:val="nil"/>
                    <w:tr2bl w:val="nil"/>
                  </w:tcBorders>
                  <w:noWrap w:val="0"/>
                  <w:vAlign w:val="center"/>
                </w:tcPr>
                <w:p>
                  <w:pPr>
                    <w:pStyle w:val="15"/>
                    <w:bidi w:val="0"/>
                    <w:jc w:val="center"/>
                    <w:rPr>
                      <w:rFonts w:hint="eastAsia"/>
                      <w:b/>
                      <w:bCs/>
                      <w:lang w:val="en-US" w:eastAsia="zh-CN"/>
                    </w:rPr>
                  </w:pPr>
                  <w:r>
                    <w:rPr>
                      <w:rFonts w:hint="eastAsia"/>
                      <w:b/>
                      <w:bCs/>
                      <w:lang w:val="en-US" w:eastAsia="zh-CN"/>
                    </w:rPr>
                    <w:t>环境管控单元名称</w:t>
                  </w:r>
                </w:p>
              </w:tc>
              <w:tc>
                <w:tcPr>
                  <w:tcW w:w="1254" w:type="pct"/>
                  <w:tcBorders>
                    <w:tl2br w:val="nil"/>
                    <w:tr2bl w:val="nil"/>
                  </w:tcBorders>
                  <w:noWrap w:val="0"/>
                  <w:vAlign w:val="center"/>
                </w:tcPr>
                <w:p>
                  <w:pPr>
                    <w:pStyle w:val="15"/>
                    <w:bidi w:val="0"/>
                    <w:jc w:val="center"/>
                    <w:rPr>
                      <w:rFonts w:hint="eastAsia"/>
                      <w:b/>
                      <w:bCs/>
                      <w:lang w:val="en-US" w:eastAsia="zh-CN"/>
                    </w:rPr>
                  </w:pPr>
                  <w:r>
                    <w:rPr>
                      <w:rFonts w:hint="eastAsia"/>
                      <w:b/>
                      <w:bCs/>
                      <w:lang w:val="en-US" w:eastAsia="zh-CN"/>
                    </w:rPr>
                    <w:t>达州市普适性清单</w:t>
                  </w:r>
                </w:p>
              </w:tc>
              <w:tc>
                <w:tcPr>
                  <w:tcW w:w="262" w:type="pct"/>
                  <w:tcBorders>
                    <w:tl2br w:val="nil"/>
                    <w:tr2bl w:val="nil"/>
                  </w:tcBorders>
                  <w:noWrap w:val="0"/>
                  <w:vAlign w:val="center"/>
                </w:tcPr>
                <w:p>
                  <w:pPr>
                    <w:pStyle w:val="15"/>
                    <w:bidi w:val="0"/>
                    <w:jc w:val="center"/>
                    <w:rPr>
                      <w:rFonts w:hint="eastAsia"/>
                      <w:b/>
                      <w:bCs/>
                      <w:lang w:val="en-US" w:eastAsia="zh-CN"/>
                    </w:rPr>
                  </w:pPr>
                  <w:r>
                    <w:rPr>
                      <w:rFonts w:hint="eastAsia"/>
                      <w:b/>
                      <w:bCs/>
                      <w:lang w:val="en-US" w:eastAsia="zh-CN"/>
                    </w:rPr>
                    <w:t>管控类别</w:t>
                  </w:r>
                </w:p>
              </w:tc>
              <w:tc>
                <w:tcPr>
                  <w:tcW w:w="1336" w:type="pct"/>
                  <w:tcBorders>
                    <w:tl2br w:val="nil"/>
                    <w:tr2bl w:val="nil"/>
                  </w:tcBorders>
                  <w:noWrap w:val="0"/>
                  <w:vAlign w:val="center"/>
                </w:tcPr>
                <w:p>
                  <w:pPr>
                    <w:pStyle w:val="15"/>
                    <w:bidi w:val="0"/>
                    <w:jc w:val="center"/>
                    <w:rPr>
                      <w:rFonts w:hint="eastAsia"/>
                      <w:b/>
                      <w:bCs/>
                      <w:lang w:val="en-US" w:eastAsia="zh-CN"/>
                    </w:rPr>
                  </w:pPr>
                  <w:r>
                    <w:rPr>
                      <w:rFonts w:hint="eastAsia"/>
                      <w:b/>
                      <w:bCs/>
                      <w:lang w:val="en-US" w:eastAsia="zh-CN"/>
                    </w:rPr>
                    <w:t>单元特性管控要求</w:t>
                  </w:r>
                </w:p>
              </w:tc>
              <w:tc>
                <w:tcPr>
                  <w:tcW w:w="870" w:type="pct"/>
                  <w:tcBorders>
                    <w:tl2br w:val="nil"/>
                    <w:tr2bl w:val="nil"/>
                  </w:tcBorders>
                  <w:noWrap w:val="0"/>
                  <w:vAlign w:val="center"/>
                </w:tcPr>
                <w:p>
                  <w:pPr>
                    <w:pStyle w:val="15"/>
                    <w:bidi w:val="0"/>
                    <w:ind w:firstLine="0" w:firstLineChars="0"/>
                    <w:jc w:val="center"/>
                    <w:rPr>
                      <w:rFonts w:hint="eastAsia" w:ascii="Times New Roman" w:hAnsi="Times New Roman" w:eastAsia="宋体" w:cstheme="minorBidi"/>
                      <w:b/>
                      <w:bCs/>
                      <w:kern w:val="2"/>
                      <w:sz w:val="21"/>
                      <w:szCs w:val="21"/>
                      <w:lang w:val="en-US" w:eastAsia="zh-CN" w:bidi="ar-SA"/>
                    </w:rPr>
                  </w:pPr>
                  <w:r>
                    <w:rPr>
                      <w:rFonts w:hint="eastAsia"/>
                      <w:b/>
                      <w:bCs/>
                      <w:lang w:val="en-US" w:eastAsia="zh-CN"/>
                    </w:rPr>
                    <w:t>本项目情况</w:t>
                  </w:r>
                </w:p>
              </w:tc>
              <w:tc>
                <w:tcPr>
                  <w:tcW w:w="312" w:type="pct"/>
                  <w:tcBorders>
                    <w:tl2br w:val="nil"/>
                    <w:tr2bl w:val="nil"/>
                  </w:tcBorders>
                  <w:noWrap w:val="0"/>
                  <w:vAlign w:val="center"/>
                </w:tcPr>
                <w:p>
                  <w:pPr>
                    <w:pStyle w:val="15"/>
                    <w:bidi w:val="0"/>
                    <w:ind w:firstLine="0" w:firstLineChars="0"/>
                    <w:jc w:val="center"/>
                    <w:rPr>
                      <w:rFonts w:hint="eastAsia" w:ascii="Times New Roman" w:hAnsi="Times New Roman" w:eastAsia="宋体" w:cstheme="minorBidi"/>
                      <w:b/>
                      <w:bCs/>
                      <w:kern w:val="2"/>
                      <w:sz w:val="21"/>
                      <w:szCs w:val="21"/>
                      <w:lang w:val="en-US" w:eastAsia="zh-CN" w:bidi="ar-SA"/>
                    </w:rPr>
                  </w:pPr>
                  <w:r>
                    <w:rPr>
                      <w:rFonts w:hint="eastAsia"/>
                      <w:b/>
                      <w:bCs/>
                      <w:lang w:val="en-US" w:eastAsia="zh-CN"/>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5" w:type="pct"/>
                  <w:vMerge w:val="restart"/>
                  <w:tcBorders>
                    <w:tl2br w:val="nil"/>
                    <w:tr2bl w:val="nil"/>
                  </w:tcBorders>
                  <w:noWrap w:val="0"/>
                  <w:vAlign w:val="center"/>
                </w:tcPr>
                <w:p>
                  <w:pPr>
                    <w:pStyle w:val="15"/>
                    <w:bidi w:val="0"/>
                    <w:jc w:val="center"/>
                    <w:rPr>
                      <w:lang w:val="en-US" w:eastAsia="zh-CN"/>
                    </w:rPr>
                  </w:pPr>
                  <w:r>
                    <w:rPr>
                      <w:rFonts w:hint="eastAsia"/>
                      <w:lang w:val="en-US" w:eastAsia="zh-CN"/>
                    </w:rPr>
                    <w:t>ZH51172230001</w:t>
                  </w:r>
                </w:p>
              </w:tc>
              <w:tc>
                <w:tcPr>
                  <w:tcW w:w="308" w:type="pct"/>
                  <w:vMerge w:val="restart"/>
                  <w:tcBorders>
                    <w:tl2br w:val="nil"/>
                    <w:tr2bl w:val="nil"/>
                  </w:tcBorders>
                  <w:noWrap w:val="0"/>
                  <w:vAlign w:val="center"/>
                </w:tcPr>
                <w:p>
                  <w:pPr>
                    <w:pStyle w:val="15"/>
                    <w:bidi w:val="0"/>
                    <w:jc w:val="center"/>
                    <w:rPr>
                      <w:lang w:val="en-US" w:eastAsia="zh-CN"/>
                    </w:rPr>
                  </w:pPr>
                  <w:r>
                    <w:rPr>
                      <w:rFonts w:hint="eastAsia"/>
                      <w:lang w:val="en-US" w:eastAsia="zh-CN"/>
                    </w:rPr>
                    <w:t>宣汉县一般管控单元</w:t>
                  </w:r>
                </w:p>
              </w:tc>
              <w:tc>
                <w:tcPr>
                  <w:tcW w:w="1254" w:type="pct"/>
                  <w:vMerge w:val="restart"/>
                  <w:tcBorders>
                    <w:tl2br w:val="nil"/>
                    <w:tr2bl w:val="nil"/>
                  </w:tcBorders>
                  <w:noWrap w:val="0"/>
                  <w:vAlign w:val="center"/>
                </w:tcPr>
                <w:p>
                  <w:pPr>
                    <w:pStyle w:val="15"/>
                    <w:bidi w:val="0"/>
                    <w:jc w:val="center"/>
                    <w:rPr>
                      <w:lang w:val="en-US" w:eastAsia="zh-CN"/>
                    </w:rPr>
                  </w:pPr>
                  <w:r>
                    <w:rPr>
                      <w:rFonts w:hint="eastAsia"/>
                      <w:lang w:val="en-US" w:eastAsia="zh-CN"/>
                    </w:rPr>
                    <w:t>空间布局约束：</w:t>
                  </w:r>
                </w:p>
                <w:p>
                  <w:pPr>
                    <w:pStyle w:val="15"/>
                    <w:bidi w:val="0"/>
                    <w:jc w:val="center"/>
                    <w:rPr>
                      <w:rFonts w:hint="eastAsia"/>
                      <w:lang w:val="en-US" w:eastAsia="zh-CN"/>
                    </w:rPr>
                  </w:pPr>
                  <w:r>
                    <w:rPr>
                      <w:rFonts w:hint="eastAsia"/>
                      <w:lang w:val="en-US" w:eastAsia="zh-CN"/>
                    </w:rPr>
                    <w:t>禁止开发建设活动的要求</w:t>
                  </w:r>
                </w:p>
                <w:p>
                  <w:pPr>
                    <w:pStyle w:val="15"/>
                    <w:bidi w:val="0"/>
                    <w:jc w:val="center"/>
                    <w:rPr>
                      <w:rFonts w:hint="eastAsia"/>
                      <w:lang w:val="en-US" w:eastAsia="zh-CN"/>
                    </w:rPr>
                  </w:pPr>
                  <w:r>
                    <w:rPr>
                      <w:rFonts w:hint="eastAsia"/>
                      <w:lang w:val="en-US" w:eastAsia="zh-CN"/>
                    </w:rPr>
                    <w:t>-禁止在长江干支流1公里范围内新建、扩建化工园区和化工项目。</w:t>
                  </w:r>
                </w:p>
                <w:p>
                  <w:pPr>
                    <w:pStyle w:val="15"/>
                    <w:bidi w:val="0"/>
                    <w:jc w:val="center"/>
                    <w:rPr>
                      <w:rFonts w:hint="eastAsia"/>
                      <w:lang w:val="en-US" w:eastAsia="zh-CN"/>
                    </w:rPr>
                  </w:pPr>
                  <w:r>
                    <w:rPr>
                      <w:rFonts w:hint="eastAsia"/>
                      <w:lang w:val="en-US" w:eastAsia="zh-CN"/>
                    </w:rPr>
                    <w:t>-禁止在法律法规规定的禁采区内新建矿山；禁止土法采、选、冶严重污染环境的矿产资源。</w:t>
                  </w:r>
                </w:p>
                <w:p>
                  <w:pPr>
                    <w:pStyle w:val="15"/>
                    <w:bidi w:val="0"/>
                    <w:jc w:val="center"/>
                    <w:rPr>
                      <w:rFonts w:hint="eastAsia"/>
                      <w:lang w:val="en-US" w:eastAsia="zh-CN"/>
                    </w:rPr>
                  </w:pPr>
                  <w:r>
                    <w:rPr>
                      <w:rFonts w:hint="eastAsia"/>
                      <w:lang w:val="en-US" w:eastAsia="zh-CN"/>
                    </w:rPr>
                    <w:t>-涉及永久基本农田的区域，除法律规定的重点建设项目选址确实无法避让外，其他任何建设不得占用。</w:t>
                  </w:r>
                </w:p>
                <w:p>
                  <w:pPr>
                    <w:pStyle w:val="15"/>
                    <w:bidi w:val="0"/>
                    <w:jc w:val="center"/>
                    <w:rPr>
                      <w:rFonts w:hint="eastAsia"/>
                      <w:lang w:val="en-US" w:eastAsia="zh-CN"/>
                    </w:rPr>
                  </w:pPr>
                  <w:r>
                    <w:rPr>
                      <w:rFonts w:hint="eastAsia"/>
                      <w:lang w:val="en-US" w:eastAsia="zh-CN"/>
                    </w:rPr>
                    <w:t>-禁止在长江流域河湖管理范围内倾倒、填埋、堆放、弃置、处理固体废物。</w:t>
                  </w:r>
                </w:p>
                <w:p>
                  <w:pPr>
                    <w:pStyle w:val="15"/>
                    <w:bidi w:val="0"/>
                    <w:jc w:val="center"/>
                    <w:rPr>
                      <w:rFonts w:hint="eastAsia"/>
                      <w:lang w:val="en-US" w:eastAsia="zh-CN"/>
                    </w:rPr>
                  </w:pPr>
                </w:p>
                <w:p>
                  <w:pPr>
                    <w:pStyle w:val="15"/>
                    <w:bidi w:val="0"/>
                    <w:jc w:val="center"/>
                    <w:rPr>
                      <w:rFonts w:hint="eastAsia"/>
                      <w:lang w:val="en-US" w:eastAsia="zh-CN"/>
                    </w:rPr>
                  </w:pPr>
                  <w:r>
                    <w:rPr>
                      <w:rFonts w:hint="eastAsia"/>
                      <w:lang w:val="en-US" w:eastAsia="zh-CN"/>
                    </w:rPr>
                    <w:t>限制开发建设活动的要求</w:t>
                  </w:r>
                </w:p>
                <w:p>
                  <w:pPr>
                    <w:pStyle w:val="15"/>
                    <w:bidi w:val="0"/>
                    <w:jc w:val="center"/>
                    <w:rPr>
                      <w:rFonts w:hint="eastAsia"/>
                      <w:lang w:val="en-US" w:eastAsia="zh-CN"/>
                    </w:rPr>
                  </w:pPr>
                  <w:r>
                    <w:rPr>
                      <w:rFonts w:hint="eastAsia"/>
                      <w:lang w:val="en-US" w:eastAsia="zh-CN"/>
                    </w:rPr>
                    <w:t>-按照相关要求严控水泥新增产能。</w:t>
                  </w:r>
                </w:p>
                <w:p>
                  <w:pPr>
                    <w:pStyle w:val="15"/>
                    <w:bidi w:val="0"/>
                    <w:jc w:val="center"/>
                    <w:rPr>
                      <w:rFonts w:hint="eastAsia"/>
                      <w:lang w:val="en-US" w:eastAsia="zh-CN"/>
                    </w:rPr>
                  </w:pPr>
                  <w:r>
                    <w:rPr>
                      <w:rFonts w:hint="eastAsia"/>
                      <w:lang w:val="en-US" w:eastAsia="zh-CN"/>
                    </w:rPr>
                    <w:t>涉及法定保护地，严格按照国家及地方法律法规、管理办法等相关要求进行控制。配套旅游、基础设施等建设项目，在符合规划和相关保护要求的前提下，应实施生态避让、减缓影响及生态恢复措施。</w:t>
                  </w:r>
                </w:p>
                <w:p>
                  <w:pPr>
                    <w:pStyle w:val="15"/>
                    <w:bidi w:val="0"/>
                    <w:jc w:val="center"/>
                    <w:rPr>
                      <w:rFonts w:hint="eastAsia"/>
                      <w:lang w:val="en-US" w:eastAsia="zh-CN"/>
                    </w:rPr>
                  </w:pPr>
                  <w:r>
                    <w:rPr>
                      <w:rFonts w:hint="eastAsia"/>
                      <w:lang w:val="en-US" w:eastAsia="zh-CN"/>
                    </w:rPr>
                    <w:t>按照相关要求严控水泥新增产能。</w:t>
                  </w:r>
                </w:p>
                <w:p>
                  <w:pPr>
                    <w:pStyle w:val="15"/>
                    <w:bidi w:val="0"/>
                    <w:jc w:val="center"/>
                    <w:rPr>
                      <w:rFonts w:hint="eastAsia"/>
                      <w:lang w:val="en-US" w:eastAsia="zh-CN"/>
                    </w:rPr>
                  </w:pPr>
                  <w:r>
                    <w:rPr>
                      <w:rFonts w:hint="eastAsia"/>
                      <w:lang w:val="en-US" w:eastAsia="zh-CN"/>
                    </w:rPr>
                    <w:t>禁止在长江干流岸线三公里范围内和重要支流岸线一公里范围内新建、改建、扩建尾矿库；但是以提升安全、生态环境保护水平为目的的改建除外。</w:t>
                  </w:r>
                </w:p>
                <w:p>
                  <w:pPr>
                    <w:pStyle w:val="15"/>
                    <w:bidi w:val="0"/>
                    <w:jc w:val="center"/>
                    <w:rPr>
                      <w:rFonts w:hint="eastAsia"/>
                      <w:lang w:val="en-US" w:eastAsia="zh-CN"/>
                    </w:rPr>
                  </w:pPr>
                </w:p>
                <w:p>
                  <w:pPr>
                    <w:pStyle w:val="15"/>
                    <w:bidi w:val="0"/>
                    <w:jc w:val="center"/>
                    <w:rPr>
                      <w:rFonts w:hint="eastAsia"/>
                      <w:lang w:val="en-US" w:eastAsia="zh-CN"/>
                    </w:rPr>
                  </w:pPr>
                </w:p>
                <w:p>
                  <w:pPr>
                    <w:pStyle w:val="15"/>
                    <w:bidi w:val="0"/>
                    <w:jc w:val="center"/>
                    <w:rPr>
                      <w:rFonts w:hint="eastAsia"/>
                      <w:lang w:val="en-US" w:eastAsia="zh-CN"/>
                    </w:rPr>
                  </w:pPr>
                  <w:r>
                    <w:rPr>
                      <w:rFonts w:hint="eastAsia"/>
                      <w:lang w:val="en-US" w:eastAsia="zh-CN"/>
                    </w:rPr>
                    <w:t>不符合空间布局要求活动的退出要求</w:t>
                  </w:r>
                </w:p>
                <w:p>
                  <w:pPr>
                    <w:pStyle w:val="15"/>
                    <w:bidi w:val="0"/>
                    <w:jc w:val="center"/>
                    <w:rPr>
                      <w:rFonts w:hint="eastAsia"/>
                      <w:lang w:val="en-US" w:eastAsia="zh-CN"/>
                    </w:rPr>
                  </w:pPr>
                  <w:r>
                    <w:rPr>
                      <w:rFonts w:hint="eastAsia"/>
                      <w:lang w:val="en-US" w:eastAsia="zh-CN"/>
                    </w:rPr>
                    <w:t>针对现有水泥企业，强化污染治理和污染物减排，依法依规整治或搬迁。</w:t>
                  </w:r>
                </w:p>
                <w:p>
                  <w:pPr>
                    <w:pStyle w:val="15"/>
                    <w:bidi w:val="0"/>
                    <w:jc w:val="center"/>
                    <w:rPr>
                      <w:rFonts w:hint="eastAsia"/>
                      <w:lang w:val="en-US" w:eastAsia="zh-CN"/>
                    </w:rPr>
                  </w:pPr>
                  <w:r>
                    <w:rPr>
                      <w:rFonts w:hint="eastAsia"/>
                      <w:lang w:val="en-US" w:eastAsia="zh-CN"/>
                    </w:rPr>
                    <w:t>全面取缔禁养区内规模化畜禽养殖场。</w:t>
                  </w:r>
                </w:p>
                <w:p>
                  <w:pPr>
                    <w:pStyle w:val="15"/>
                    <w:bidi w:val="0"/>
                    <w:jc w:val="center"/>
                    <w:rPr>
                      <w:rFonts w:hint="eastAsia"/>
                      <w:lang w:val="en-US" w:eastAsia="zh-CN"/>
                    </w:rPr>
                  </w:pPr>
                  <w:r>
                    <w:rPr>
                      <w:rFonts w:hint="eastAsia"/>
                      <w:lang w:val="en-US" w:eastAsia="zh-CN"/>
                    </w:rPr>
                    <w:t>2025年基本完成全域内“散乱污”企业整治工作。</w:t>
                  </w:r>
                </w:p>
                <w:p>
                  <w:pPr>
                    <w:pStyle w:val="15"/>
                    <w:bidi w:val="0"/>
                    <w:jc w:val="center"/>
                    <w:rPr>
                      <w:rFonts w:hint="eastAsia"/>
                      <w:lang w:val="en-US" w:eastAsia="zh-CN"/>
                    </w:rPr>
                  </w:pPr>
                  <w:r>
                    <w:rPr>
                      <w:rFonts w:hint="eastAsia"/>
                      <w:lang w:val="en-US" w:eastAsia="zh-CN"/>
                    </w:rPr>
                    <w:t>在全市范围深入开展集中整治“散乱污”工业企业，对不符合产业政策和规划布局的，一律责令停产、限期搬迁或关停；</w:t>
                  </w:r>
                </w:p>
                <w:p>
                  <w:pPr>
                    <w:pStyle w:val="15"/>
                    <w:bidi w:val="0"/>
                    <w:jc w:val="center"/>
                    <w:rPr>
                      <w:rFonts w:hint="eastAsia"/>
                      <w:lang w:val="en-US" w:eastAsia="zh-CN"/>
                    </w:rPr>
                  </w:pPr>
                  <w:r>
                    <w:rPr>
                      <w:rFonts w:hint="eastAsia"/>
                      <w:lang w:val="en-US" w:eastAsia="zh-CN"/>
                    </w:rPr>
                    <w:t>其他空间布局约束要求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污染物排放管控：</w:t>
                  </w:r>
                </w:p>
                <w:p>
                  <w:pPr>
                    <w:pStyle w:val="15"/>
                    <w:bidi w:val="0"/>
                    <w:jc w:val="center"/>
                    <w:rPr>
                      <w:rFonts w:hint="eastAsia"/>
                      <w:lang w:val="en-US" w:eastAsia="zh-CN"/>
                    </w:rPr>
                  </w:pPr>
                  <w:r>
                    <w:rPr>
                      <w:rFonts w:hint="eastAsia"/>
                      <w:lang w:val="en-US" w:eastAsia="zh-CN"/>
                    </w:rPr>
                    <w:t>允许排放量要求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现有源提标升级改造</w:t>
                  </w:r>
                </w:p>
                <w:p>
                  <w:pPr>
                    <w:pStyle w:val="15"/>
                    <w:bidi w:val="0"/>
                    <w:jc w:val="center"/>
                    <w:rPr>
                      <w:rFonts w:hint="eastAsia"/>
                      <w:lang w:val="en-US" w:eastAsia="zh-CN"/>
                    </w:rPr>
                  </w:pPr>
                  <w:r>
                    <w:rPr>
                      <w:rFonts w:hint="eastAsia"/>
                      <w:lang w:val="en-US" w:eastAsia="zh-CN"/>
                    </w:rPr>
                    <w:t>加快现有乡镇污水处理设施升级改造，按要求达《城镇污水处理厂污染物排放标准》一级A标后排放。</w:t>
                  </w:r>
                </w:p>
                <w:p>
                  <w:pPr>
                    <w:pStyle w:val="15"/>
                    <w:bidi w:val="0"/>
                    <w:jc w:val="center"/>
                    <w:rPr>
                      <w:rFonts w:hint="eastAsia"/>
                      <w:lang w:val="en-US" w:eastAsia="zh-CN"/>
                    </w:rPr>
                  </w:pPr>
                  <w:r>
                    <w:rPr>
                      <w:rFonts w:hint="eastAsia"/>
                      <w:lang w:val="en-US" w:eastAsia="zh-CN"/>
                    </w:rPr>
                    <w:t>在矿产资源开发活动集中区域，废水执行重金属污染物排放特别限值。</w:t>
                  </w:r>
                </w:p>
                <w:p>
                  <w:pPr>
                    <w:pStyle w:val="15"/>
                    <w:bidi w:val="0"/>
                    <w:jc w:val="center"/>
                    <w:rPr>
                      <w:rFonts w:hint="eastAsia"/>
                      <w:lang w:val="en-US" w:eastAsia="zh-CN"/>
                    </w:rPr>
                  </w:pPr>
                  <w:r>
                    <w:rPr>
                      <w:rFonts w:hint="eastAsia"/>
                      <w:lang w:val="en-US" w:eastAsia="zh-CN"/>
                    </w:rPr>
                    <w:t>火电、水泥等行业按相关要求推进大气污染物超低排放和深度治理。</w:t>
                  </w:r>
                </w:p>
                <w:p>
                  <w:pPr>
                    <w:pStyle w:val="15"/>
                    <w:bidi w:val="0"/>
                    <w:jc w:val="center"/>
                    <w:rPr>
                      <w:rFonts w:hint="eastAsia"/>
                      <w:lang w:val="en-US" w:eastAsia="zh-CN"/>
                    </w:rPr>
                  </w:pPr>
                  <w:r>
                    <w:rPr>
                      <w:rFonts w:hint="eastAsia"/>
                      <w:lang w:val="en-US" w:eastAsia="zh-CN"/>
                    </w:rPr>
                    <w:t>砖瓦行业实施脱硫、除尘升级改造，污染物排放达到《砖瓦工业大气污染物排放标准》相关要求。</w:t>
                  </w:r>
                </w:p>
                <w:p>
                  <w:pPr>
                    <w:pStyle w:val="15"/>
                    <w:bidi w:val="0"/>
                    <w:jc w:val="center"/>
                    <w:rPr>
                      <w:rFonts w:hint="eastAsia"/>
                      <w:lang w:val="en-US" w:eastAsia="zh-CN"/>
                    </w:rPr>
                  </w:pPr>
                </w:p>
                <w:p>
                  <w:pPr>
                    <w:pStyle w:val="15"/>
                    <w:bidi w:val="0"/>
                    <w:jc w:val="center"/>
                    <w:rPr>
                      <w:rFonts w:hint="eastAsia"/>
                      <w:lang w:val="en-US" w:eastAsia="zh-CN"/>
                    </w:rPr>
                  </w:pPr>
                  <w:r>
                    <w:rPr>
                      <w:rFonts w:hint="eastAsia"/>
                      <w:lang w:val="en-US" w:eastAsia="zh-CN"/>
                    </w:rPr>
                    <w:t>其他污染物排放管控要求</w:t>
                  </w:r>
                </w:p>
                <w:p>
                  <w:pPr>
                    <w:pStyle w:val="15"/>
                    <w:bidi w:val="0"/>
                    <w:jc w:val="center"/>
                    <w:rPr>
                      <w:rFonts w:hint="eastAsia"/>
                      <w:lang w:val="en-US" w:eastAsia="zh-CN"/>
                    </w:rPr>
                  </w:pPr>
                  <w:r>
                    <w:rPr>
                      <w:rFonts w:hint="eastAsia"/>
                      <w:lang w:val="en-US" w:eastAsia="zh-CN"/>
                    </w:rPr>
                    <w:t>新增源等量或倍量替代:上一年度水环境质量未完成目标的，新建排放水污染的建设项目按照总量管控要求进行倍量削减替代。上一年度空气质量年平均浓度不达标的城市，建设项目新增相关污染物按照总量管控要求进行倍量削减替代。大气环境重点管控区内，新增大气污染物排放的建设项目实施总量削减替代。污染物排放绩效水平准入要求:屠宰项目必须配套污水处理设施或进入城市污水管网。</w:t>
                  </w:r>
                </w:p>
                <w:p>
                  <w:pPr>
                    <w:pStyle w:val="15"/>
                    <w:bidi w:val="0"/>
                    <w:jc w:val="center"/>
                    <w:rPr>
                      <w:rFonts w:hint="eastAsia"/>
                      <w:lang w:val="en-US" w:eastAsia="zh-CN"/>
                    </w:rPr>
                  </w:pPr>
                  <w:r>
                    <w:rPr>
                      <w:rFonts w:hint="eastAsia"/>
                      <w:lang w:val="en-US" w:eastAsia="zh-CN"/>
                    </w:rPr>
                    <w:t>大气环境重点管控区内加强“高架源”污染治理，深化施工扬尘监管，严格落实“六必须、六不准”管控要求，强化道路施工管控，提高道路清扫机械化和精细化作业水平。-至2022年底，基本实现乡镇污水处理设施全覆盖，配套建设污水收集管网，乡镇污水处理率达到65%。</w:t>
                  </w:r>
                </w:p>
                <w:p>
                  <w:pPr>
                    <w:pStyle w:val="15"/>
                    <w:bidi w:val="0"/>
                    <w:jc w:val="center"/>
                    <w:rPr>
                      <w:rFonts w:hint="eastAsia"/>
                      <w:lang w:val="en-US" w:eastAsia="zh-CN"/>
                    </w:rPr>
                  </w:pPr>
                  <w:r>
                    <w:rPr>
                      <w:rFonts w:hint="eastAsia"/>
                      <w:lang w:val="en-US" w:eastAsia="zh-CN"/>
                    </w:rPr>
                    <w:t>-到2023年底，力争全市生活垃圾焚烧处理能力占比达60%以上，各县（市）生活垃圾无害化处理率保持95%以上，乡镇及行政村生活垃圾收转运处置体系基本实现全覆盖。</w:t>
                  </w:r>
                </w:p>
                <w:p>
                  <w:pPr>
                    <w:pStyle w:val="15"/>
                    <w:bidi w:val="0"/>
                    <w:jc w:val="center"/>
                    <w:rPr>
                      <w:rFonts w:hint="eastAsia"/>
                      <w:lang w:val="en-US" w:eastAsia="zh-CN"/>
                    </w:rPr>
                  </w:pPr>
                  <w:r>
                    <w:rPr>
                      <w:rFonts w:hint="eastAsia"/>
                      <w:lang w:val="en-US" w:eastAsia="zh-CN"/>
                    </w:rPr>
                    <w:t>-到2025年，农药包装废弃物回收率达80%；粮油绿色高质高效示范区、茶叶主产区和现代农业园区农药包装废弃物回收率100%。</w:t>
                  </w:r>
                </w:p>
                <w:p>
                  <w:pPr>
                    <w:pStyle w:val="15"/>
                    <w:bidi w:val="0"/>
                    <w:jc w:val="center"/>
                    <w:rPr>
                      <w:rFonts w:hint="eastAsia"/>
                      <w:lang w:val="en-US" w:eastAsia="zh-CN"/>
                    </w:rPr>
                  </w:pPr>
                  <w:r>
                    <w:rPr>
                      <w:rFonts w:hint="eastAsia"/>
                      <w:lang w:val="en-US" w:eastAsia="zh-CN"/>
                    </w:rPr>
                    <w:t>-到2025年，全国主要农作物化肥、农药利用率达43%，测土配方施肥技术推广覆盖率保持在90%以上，控制农村面源污染，采取灌排分离等措施控制农田氮磷流失。</w:t>
                  </w:r>
                </w:p>
                <w:p>
                  <w:pPr>
                    <w:pStyle w:val="15"/>
                    <w:bidi w:val="0"/>
                    <w:jc w:val="center"/>
                    <w:rPr>
                      <w:rFonts w:hint="eastAsia"/>
                      <w:lang w:val="en-US" w:eastAsia="zh-CN"/>
                    </w:rPr>
                  </w:pPr>
                  <w:r>
                    <w:rPr>
                      <w:rFonts w:hint="eastAsia"/>
                      <w:lang w:val="en-US" w:eastAsia="zh-CN"/>
                    </w:rPr>
                    <w:t>-到2025年，新、改扩建规模化畜禽养殖场（小区）要实施雨污分流、粪便污水资源化利用；规模化畜禽养殖场（小区）粪污处理设施装备配套率达到95%以上，粪污综合利用率达到80%以上，大型规模养殖场粪污处理设施装备配套率达到100%，畜禽粪污基本实现资源化利用；散养密集区要实行畜禽粪便污水分户收集、集中处理利用。</w:t>
                  </w:r>
                </w:p>
                <w:p>
                  <w:pPr>
                    <w:pStyle w:val="15"/>
                    <w:bidi w:val="0"/>
                    <w:jc w:val="center"/>
                    <w:rPr>
                      <w:rFonts w:hint="eastAsia"/>
                      <w:lang w:val="en-US" w:eastAsia="zh-CN"/>
                    </w:rPr>
                  </w:pPr>
                  <w:r>
                    <w:rPr>
                      <w:rFonts w:hint="eastAsia"/>
                      <w:lang w:val="en-US" w:eastAsia="zh-CN"/>
                    </w:rPr>
                    <w:t>-到2025年，废旧农膜回收利用率达到85%以上。</w:t>
                  </w:r>
                </w:p>
                <w:p>
                  <w:pPr>
                    <w:pStyle w:val="15"/>
                    <w:bidi w:val="0"/>
                    <w:jc w:val="center"/>
                    <w:rPr>
                      <w:rFonts w:hint="eastAsia"/>
                      <w:lang w:val="en-US" w:eastAsia="zh-CN"/>
                    </w:rPr>
                  </w:pPr>
                </w:p>
                <w:p>
                  <w:pPr>
                    <w:pStyle w:val="15"/>
                    <w:bidi w:val="0"/>
                    <w:jc w:val="center"/>
                    <w:rPr>
                      <w:rFonts w:hint="eastAsia"/>
                      <w:lang w:val="en-US" w:eastAsia="zh-CN"/>
                    </w:rPr>
                  </w:pPr>
                  <w:r>
                    <w:rPr>
                      <w:rFonts w:hint="eastAsia"/>
                      <w:lang w:val="en-US" w:eastAsia="zh-CN"/>
                    </w:rPr>
                    <w:t>环境风险防控：</w:t>
                  </w:r>
                </w:p>
                <w:p>
                  <w:pPr>
                    <w:pStyle w:val="15"/>
                    <w:bidi w:val="0"/>
                    <w:jc w:val="center"/>
                    <w:rPr>
                      <w:rFonts w:hint="eastAsia"/>
                      <w:lang w:val="en-US" w:eastAsia="zh-CN"/>
                    </w:rPr>
                  </w:pPr>
                  <w:r>
                    <w:rPr>
                      <w:rFonts w:hint="eastAsia"/>
                      <w:lang w:val="en-US" w:eastAsia="zh-CN"/>
                    </w:rPr>
                    <w:t>联防联控要求</w:t>
                  </w:r>
                </w:p>
                <w:p>
                  <w:pPr>
                    <w:pStyle w:val="15"/>
                    <w:bidi w:val="0"/>
                    <w:jc w:val="center"/>
                    <w:rPr>
                      <w:rFonts w:hint="eastAsia"/>
                      <w:lang w:val="en-US" w:eastAsia="zh-CN"/>
                    </w:rPr>
                  </w:pPr>
                  <w:r>
                    <w:rPr>
                      <w:rFonts w:hint="eastAsia"/>
                      <w:lang w:val="en-US" w:eastAsia="zh-CN"/>
                    </w:rPr>
                    <w:t>强化区域联防联控，严格落实《关于建立跨省流域上下游突发水污染事件联防联控机制的指导意见》；定期召开区域大气环境形式分析会，强化信息共享和联动合作，实行环境规划，标准，环评，执法，信息公开“六统一”，协力推进大气污染源头防控，加强川东北区域大气污染防止合作</w:t>
                  </w:r>
                </w:p>
                <w:p>
                  <w:pPr>
                    <w:pStyle w:val="15"/>
                    <w:bidi w:val="0"/>
                    <w:jc w:val="center"/>
                    <w:rPr>
                      <w:rFonts w:hint="eastAsia"/>
                      <w:lang w:val="en-US" w:eastAsia="zh-CN"/>
                    </w:rPr>
                  </w:pPr>
                  <w:r>
                    <w:rPr>
                      <w:rFonts w:hint="eastAsia"/>
                      <w:lang w:val="en-US" w:eastAsia="zh-CN"/>
                    </w:rPr>
                    <w:t>其他环境风险防控要求</w:t>
                  </w:r>
                </w:p>
                <w:p>
                  <w:pPr>
                    <w:pStyle w:val="15"/>
                    <w:bidi w:val="0"/>
                    <w:jc w:val="center"/>
                    <w:rPr>
                      <w:rFonts w:hint="eastAsia"/>
                      <w:lang w:val="en-US" w:eastAsia="zh-CN"/>
                    </w:rPr>
                  </w:pPr>
                  <w:r>
                    <w:rPr>
                      <w:rFonts w:hint="eastAsia"/>
                      <w:lang w:val="en-US" w:eastAsia="zh-CN"/>
                    </w:rPr>
                    <w:t>企业环境风险防控要求:工业企业退出用地，须经评估、修复满足相应用地功能后，方可改变用途。</w:t>
                  </w:r>
                </w:p>
                <w:p>
                  <w:pPr>
                    <w:pStyle w:val="15"/>
                    <w:bidi w:val="0"/>
                    <w:jc w:val="center"/>
                    <w:rPr>
                      <w:rFonts w:hint="eastAsia"/>
                      <w:lang w:val="en-US" w:eastAsia="zh-CN"/>
                    </w:rPr>
                  </w:pPr>
                  <w:r>
                    <w:rPr>
                      <w:rFonts w:hint="eastAsia"/>
                      <w:lang w:val="en-US" w:eastAsia="zh-CN"/>
                    </w:rPr>
                    <w:t>加强“散乱污”企业环境风险防控。对拟收回土地使用权的有色金属矿采选、有色金属冶炼、石油加工、化工、焦化、电镀、制革、天然（页岩）气开采、铅蓄电池、汽车制造、农药、危废处置、电子拆解等行业企业用地，以及用途拟变更为居住和商业、学校、医疗、养老机构等公共设施的上述企业用地，以及由重度污染农用地转为的城镇建设用地，开展土壤环境状况调查评估。用地环境风险防控要求:严禁将城镇生活垃圾、污泥、工业废物直接用作肥料，禁止处理不达标的污泥进入耕地；禁止在农用地排放、倾倒、使用污泥、清淤底泥、尾矿（渣）等可能对土壤造成污染的固体废物。</w:t>
                  </w:r>
                </w:p>
                <w:p>
                  <w:pPr>
                    <w:pStyle w:val="15"/>
                    <w:bidi w:val="0"/>
                    <w:jc w:val="center"/>
                    <w:rPr>
                      <w:rFonts w:hint="eastAsia"/>
                      <w:lang w:val="en-US" w:eastAsia="zh-CN"/>
                    </w:rPr>
                  </w:pPr>
                  <w:r>
                    <w:rPr>
                      <w:rFonts w:hint="eastAsia"/>
                      <w:lang w:val="en-US" w:eastAsia="zh-CN"/>
                    </w:rPr>
                    <w:t>定期对单元内尾矿库进行风险巡查，建立监测系统和环境风险应急预案；完善各尾矿库渗滤液收集、处理、回用系统，杜绝事故排放；尾矿库闭矿后因地制宜进行植被恢复和综合利用。</w:t>
                  </w:r>
                </w:p>
                <w:p>
                  <w:pPr>
                    <w:pStyle w:val="15"/>
                    <w:bidi w:val="0"/>
                    <w:jc w:val="center"/>
                    <w:rPr>
                      <w:rFonts w:hint="eastAsia"/>
                      <w:lang w:val="en-US" w:eastAsia="zh-CN"/>
                    </w:rPr>
                  </w:pPr>
                  <w:r>
                    <w:rPr>
                      <w:rFonts w:hint="eastAsia"/>
                      <w:lang w:val="en-US" w:eastAsia="zh-CN"/>
                    </w:rPr>
                    <w:t>规范排土场、渣场等整治。禁止处理不达标的污泥进入耕地。</w:t>
                  </w:r>
                </w:p>
                <w:p>
                  <w:pPr>
                    <w:pStyle w:val="15"/>
                    <w:bidi w:val="0"/>
                    <w:jc w:val="center"/>
                    <w:rPr>
                      <w:rFonts w:hint="eastAsia"/>
                      <w:lang w:val="en-US" w:eastAsia="zh-CN"/>
                    </w:rPr>
                  </w:pPr>
                  <w:r>
                    <w:rPr>
                      <w:rFonts w:hint="eastAsia"/>
                      <w:lang w:val="en-US" w:eastAsia="zh-CN"/>
                    </w:rPr>
                    <w:t>严格控制林地、草地、园地的农药使用量，禁止使用高毒、高残留农药。</w:t>
                  </w:r>
                </w:p>
                <w:p>
                  <w:pPr>
                    <w:pStyle w:val="15"/>
                    <w:bidi w:val="0"/>
                    <w:jc w:val="center"/>
                    <w:rPr>
                      <w:rFonts w:hint="eastAsia"/>
                      <w:lang w:val="en-US" w:eastAsia="zh-CN"/>
                    </w:rPr>
                  </w:pPr>
                  <w:r>
                    <w:rPr>
                      <w:rFonts w:hint="eastAsia"/>
                      <w:lang w:val="en-US" w:eastAsia="zh-CN"/>
                    </w:rPr>
                    <w:t>到2030年，全市受污染耕地安全利用率达到95%以上，污染地块安全利用率达到95%以上。</w:t>
                  </w:r>
                </w:p>
                <w:p>
                  <w:pPr>
                    <w:pStyle w:val="15"/>
                    <w:bidi w:val="0"/>
                    <w:jc w:val="center"/>
                    <w:rPr>
                      <w:rFonts w:hint="eastAsia"/>
                      <w:lang w:val="en-US" w:eastAsia="zh-CN"/>
                    </w:rPr>
                  </w:pPr>
                </w:p>
                <w:p>
                  <w:pPr>
                    <w:pStyle w:val="15"/>
                    <w:bidi w:val="0"/>
                    <w:jc w:val="center"/>
                    <w:rPr>
                      <w:rFonts w:hint="eastAsia"/>
                      <w:lang w:val="en-US" w:eastAsia="zh-CN"/>
                    </w:rPr>
                  </w:pPr>
                  <w:r>
                    <w:rPr>
                      <w:rFonts w:hint="eastAsia"/>
                      <w:lang w:val="en-US" w:eastAsia="zh-CN"/>
                    </w:rPr>
                    <w:t>资源开发利用效率要求：</w:t>
                  </w:r>
                </w:p>
                <w:p>
                  <w:pPr>
                    <w:pStyle w:val="15"/>
                    <w:bidi w:val="0"/>
                    <w:jc w:val="center"/>
                    <w:rPr>
                      <w:rFonts w:hint="eastAsia"/>
                      <w:lang w:val="en-US" w:eastAsia="zh-CN"/>
                    </w:rPr>
                  </w:pPr>
                  <w:r>
                    <w:rPr>
                      <w:rFonts w:hint="eastAsia"/>
                      <w:lang w:val="en-US" w:eastAsia="zh-CN"/>
                    </w:rPr>
                    <w:t>水资源利用总量要求</w:t>
                  </w:r>
                </w:p>
                <w:p>
                  <w:pPr>
                    <w:pStyle w:val="15"/>
                    <w:bidi w:val="0"/>
                    <w:jc w:val="center"/>
                    <w:rPr>
                      <w:rFonts w:hint="eastAsia"/>
                      <w:lang w:val="en-US" w:eastAsia="zh-CN"/>
                    </w:rPr>
                  </w:pPr>
                  <w:r>
                    <w:rPr>
                      <w:rFonts w:hint="eastAsia"/>
                      <w:lang w:val="en-US" w:eastAsia="zh-CN"/>
                    </w:rPr>
                    <w:t>-到2025年，农田灌溉水有效利用系数达到0.57以上。</w:t>
                  </w:r>
                </w:p>
                <w:p>
                  <w:pPr>
                    <w:pStyle w:val="15"/>
                    <w:bidi w:val="0"/>
                    <w:jc w:val="center"/>
                    <w:rPr>
                      <w:rFonts w:hint="eastAsia"/>
                      <w:lang w:val="en-US" w:eastAsia="zh-CN"/>
                    </w:rPr>
                  </w:pPr>
                  <w:r>
                    <w:rPr>
                      <w:rFonts w:hint="eastAsia"/>
                      <w:lang w:val="en-US" w:eastAsia="zh-CN"/>
                    </w:rPr>
                    <w:t>地下水开采要求</w:t>
                  </w:r>
                </w:p>
                <w:p>
                  <w:pPr>
                    <w:pStyle w:val="15"/>
                    <w:bidi w:val="0"/>
                    <w:jc w:val="center"/>
                    <w:rPr>
                      <w:rFonts w:hint="eastAsia"/>
                      <w:lang w:val="en-US" w:eastAsia="zh-CN"/>
                    </w:rPr>
                  </w:pPr>
                  <w:r>
                    <w:rPr>
                      <w:rFonts w:hint="eastAsia"/>
                      <w:lang w:val="en-US" w:eastAsia="zh-CN"/>
                    </w:rPr>
                    <w:t>以省市下发指标为准</w:t>
                  </w:r>
                </w:p>
                <w:p>
                  <w:pPr>
                    <w:pStyle w:val="15"/>
                    <w:bidi w:val="0"/>
                    <w:jc w:val="center"/>
                    <w:rPr>
                      <w:rFonts w:hint="eastAsia"/>
                      <w:lang w:val="en-US" w:eastAsia="zh-CN"/>
                    </w:rPr>
                  </w:pPr>
                  <w:r>
                    <w:rPr>
                      <w:rFonts w:hint="eastAsia"/>
                      <w:lang w:val="en-US" w:eastAsia="zh-CN"/>
                    </w:rPr>
                    <w:t>能源利用总量及效率要求</w:t>
                  </w:r>
                </w:p>
                <w:p>
                  <w:pPr>
                    <w:pStyle w:val="15"/>
                    <w:bidi w:val="0"/>
                    <w:jc w:val="center"/>
                    <w:rPr>
                      <w:rFonts w:hint="eastAsia"/>
                      <w:lang w:val="en-US" w:eastAsia="zh-CN"/>
                    </w:rPr>
                  </w:pPr>
                  <w:r>
                    <w:rPr>
                      <w:rFonts w:hint="eastAsia"/>
                      <w:lang w:val="en-US" w:eastAsia="zh-CN"/>
                    </w:rPr>
                    <w:t>推进清洁能源的推广使用，全面推进散煤清洁化整治；禁止新建每小时10蒸吨以下的燃煤锅炉及其他燃煤设施。</w:t>
                  </w:r>
                </w:p>
                <w:p>
                  <w:pPr>
                    <w:pStyle w:val="15"/>
                    <w:bidi w:val="0"/>
                    <w:jc w:val="center"/>
                    <w:rPr>
                      <w:rFonts w:hint="eastAsia"/>
                      <w:lang w:val="en-US" w:eastAsia="zh-CN"/>
                    </w:rPr>
                  </w:pPr>
                  <w:r>
                    <w:rPr>
                      <w:rFonts w:hint="eastAsia"/>
                      <w:lang w:val="en-US" w:eastAsia="zh-CN"/>
                    </w:rPr>
                    <w:t>禁止焚烧秸秆和垃圾，到2025年底，秸秆综合利用率达到86%以上。</w:t>
                  </w:r>
                </w:p>
                <w:p>
                  <w:pPr>
                    <w:pStyle w:val="15"/>
                    <w:bidi w:val="0"/>
                    <w:jc w:val="center"/>
                    <w:rPr>
                      <w:rFonts w:hint="eastAsia"/>
                      <w:lang w:val="en-US" w:eastAsia="zh-CN"/>
                    </w:rPr>
                  </w:pPr>
                </w:p>
                <w:p>
                  <w:pPr>
                    <w:pStyle w:val="15"/>
                    <w:bidi w:val="0"/>
                    <w:jc w:val="center"/>
                    <w:rPr>
                      <w:rFonts w:hint="eastAsia"/>
                      <w:lang w:val="en-US" w:eastAsia="zh-CN"/>
                    </w:rPr>
                  </w:pPr>
                  <w:r>
                    <w:rPr>
                      <w:rFonts w:hint="eastAsia"/>
                      <w:lang w:val="en-US" w:eastAsia="zh-CN"/>
                    </w:rPr>
                    <w:t>禁燃区要求</w:t>
                  </w:r>
                </w:p>
                <w:p>
                  <w:pPr>
                    <w:pStyle w:val="15"/>
                    <w:bidi w:val="0"/>
                    <w:jc w:val="center"/>
                    <w:rPr>
                      <w:rFonts w:hint="eastAsia"/>
                      <w:lang w:val="en-US" w:eastAsia="zh-CN"/>
                    </w:rPr>
                  </w:pPr>
                  <w:r>
                    <w:rPr>
                      <w:rFonts w:hint="eastAsia"/>
                      <w:lang w:val="en-US" w:eastAsia="zh-CN"/>
                    </w:rPr>
                    <w:t>-高污染燃料禁燃区内禁止燃用的燃料为《高污染燃料目录》（2017）中III类（严格）燃料组合，包括：（一）煤炭及其制品；（二）石油焦、油页岩、原油、重油、渣油、煤焦油；（三）非专用锅炉或未配置高效除尘设施的专用锅炉燃用的生物质成型燃料。</w:t>
                  </w:r>
                </w:p>
                <w:p>
                  <w:pPr>
                    <w:pStyle w:val="15"/>
                    <w:bidi w:val="0"/>
                    <w:jc w:val="center"/>
                    <w:rPr>
                      <w:rFonts w:hint="eastAsia"/>
                      <w:lang w:val="en-US" w:eastAsia="zh-CN"/>
                    </w:rPr>
                  </w:pPr>
                  <w:r>
                    <w:rPr>
                      <w:rFonts w:hint="eastAsia"/>
                      <w:lang w:val="en-US" w:eastAsia="zh-CN"/>
                    </w:rPr>
                    <w:t>-禁燃区内禁止销售、燃用高污染燃料；禁止新建、改建、扩建燃用高污染燃料的设施和设备。</w:t>
                  </w:r>
                </w:p>
                <w:p>
                  <w:pPr>
                    <w:pStyle w:val="15"/>
                    <w:bidi w:val="0"/>
                    <w:jc w:val="center"/>
                    <w:rPr>
                      <w:rFonts w:hint="eastAsia"/>
                      <w:lang w:val="en-US" w:eastAsia="zh-CN"/>
                    </w:rPr>
                  </w:pPr>
                  <w:r>
                    <w:rPr>
                      <w:rFonts w:hint="eastAsia"/>
                      <w:lang w:val="en-US" w:eastAsia="zh-CN"/>
                    </w:rPr>
                    <w:t>-禁燃区内已建成的高污染燃料燃用设施由辖区人民政府制定限期改造计划，改用天然气、页岩气、液化石油气、电或其他清洁能源。</w:t>
                  </w:r>
                </w:p>
                <w:p>
                  <w:pPr>
                    <w:pStyle w:val="15"/>
                    <w:bidi w:val="0"/>
                    <w:jc w:val="center"/>
                    <w:rPr>
                      <w:rFonts w:hint="eastAsia"/>
                      <w:lang w:val="en-US" w:eastAsia="zh-CN"/>
                    </w:rPr>
                  </w:pPr>
                </w:p>
                <w:p>
                  <w:pPr>
                    <w:pStyle w:val="15"/>
                    <w:bidi w:val="0"/>
                    <w:jc w:val="center"/>
                    <w:rPr>
                      <w:rFonts w:hint="eastAsia"/>
                      <w:lang w:val="en-US" w:eastAsia="zh-CN"/>
                    </w:rPr>
                  </w:pPr>
                  <w:r>
                    <w:rPr>
                      <w:rFonts w:hint="eastAsia"/>
                      <w:lang w:val="en-US" w:eastAsia="zh-CN"/>
                    </w:rPr>
                    <w:t>其他资源利用效率要求</w:t>
                  </w:r>
                </w:p>
                <w:p>
                  <w:pPr>
                    <w:pStyle w:val="15"/>
                    <w:bidi w:val="0"/>
                    <w:jc w:val="center"/>
                    <w:rPr>
                      <w:rFonts w:hint="eastAsia"/>
                      <w:lang w:val="en-US" w:eastAsia="zh-CN"/>
                    </w:rPr>
                  </w:pPr>
                  <w:r>
                    <w:rPr>
                      <w:rFonts w:hint="eastAsia"/>
                      <w:lang w:val="en-US" w:eastAsia="zh-CN"/>
                    </w:rPr>
                    <w:t>暂无</w:t>
                  </w:r>
                </w:p>
              </w:tc>
              <w:tc>
                <w:tcPr>
                  <w:tcW w:w="262" w:type="pct"/>
                  <w:tcBorders>
                    <w:tl2br w:val="nil"/>
                    <w:tr2bl w:val="nil"/>
                  </w:tcBorders>
                  <w:noWrap w:val="0"/>
                  <w:vAlign w:val="center"/>
                </w:tcPr>
                <w:p>
                  <w:pPr>
                    <w:pStyle w:val="15"/>
                    <w:bidi w:val="0"/>
                    <w:jc w:val="center"/>
                    <w:rPr>
                      <w:lang w:val="en-US" w:eastAsia="zh-CN"/>
                    </w:rPr>
                  </w:pPr>
                  <w:r>
                    <w:rPr>
                      <w:rFonts w:hint="eastAsia"/>
                      <w:lang w:val="en-US" w:eastAsia="zh-CN"/>
                    </w:rPr>
                    <w:t>空间布局约束</w:t>
                  </w:r>
                </w:p>
              </w:tc>
              <w:tc>
                <w:tcPr>
                  <w:tcW w:w="1336" w:type="pct"/>
                  <w:tcBorders>
                    <w:tl2br w:val="nil"/>
                    <w:tr2bl w:val="nil"/>
                  </w:tcBorders>
                  <w:noWrap w:val="0"/>
                  <w:vAlign w:val="center"/>
                </w:tcPr>
                <w:p>
                  <w:pPr>
                    <w:pStyle w:val="15"/>
                    <w:bidi w:val="0"/>
                    <w:jc w:val="center"/>
                    <w:rPr>
                      <w:lang w:val="en-US" w:eastAsia="zh-CN"/>
                    </w:rPr>
                  </w:pPr>
                  <w:r>
                    <w:rPr>
                      <w:rFonts w:hint="eastAsia"/>
                      <w:lang w:val="en-US" w:eastAsia="zh-CN"/>
                    </w:rPr>
                    <w:t>禁止开发建设活动的要求</w:t>
                  </w:r>
                </w:p>
                <w:p>
                  <w:pPr>
                    <w:pStyle w:val="15"/>
                    <w:bidi w:val="0"/>
                    <w:jc w:val="center"/>
                    <w:rPr>
                      <w:rFonts w:hint="eastAsia"/>
                      <w:lang w:val="en-US" w:eastAsia="zh-CN"/>
                    </w:rPr>
                  </w:pPr>
                  <w:r>
                    <w:rPr>
                      <w:rFonts w:hint="eastAsia"/>
                      <w:lang w:val="en-US" w:eastAsia="zh-CN"/>
                    </w:rPr>
                    <w:t>同达州市一般管控单元总体准入要求</w:t>
                  </w:r>
                </w:p>
                <w:p>
                  <w:pPr>
                    <w:pStyle w:val="15"/>
                    <w:bidi w:val="0"/>
                    <w:jc w:val="center"/>
                    <w:rPr>
                      <w:rFonts w:hint="eastAsia"/>
                      <w:lang w:val="en-US" w:eastAsia="zh-CN"/>
                    </w:rPr>
                  </w:pPr>
                  <w:r>
                    <w:rPr>
                      <w:rFonts w:hint="eastAsia"/>
                      <w:lang w:val="en-US" w:eastAsia="zh-CN"/>
                    </w:rPr>
                    <w:t>限制开发建设活动的要求</w:t>
                  </w:r>
                </w:p>
                <w:p>
                  <w:pPr>
                    <w:pStyle w:val="15"/>
                    <w:bidi w:val="0"/>
                    <w:jc w:val="center"/>
                    <w:rPr>
                      <w:rFonts w:hint="eastAsia"/>
                      <w:lang w:val="en-US" w:eastAsia="zh-CN"/>
                    </w:rPr>
                  </w:pPr>
                  <w:r>
                    <w:rPr>
                      <w:rFonts w:hint="eastAsia"/>
                      <w:lang w:val="en-US" w:eastAsia="zh-CN"/>
                    </w:rPr>
                    <w:t>对四川省主体功能区划中的农产品主产区，应限制进行大规模高强度工业化城镇化开发，严格控制有色金属冶炼、石油加工、化工、焦化、电镀、制革等产能，原则上不增加产能其他同达州市一般管控单元总体准入要求</w:t>
                  </w:r>
                </w:p>
                <w:p>
                  <w:pPr>
                    <w:pStyle w:val="15"/>
                    <w:bidi w:val="0"/>
                    <w:jc w:val="center"/>
                    <w:rPr>
                      <w:rFonts w:hint="eastAsia"/>
                      <w:lang w:val="en-US" w:eastAsia="zh-CN"/>
                    </w:rPr>
                  </w:pPr>
                  <w:r>
                    <w:rPr>
                      <w:rFonts w:hint="eastAsia"/>
                      <w:lang w:val="en-US" w:eastAsia="zh-CN"/>
                    </w:rPr>
                    <w:t>允许开发建设活动的要求</w:t>
                  </w:r>
                </w:p>
                <w:p>
                  <w:pPr>
                    <w:pStyle w:val="15"/>
                    <w:bidi w:val="0"/>
                    <w:jc w:val="center"/>
                    <w:rPr>
                      <w:rFonts w:hint="eastAsia"/>
                      <w:lang w:val="en-US" w:eastAsia="zh-CN"/>
                    </w:rPr>
                  </w:pPr>
                  <w:r>
                    <w:rPr>
                      <w:rFonts w:hint="eastAsia"/>
                      <w:lang w:val="en-US" w:eastAsia="zh-CN"/>
                    </w:rPr>
                    <w:t>不符合空间布局要求活动的退出要求</w:t>
                  </w:r>
                </w:p>
                <w:p>
                  <w:pPr>
                    <w:pStyle w:val="15"/>
                    <w:bidi w:val="0"/>
                    <w:jc w:val="center"/>
                    <w:rPr>
                      <w:rFonts w:hint="eastAsia"/>
                      <w:lang w:val="en-US" w:eastAsia="zh-CN"/>
                    </w:rPr>
                  </w:pPr>
                  <w:r>
                    <w:rPr>
                      <w:rFonts w:hint="eastAsia"/>
                      <w:lang w:val="en-US" w:eastAsia="zh-CN"/>
                    </w:rPr>
                    <w:t>区外企业：位于城镇空间外的工业园区外工业企业：具有合法手续的企业，且污染物排放及环境风险满足管理要求的企业，可继续保留，要求污染物排放只降不增，并进一步加强日常环保监管；严控新（扩）建水泥厂、危废焚烧、陶瓷厂等以大气污染为主的企业；不具备合法手续，或污染物排放超标、环境风险不可控的企业，限期进行整改提升，通过环保、安全、工艺装备升级等落实整改措施并达到相关标准实现合法生产，整改后仍不能达到要求的，属地政府应按相关要求责令关停并退出-其他同达州市一般管控单元总体准入要求</w:t>
                  </w:r>
                </w:p>
                <w:p>
                  <w:pPr>
                    <w:pStyle w:val="15"/>
                    <w:bidi w:val="0"/>
                    <w:jc w:val="center"/>
                    <w:rPr>
                      <w:rFonts w:hint="eastAsia"/>
                      <w:lang w:val="en-US" w:eastAsia="zh-CN"/>
                    </w:rPr>
                  </w:pPr>
                  <w:r>
                    <w:rPr>
                      <w:rFonts w:hint="eastAsia"/>
                      <w:lang w:val="en-US" w:eastAsia="zh-CN"/>
                    </w:rPr>
                    <w:t>其他空间布局约束要求</w:t>
                  </w:r>
                </w:p>
              </w:tc>
              <w:tc>
                <w:tcPr>
                  <w:tcW w:w="870" w:type="pct"/>
                  <w:tcBorders>
                    <w:tl2br w:val="nil"/>
                    <w:tr2bl w:val="nil"/>
                  </w:tcBorders>
                  <w:noWrap w:val="0"/>
                  <w:vAlign w:val="center"/>
                </w:tcPr>
                <w:p>
                  <w:pPr>
                    <w:pStyle w:val="15"/>
                    <w:bidi w:val="0"/>
                    <w:jc w:val="center"/>
                    <w:rPr>
                      <w:rFonts w:hint="default"/>
                      <w:lang w:val="en-US" w:eastAsia="zh-CN"/>
                    </w:rPr>
                  </w:pPr>
                  <w:r>
                    <w:rPr>
                      <w:rFonts w:hint="eastAsia"/>
                      <w:color w:val="auto"/>
                      <w:lang w:val="en-US" w:eastAsia="zh-CN"/>
                    </w:rPr>
                    <w:t>本项目属于防洪治理工程，不属于生产性项目，也不属于大气污染类项目。</w:t>
                  </w:r>
                </w:p>
              </w:tc>
              <w:tc>
                <w:tcPr>
                  <w:tcW w:w="312" w:type="pct"/>
                  <w:tcBorders>
                    <w:tl2br w:val="nil"/>
                    <w:tr2bl w:val="nil"/>
                  </w:tcBorders>
                  <w:noWrap w:val="0"/>
                  <w:vAlign w:val="center"/>
                </w:tcPr>
                <w:p>
                  <w:pPr>
                    <w:pStyle w:val="15"/>
                    <w:bidi w:val="0"/>
                    <w:jc w:val="center"/>
                    <w:rPr>
                      <w:rFonts w:hint="default"/>
                      <w:lang w:val="en-US" w:eastAsia="zh-CN"/>
                    </w:rPr>
                  </w:pPr>
                  <w:r>
                    <w:rPr>
                      <w:rFonts w:hint="eastAsia"/>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5" w:type="pct"/>
                  <w:vMerge w:val="continue"/>
                  <w:tcBorders>
                    <w:tl2br w:val="nil"/>
                    <w:tr2bl w:val="nil"/>
                  </w:tcBorders>
                  <w:noWrap w:val="0"/>
                  <w:vAlign w:val="center"/>
                </w:tcPr>
                <w:p>
                  <w:pPr>
                    <w:pStyle w:val="15"/>
                    <w:bidi w:val="0"/>
                    <w:jc w:val="center"/>
                    <w:rPr>
                      <w:lang w:val="en-US" w:eastAsia="zh-CN"/>
                    </w:rPr>
                  </w:pPr>
                  <w:r>
                    <w:rPr>
                      <w:rFonts w:hint="eastAsia"/>
                      <w:lang w:val="en-US" w:eastAsia="zh-CN"/>
                    </w:rPr>
                    <w:t>ZH51172230001</w:t>
                  </w:r>
                </w:p>
              </w:tc>
              <w:tc>
                <w:tcPr>
                  <w:tcW w:w="308" w:type="pct"/>
                  <w:vMerge w:val="continue"/>
                  <w:tcBorders>
                    <w:tl2br w:val="nil"/>
                    <w:tr2bl w:val="nil"/>
                  </w:tcBorders>
                  <w:noWrap w:val="0"/>
                  <w:vAlign w:val="center"/>
                </w:tcPr>
                <w:p>
                  <w:pPr>
                    <w:pStyle w:val="15"/>
                    <w:bidi w:val="0"/>
                    <w:jc w:val="center"/>
                    <w:rPr>
                      <w:lang w:val="en-US" w:eastAsia="zh-CN"/>
                    </w:rPr>
                  </w:pPr>
                  <w:r>
                    <w:rPr>
                      <w:rFonts w:hint="eastAsia"/>
                      <w:lang w:val="en-US" w:eastAsia="zh-CN"/>
                    </w:rPr>
                    <w:t>宣汉县一般管控单元</w:t>
                  </w:r>
                </w:p>
              </w:tc>
              <w:tc>
                <w:tcPr>
                  <w:tcW w:w="1254" w:type="pct"/>
                  <w:vMerge w:val="continue"/>
                  <w:tcBorders>
                    <w:tl2br w:val="nil"/>
                    <w:tr2bl w:val="nil"/>
                  </w:tcBorders>
                  <w:noWrap w:val="0"/>
                  <w:vAlign w:val="center"/>
                </w:tcPr>
                <w:p>
                  <w:pPr>
                    <w:pStyle w:val="15"/>
                    <w:bidi w:val="0"/>
                    <w:jc w:val="center"/>
                    <w:rPr>
                      <w:lang w:val="en-US" w:eastAsia="zh-CN"/>
                    </w:rPr>
                  </w:pPr>
                  <w:r>
                    <w:rPr>
                      <w:rFonts w:hint="eastAsia"/>
                      <w:lang w:val="en-US" w:eastAsia="zh-CN"/>
                    </w:rPr>
                    <w:t>空间布局约束：</w:t>
                  </w:r>
                </w:p>
                <w:p>
                  <w:pPr>
                    <w:pStyle w:val="15"/>
                    <w:bidi w:val="0"/>
                    <w:jc w:val="center"/>
                    <w:rPr>
                      <w:rFonts w:hint="eastAsia"/>
                      <w:lang w:val="en-US" w:eastAsia="zh-CN"/>
                    </w:rPr>
                  </w:pPr>
                  <w:r>
                    <w:rPr>
                      <w:rFonts w:hint="eastAsia"/>
                      <w:lang w:val="en-US" w:eastAsia="zh-CN"/>
                    </w:rPr>
                    <w:t>禁止开发建设活动的要求</w:t>
                  </w:r>
                </w:p>
                <w:p>
                  <w:pPr>
                    <w:pStyle w:val="15"/>
                    <w:bidi w:val="0"/>
                    <w:jc w:val="center"/>
                    <w:rPr>
                      <w:rFonts w:hint="eastAsia"/>
                      <w:lang w:val="en-US" w:eastAsia="zh-CN"/>
                    </w:rPr>
                  </w:pPr>
                  <w:r>
                    <w:rPr>
                      <w:rFonts w:hint="eastAsia"/>
                      <w:lang w:val="en-US" w:eastAsia="zh-CN"/>
                    </w:rPr>
                    <w:t>-禁止在长江干支流1公里范围内新建、扩建化工园区和化工项目。</w:t>
                  </w:r>
                </w:p>
                <w:p>
                  <w:pPr>
                    <w:pStyle w:val="15"/>
                    <w:bidi w:val="0"/>
                    <w:jc w:val="center"/>
                    <w:rPr>
                      <w:rFonts w:hint="eastAsia"/>
                      <w:lang w:val="en-US" w:eastAsia="zh-CN"/>
                    </w:rPr>
                  </w:pPr>
                  <w:r>
                    <w:rPr>
                      <w:rFonts w:hint="eastAsia"/>
                      <w:lang w:val="en-US" w:eastAsia="zh-CN"/>
                    </w:rPr>
                    <w:t>-禁止在法律法规规定的禁采区内新建矿山；禁止土法采、选、冶严重污染环境的矿产资源。</w:t>
                  </w:r>
                </w:p>
                <w:p>
                  <w:pPr>
                    <w:pStyle w:val="15"/>
                    <w:bidi w:val="0"/>
                    <w:jc w:val="center"/>
                    <w:rPr>
                      <w:rFonts w:hint="eastAsia"/>
                      <w:lang w:val="en-US" w:eastAsia="zh-CN"/>
                    </w:rPr>
                  </w:pPr>
                  <w:r>
                    <w:rPr>
                      <w:rFonts w:hint="eastAsia"/>
                      <w:lang w:val="en-US" w:eastAsia="zh-CN"/>
                    </w:rPr>
                    <w:t>-涉及永久基本农田的区域，除法律规定的重点建设项目选址确实无法避让外，其他任何建设不得占用。</w:t>
                  </w:r>
                </w:p>
                <w:p>
                  <w:pPr>
                    <w:pStyle w:val="15"/>
                    <w:bidi w:val="0"/>
                    <w:jc w:val="center"/>
                    <w:rPr>
                      <w:rFonts w:hint="eastAsia"/>
                      <w:lang w:val="en-US" w:eastAsia="zh-CN"/>
                    </w:rPr>
                  </w:pPr>
                  <w:r>
                    <w:rPr>
                      <w:rFonts w:hint="eastAsia"/>
                      <w:lang w:val="en-US" w:eastAsia="zh-CN"/>
                    </w:rPr>
                    <w:t>-禁止在长江流域河湖管理范围内倾倒、填埋、堆放、弃置、处理固体废物。</w:t>
                  </w:r>
                </w:p>
                <w:p>
                  <w:pPr>
                    <w:pStyle w:val="15"/>
                    <w:bidi w:val="0"/>
                    <w:jc w:val="center"/>
                    <w:rPr>
                      <w:rFonts w:hint="eastAsia"/>
                      <w:lang w:val="en-US" w:eastAsia="zh-CN"/>
                    </w:rPr>
                  </w:pPr>
                </w:p>
                <w:p>
                  <w:pPr>
                    <w:pStyle w:val="15"/>
                    <w:bidi w:val="0"/>
                    <w:jc w:val="center"/>
                    <w:rPr>
                      <w:rFonts w:hint="eastAsia"/>
                      <w:lang w:val="en-US" w:eastAsia="zh-CN"/>
                    </w:rPr>
                  </w:pPr>
                  <w:r>
                    <w:rPr>
                      <w:rFonts w:hint="eastAsia"/>
                      <w:lang w:val="en-US" w:eastAsia="zh-CN"/>
                    </w:rPr>
                    <w:t>限制开发建设活动的要求</w:t>
                  </w:r>
                </w:p>
                <w:p>
                  <w:pPr>
                    <w:pStyle w:val="15"/>
                    <w:bidi w:val="0"/>
                    <w:jc w:val="center"/>
                    <w:rPr>
                      <w:rFonts w:hint="eastAsia"/>
                      <w:lang w:val="en-US" w:eastAsia="zh-CN"/>
                    </w:rPr>
                  </w:pPr>
                  <w:r>
                    <w:rPr>
                      <w:rFonts w:hint="eastAsia"/>
                      <w:lang w:val="en-US" w:eastAsia="zh-CN"/>
                    </w:rPr>
                    <w:t>-按照相关要求严控水泥新增产能。</w:t>
                  </w:r>
                </w:p>
                <w:p>
                  <w:pPr>
                    <w:pStyle w:val="15"/>
                    <w:bidi w:val="0"/>
                    <w:jc w:val="center"/>
                    <w:rPr>
                      <w:rFonts w:hint="eastAsia"/>
                      <w:lang w:val="en-US" w:eastAsia="zh-CN"/>
                    </w:rPr>
                  </w:pPr>
                  <w:r>
                    <w:rPr>
                      <w:rFonts w:hint="eastAsia"/>
                      <w:lang w:val="en-US" w:eastAsia="zh-CN"/>
                    </w:rPr>
                    <w:t>涉及法定保护地，严格按照国家及地方法律法规、管理办法等相关要求进行控制。配套旅游、基础设施等建设项目，在符合规划和相关保护要求的前提下，应实施生态避让、减缓影响及生态恢复措施。</w:t>
                  </w:r>
                </w:p>
                <w:p>
                  <w:pPr>
                    <w:pStyle w:val="15"/>
                    <w:bidi w:val="0"/>
                    <w:jc w:val="center"/>
                    <w:rPr>
                      <w:rFonts w:hint="eastAsia"/>
                      <w:lang w:val="en-US" w:eastAsia="zh-CN"/>
                    </w:rPr>
                  </w:pPr>
                  <w:r>
                    <w:rPr>
                      <w:rFonts w:hint="eastAsia"/>
                      <w:lang w:val="en-US" w:eastAsia="zh-CN"/>
                    </w:rPr>
                    <w:t>按照相关要求严控水泥新增产能。</w:t>
                  </w:r>
                </w:p>
                <w:p>
                  <w:pPr>
                    <w:pStyle w:val="15"/>
                    <w:bidi w:val="0"/>
                    <w:jc w:val="center"/>
                    <w:rPr>
                      <w:rFonts w:hint="eastAsia"/>
                      <w:lang w:val="en-US" w:eastAsia="zh-CN"/>
                    </w:rPr>
                  </w:pPr>
                  <w:r>
                    <w:rPr>
                      <w:rFonts w:hint="eastAsia"/>
                      <w:lang w:val="en-US" w:eastAsia="zh-CN"/>
                    </w:rPr>
                    <w:t>禁止在长江干流岸线三公里范围内和重要支流岸线一公里范围内新建、改建、扩建尾矿库；但是以提升安全、生态环境保护水平为目的的改建除外。</w:t>
                  </w:r>
                </w:p>
                <w:p>
                  <w:pPr>
                    <w:pStyle w:val="15"/>
                    <w:bidi w:val="0"/>
                    <w:jc w:val="center"/>
                    <w:rPr>
                      <w:rFonts w:hint="eastAsia"/>
                      <w:lang w:val="en-US" w:eastAsia="zh-CN"/>
                    </w:rPr>
                  </w:pPr>
                </w:p>
                <w:p>
                  <w:pPr>
                    <w:pStyle w:val="15"/>
                    <w:bidi w:val="0"/>
                    <w:jc w:val="center"/>
                    <w:rPr>
                      <w:rFonts w:hint="eastAsia"/>
                      <w:lang w:val="en-US" w:eastAsia="zh-CN"/>
                    </w:rPr>
                  </w:pPr>
                </w:p>
                <w:p>
                  <w:pPr>
                    <w:pStyle w:val="15"/>
                    <w:bidi w:val="0"/>
                    <w:jc w:val="center"/>
                    <w:rPr>
                      <w:rFonts w:hint="eastAsia"/>
                      <w:lang w:val="en-US" w:eastAsia="zh-CN"/>
                    </w:rPr>
                  </w:pPr>
                  <w:r>
                    <w:rPr>
                      <w:rFonts w:hint="eastAsia"/>
                      <w:lang w:val="en-US" w:eastAsia="zh-CN"/>
                    </w:rPr>
                    <w:t>不符合空间布局要求活动的退出要求</w:t>
                  </w:r>
                </w:p>
                <w:p>
                  <w:pPr>
                    <w:pStyle w:val="15"/>
                    <w:bidi w:val="0"/>
                    <w:jc w:val="center"/>
                    <w:rPr>
                      <w:rFonts w:hint="eastAsia"/>
                      <w:lang w:val="en-US" w:eastAsia="zh-CN"/>
                    </w:rPr>
                  </w:pPr>
                  <w:r>
                    <w:rPr>
                      <w:rFonts w:hint="eastAsia"/>
                      <w:lang w:val="en-US" w:eastAsia="zh-CN"/>
                    </w:rPr>
                    <w:t>针对现有水泥企业，强化污染治理和污染物减排，依法依规整治或搬迁。</w:t>
                  </w:r>
                </w:p>
                <w:p>
                  <w:pPr>
                    <w:pStyle w:val="15"/>
                    <w:bidi w:val="0"/>
                    <w:jc w:val="center"/>
                    <w:rPr>
                      <w:rFonts w:hint="eastAsia"/>
                      <w:lang w:val="en-US" w:eastAsia="zh-CN"/>
                    </w:rPr>
                  </w:pPr>
                  <w:r>
                    <w:rPr>
                      <w:rFonts w:hint="eastAsia"/>
                      <w:lang w:val="en-US" w:eastAsia="zh-CN"/>
                    </w:rPr>
                    <w:t>全面取缔禁养区内规模化畜禽养殖场。</w:t>
                  </w:r>
                </w:p>
                <w:p>
                  <w:pPr>
                    <w:pStyle w:val="15"/>
                    <w:bidi w:val="0"/>
                    <w:jc w:val="center"/>
                    <w:rPr>
                      <w:rFonts w:hint="eastAsia"/>
                      <w:lang w:val="en-US" w:eastAsia="zh-CN"/>
                    </w:rPr>
                  </w:pPr>
                  <w:r>
                    <w:rPr>
                      <w:rFonts w:hint="eastAsia"/>
                      <w:lang w:val="en-US" w:eastAsia="zh-CN"/>
                    </w:rPr>
                    <w:t>2025年基本完成全域内“散乱污”企业整治工作。</w:t>
                  </w:r>
                </w:p>
                <w:p>
                  <w:pPr>
                    <w:pStyle w:val="15"/>
                    <w:bidi w:val="0"/>
                    <w:jc w:val="center"/>
                    <w:rPr>
                      <w:rFonts w:hint="eastAsia"/>
                      <w:lang w:val="en-US" w:eastAsia="zh-CN"/>
                    </w:rPr>
                  </w:pPr>
                  <w:r>
                    <w:rPr>
                      <w:rFonts w:hint="eastAsia"/>
                      <w:lang w:val="en-US" w:eastAsia="zh-CN"/>
                    </w:rPr>
                    <w:t>在全市范围深入开展集中整治“散乱污”工业企业，对不符合产业政策和规划布局的，一律责令停产、限期搬迁或关停；</w:t>
                  </w:r>
                </w:p>
                <w:p>
                  <w:pPr>
                    <w:pStyle w:val="15"/>
                    <w:bidi w:val="0"/>
                    <w:jc w:val="center"/>
                    <w:rPr>
                      <w:rFonts w:hint="eastAsia"/>
                      <w:lang w:val="en-US" w:eastAsia="zh-CN"/>
                    </w:rPr>
                  </w:pPr>
                  <w:r>
                    <w:rPr>
                      <w:rFonts w:hint="eastAsia"/>
                      <w:lang w:val="en-US" w:eastAsia="zh-CN"/>
                    </w:rPr>
                    <w:t>其他空间布局约束要求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污染物排放管控：</w:t>
                  </w:r>
                </w:p>
                <w:p>
                  <w:pPr>
                    <w:pStyle w:val="15"/>
                    <w:bidi w:val="0"/>
                    <w:jc w:val="center"/>
                    <w:rPr>
                      <w:rFonts w:hint="eastAsia"/>
                      <w:lang w:val="en-US" w:eastAsia="zh-CN"/>
                    </w:rPr>
                  </w:pPr>
                  <w:r>
                    <w:rPr>
                      <w:rFonts w:hint="eastAsia"/>
                      <w:lang w:val="en-US" w:eastAsia="zh-CN"/>
                    </w:rPr>
                    <w:t>允许排放量要求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现有源提标升级改造</w:t>
                  </w:r>
                </w:p>
                <w:p>
                  <w:pPr>
                    <w:pStyle w:val="15"/>
                    <w:bidi w:val="0"/>
                    <w:jc w:val="center"/>
                    <w:rPr>
                      <w:rFonts w:hint="eastAsia"/>
                      <w:lang w:val="en-US" w:eastAsia="zh-CN"/>
                    </w:rPr>
                  </w:pPr>
                  <w:r>
                    <w:rPr>
                      <w:rFonts w:hint="eastAsia"/>
                      <w:lang w:val="en-US" w:eastAsia="zh-CN"/>
                    </w:rPr>
                    <w:t>加快现有乡镇污水处理设施升级改造，按要求达《城镇污水处理厂污染物排放标准》一级A标后排放。</w:t>
                  </w:r>
                </w:p>
                <w:p>
                  <w:pPr>
                    <w:pStyle w:val="15"/>
                    <w:bidi w:val="0"/>
                    <w:jc w:val="center"/>
                    <w:rPr>
                      <w:rFonts w:hint="eastAsia"/>
                      <w:lang w:val="en-US" w:eastAsia="zh-CN"/>
                    </w:rPr>
                  </w:pPr>
                  <w:r>
                    <w:rPr>
                      <w:rFonts w:hint="eastAsia"/>
                      <w:lang w:val="en-US" w:eastAsia="zh-CN"/>
                    </w:rPr>
                    <w:t>在矿产资源开发活动集中区域，废水执行重金属污染物排放特别限值。</w:t>
                  </w:r>
                </w:p>
                <w:p>
                  <w:pPr>
                    <w:pStyle w:val="15"/>
                    <w:bidi w:val="0"/>
                    <w:jc w:val="center"/>
                    <w:rPr>
                      <w:rFonts w:hint="eastAsia"/>
                      <w:lang w:val="en-US" w:eastAsia="zh-CN"/>
                    </w:rPr>
                  </w:pPr>
                  <w:r>
                    <w:rPr>
                      <w:rFonts w:hint="eastAsia"/>
                      <w:lang w:val="en-US" w:eastAsia="zh-CN"/>
                    </w:rPr>
                    <w:t>火电、水泥等行业按相关要求推进大气污染物超低排放和深度治理。</w:t>
                  </w:r>
                </w:p>
                <w:p>
                  <w:pPr>
                    <w:pStyle w:val="15"/>
                    <w:bidi w:val="0"/>
                    <w:jc w:val="center"/>
                    <w:rPr>
                      <w:rFonts w:hint="eastAsia"/>
                      <w:lang w:val="en-US" w:eastAsia="zh-CN"/>
                    </w:rPr>
                  </w:pPr>
                  <w:r>
                    <w:rPr>
                      <w:rFonts w:hint="eastAsia"/>
                      <w:lang w:val="en-US" w:eastAsia="zh-CN"/>
                    </w:rPr>
                    <w:t>砖瓦行业实施脱硫、除尘升级改造，污染物排放达到《砖瓦工业大气污染物排放标准》相关要求。</w:t>
                  </w:r>
                </w:p>
                <w:p>
                  <w:pPr>
                    <w:pStyle w:val="15"/>
                    <w:bidi w:val="0"/>
                    <w:jc w:val="center"/>
                    <w:rPr>
                      <w:rFonts w:hint="eastAsia"/>
                      <w:lang w:val="en-US" w:eastAsia="zh-CN"/>
                    </w:rPr>
                  </w:pPr>
                </w:p>
                <w:p>
                  <w:pPr>
                    <w:pStyle w:val="15"/>
                    <w:bidi w:val="0"/>
                    <w:jc w:val="center"/>
                    <w:rPr>
                      <w:rFonts w:hint="eastAsia"/>
                      <w:lang w:val="en-US" w:eastAsia="zh-CN"/>
                    </w:rPr>
                  </w:pPr>
                  <w:r>
                    <w:rPr>
                      <w:rFonts w:hint="eastAsia"/>
                      <w:lang w:val="en-US" w:eastAsia="zh-CN"/>
                    </w:rPr>
                    <w:t>其他污染物排放管控要求</w:t>
                  </w:r>
                </w:p>
                <w:p>
                  <w:pPr>
                    <w:pStyle w:val="15"/>
                    <w:bidi w:val="0"/>
                    <w:jc w:val="center"/>
                    <w:rPr>
                      <w:rFonts w:hint="eastAsia"/>
                      <w:lang w:val="en-US" w:eastAsia="zh-CN"/>
                    </w:rPr>
                  </w:pPr>
                  <w:r>
                    <w:rPr>
                      <w:rFonts w:hint="eastAsia"/>
                      <w:lang w:val="en-US" w:eastAsia="zh-CN"/>
                    </w:rPr>
                    <w:t>新增源等量或倍量替代:上一年度水环境质量未完成目标的，新建排放水污染的建设项目按照总量管控要求进行倍量削减替代。上一年度空气质量年平均浓度不达标的城市，建设项目新增相关污染物按照总量管控要求进行倍量削减替代。大气环境重点管控区内，新增大气污染物排放的建设项目实施总量削减替代。污染物排放绩效水平准入要求:屠宰项目必须配套污水处理设施或进入城市污水管网。</w:t>
                  </w:r>
                </w:p>
                <w:p>
                  <w:pPr>
                    <w:pStyle w:val="15"/>
                    <w:bidi w:val="0"/>
                    <w:jc w:val="center"/>
                    <w:rPr>
                      <w:rFonts w:hint="eastAsia"/>
                      <w:lang w:val="en-US" w:eastAsia="zh-CN"/>
                    </w:rPr>
                  </w:pPr>
                  <w:r>
                    <w:rPr>
                      <w:rFonts w:hint="eastAsia"/>
                      <w:lang w:val="en-US" w:eastAsia="zh-CN"/>
                    </w:rPr>
                    <w:t>大气环境重点管控区内加强“高架源”污染治理，深化施工扬尘监管，严格落实“六必须、六不准”管控要求，强化道路施工管控，提高道路清扫机械化和精细化作业水平。-至2022年底，基本实现乡镇污水处理设施全覆盖，配套建设污水收集管网，乡镇污水处理率达到65%。</w:t>
                  </w:r>
                </w:p>
                <w:p>
                  <w:pPr>
                    <w:pStyle w:val="15"/>
                    <w:bidi w:val="0"/>
                    <w:jc w:val="center"/>
                    <w:rPr>
                      <w:rFonts w:hint="eastAsia"/>
                      <w:lang w:val="en-US" w:eastAsia="zh-CN"/>
                    </w:rPr>
                  </w:pPr>
                  <w:r>
                    <w:rPr>
                      <w:rFonts w:hint="eastAsia"/>
                      <w:lang w:val="en-US" w:eastAsia="zh-CN"/>
                    </w:rPr>
                    <w:t>-到2023年底，力争全市生活垃圾焚烧处理能力占比达60%以上，各县（市）生活垃圾无害化处理率保持95%以上，乡镇及行政村生活垃圾收转运处置体系基本实现全覆盖。</w:t>
                  </w:r>
                </w:p>
                <w:p>
                  <w:pPr>
                    <w:pStyle w:val="15"/>
                    <w:bidi w:val="0"/>
                    <w:jc w:val="center"/>
                    <w:rPr>
                      <w:rFonts w:hint="eastAsia"/>
                      <w:lang w:val="en-US" w:eastAsia="zh-CN"/>
                    </w:rPr>
                  </w:pPr>
                  <w:r>
                    <w:rPr>
                      <w:rFonts w:hint="eastAsia"/>
                      <w:lang w:val="en-US" w:eastAsia="zh-CN"/>
                    </w:rPr>
                    <w:t>-到2025年，农药包装废弃物回收率达80%；粮油绿色高质高效示范区、茶叶主产区和现代农业园区农药包装废弃物回收率100%。</w:t>
                  </w:r>
                </w:p>
                <w:p>
                  <w:pPr>
                    <w:pStyle w:val="15"/>
                    <w:bidi w:val="0"/>
                    <w:jc w:val="center"/>
                    <w:rPr>
                      <w:rFonts w:hint="eastAsia"/>
                      <w:lang w:val="en-US" w:eastAsia="zh-CN"/>
                    </w:rPr>
                  </w:pPr>
                  <w:r>
                    <w:rPr>
                      <w:rFonts w:hint="eastAsia"/>
                      <w:lang w:val="en-US" w:eastAsia="zh-CN"/>
                    </w:rPr>
                    <w:t>-到2025年，全国主要农作物化肥、农药利用率达43%，测土配方施肥技术推广覆盖率保持在90%以上，控制农村面源污染，采取灌排分离等措施控制农田氮磷流失。</w:t>
                  </w:r>
                </w:p>
                <w:p>
                  <w:pPr>
                    <w:pStyle w:val="15"/>
                    <w:bidi w:val="0"/>
                    <w:jc w:val="center"/>
                    <w:rPr>
                      <w:rFonts w:hint="eastAsia"/>
                      <w:lang w:val="en-US" w:eastAsia="zh-CN"/>
                    </w:rPr>
                  </w:pPr>
                  <w:r>
                    <w:rPr>
                      <w:rFonts w:hint="eastAsia"/>
                      <w:lang w:val="en-US" w:eastAsia="zh-CN"/>
                    </w:rPr>
                    <w:t>-到2025年，新、改扩建规模化畜禽养殖场（小区）要实施雨污分流、粪便污水资源化利用；规模化畜禽养殖场（小区）粪污处理设施装备配套率达到95%以上，粪污综合利用率达到80%以上，大型规模养殖场粪污处理设施装备配套率达到100%，畜禽粪污基本实现资源化利用；散养密集区要实行畜禽粪便污水分户收集、集中处理利用。</w:t>
                  </w:r>
                </w:p>
                <w:p>
                  <w:pPr>
                    <w:pStyle w:val="15"/>
                    <w:bidi w:val="0"/>
                    <w:jc w:val="center"/>
                    <w:rPr>
                      <w:rFonts w:hint="eastAsia"/>
                      <w:lang w:val="en-US" w:eastAsia="zh-CN"/>
                    </w:rPr>
                  </w:pPr>
                  <w:r>
                    <w:rPr>
                      <w:rFonts w:hint="eastAsia"/>
                      <w:lang w:val="en-US" w:eastAsia="zh-CN"/>
                    </w:rPr>
                    <w:t>-到2025年，废旧农膜回收利用率达到85%以上。</w:t>
                  </w:r>
                </w:p>
                <w:p>
                  <w:pPr>
                    <w:pStyle w:val="15"/>
                    <w:bidi w:val="0"/>
                    <w:jc w:val="center"/>
                    <w:rPr>
                      <w:rFonts w:hint="eastAsia"/>
                      <w:lang w:val="en-US" w:eastAsia="zh-CN"/>
                    </w:rPr>
                  </w:pPr>
                </w:p>
                <w:p>
                  <w:pPr>
                    <w:pStyle w:val="15"/>
                    <w:bidi w:val="0"/>
                    <w:jc w:val="center"/>
                    <w:rPr>
                      <w:rFonts w:hint="eastAsia"/>
                      <w:lang w:val="en-US" w:eastAsia="zh-CN"/>
                    </w:rPr>
                  </w:pPr>
                  <w:r>
                    <w:rPr>
                      <w:rFonts w:hint="eastAsia"/>
                      <w:lang w:val="en-US" w:eastAsia="zh-CN"/>
                    </w:rPr>
                    <w:t>环境风险防控：</w:t>
                  </w:r>
                </w:p>
                <w:p>
                  <w:pPr>
                    <w:pStyle w:val="15"/>
                    <w:bidi w:val="0"/>
                    <w:jc w:val="center"/>
                    <w:rPr>
                      <w:rFonts w:hint="eastAsia"/>
                      <w:lang w:val="en-US" w:eastAsia="zh-CN"/>
                    </w:rPr>
                  </w:pPr>
                  <w:r>
                    <w:rPr>
                      <w:rFonts w:hint="eastAsia"/>
                      <w:lang w:val="en-US" w:eastAsia="zh-CN"/>
                    </w:rPr>
                    <w:t>联防联控要求</w:t>
                  </w:r>
                </w:p>
                <w:p>
                  <w:pPr>
                    <w:pStyle w:val="15"/>
                    <w:bidi w:val="0"/>
                    <w:jc w:val="center"/>
                    <w:rPr>
                      <w:rFonts w:hint="eastAsia"/>
                      <w:lang w:val="en-US" w:eastAsia="zh-CN"/>
                    </w:rPr>
                  </w:pPr>
                  <w:r>
                    <w:rPr>
                      <w:rFonts w:hint="eastAsia"/>
                      <w:lang w:val="en-US" w:eastAsia="zh-CN"/>
                    </w:rPr>
                    <w:t>强化区域联防联控，严格落实《关于建立跨省流域上下游突发水污染事件联防联控机制的指导意见》；定期召开区域大气环境形式分析会，强化信息共享和联动合作，实行环境规划，标准，环评，执法，信息公开“六统一”，协力推进大气污染源头防控，加强川东北区域大气污染防止合作</w:t>
                  </w:r>
                </w:p>
                <w:p>
                  <w:pPr>
                    <w:pStyle w:val="15"/>
                    <w:bidi w:val="0"/>
                    <w:jc w:val="center"/>
                    <w:rPr>
                      <w:rFonts w:hint="eastAsia"/>
                      <w:lang w:val="en-US" w:eastAsia="zh-CN"/>
                    </w:rPr>
                  </w:pPr>
                  <w:r>
                    <w:rPr>
                      <w:rFonts w:hint="eastAsia"/>
                      <w:lang w:val="en-US" w:eastAsia="zh-CN"/>
                    </w:rPr>
                    <w:t>其他环境风险防控要求</w:t>
                  </w:r>
                </w:p>
                <w:p>
                  <w:pPr>
                    <w:pStyle w:val="15"/>
                    <w:bidi w:val="0"/>
                    <w:jc w:val="center"/>
                    <w:rPr>
                      <w:rFonts w:hint="eastAsia"/>
                      <w:lang w:val="en-US" w:eastAsia="zh-CN"/>
                    </w:rPr>
                  </w:pPr>
                  <w:r>
                    <w:rPr>
                      <w:rFonts w:hint="eastAsia"/>
                      <w:lang w:val="en-US" w:eastAsia="zh-CN"/>
                    </w:rPr>
                    <w:t>企业环境风险防控要求:工业企业退出用地，须经评估、修复满足相应用地功能后，方可改变用途。</w:t>
                  </w:r>
                </w:p>
                <w:p>
                  <w:pPr>
                    <w:pStyle w:val="15"/>
                    <w:bidi w:val="0"/>
                    <w:jc w:val="center"/>
                    <w:rPr>
                      <w:rFonts w:hint="eastAsia"/>
                      <w:lang w:val="en-US" w:eastAsia="zh-CN"/>
                    </w:rPr>
                  </w:pPr>
                  <w:r>
                    <w:rPr>
                      <w:rFonts w:hint="eastAsia"/>
                      <w:lang w:val="en-US" w:eastAsia="zh-CN"/>
                    </w:rPr>
                    <w:t>加强“散乱污”企业环境风险防控。对拟收回土地使用权的有色金属矿采选、有色金属冶炼、石油加工、化工、焦化、电镀、制革、天然（页岩）气开采、铅蓄电池、汽车制造、农药、危废处置、电子拆解等行业企业用地，以及用途拟变更为居住和商业、学校、医疗、养老机构等公共设施的上述企业用地，以及由重度污染农用地转为的城镇建设用地，开展土壤环境状况调查评估。用地环境风险防控要求:严禁将城镇生活垃圾、污泥、工业废物直接用作肥料，禁止处理不达标的污泥进入耕地；禁止在农用地排放、倾倒、使用污泥、清淤底泥、尾矿（渣）等可能对土壤造成污染的固体废物。</w:t>
                  </w:r>
                </w:p>
                <w:p>
                  <w:pPr>
                    <w:pStyle w:val="15"/>
                    <w:bidi w:val="0"/>
                    <w:jc w:val="center"/>
                    <w:rPr>
                      <w:rFonts w:hint="eastAsia"/>
                      <w:lang w:val="en-US" w:eastAsia="zh-CN"/>
                    </w:rPr>
                  </w:pPr>
                  <w:r>
                    <w:rPr>
                      <w:rFonts w:hint="eastAsia"/>
                      <w:lang w:val="en-US" w:eastAsia="zh-CN"/>
                    </w:rPr>
                    <w:t>定期对单元内尾矿库进行风险巡查，建立监测系统和环境风险应急预案；完善各尾矿库渗滤液收集、处理、回用系统，杜绝事故排放；尾矿库闭矿后因地制宜进行植被恢复和综合利用。</w:t>
                  </w:r>
                </w:p>
                <w:p>
                  <w:pPr>
                    <w:pStyle w:val="15"/>
                    <w:bidi w:val="0"/>
                    <w:jc w:val="center"/>
                    <w:rPr>
                      <w:rFonts w:hint="eastAsia"/>
                      <w:lang w:val="en-US" w:eastAsia="zh-CN"/>
                    </w:rPr>
                  </w:pPr>
                  <w:r>
                    <w:rPr>
                      <w:rFonts w:hint="eastAsia"/>
                      <w:lang w:val="en-US" w:eastAsia="zh-CN"/>
                    </w:rPr>
                    <w:t>规范排土场、渣场等整治。禁止处理不达标的污泥进入耕地。</w:t>
                  </w:r>
                </w:p>
                <w:p>
                  <w:pPr>
                    <w:pStyle w:val="15"/>
                    <w:bidi w:val="0"/>
                    <w:jc w:val="center"/>
                    <w:rPr>
                      <w:rFonts w:hint="eastAsia"/>
                      <w:lang w:val="en-US" w:eastAsia="zh-CN"/>
                    </w:rPr>
                  </w:pPr>
                  <w:r>
                    <w:rPr>
                      <w:rFonts w:hint="eastAsia"/>
                      <w:lang w:val="en-US" w:eastAsia="zh-CN"/>
                    </w:rPr>
                    <w:t>严格控制林地、草地、园地的农药使用量，禁止使用高毒、高残留农药。</w:t>
                  </w:r>
                </w:p>
                <w:p>
                  <w:pPr>
                    <w:pStyle w:val="15"/>
                    <w:bidi w:val="0"/>
                    <w:jc w:val="center"/>
                    <w:rPr>
                      <w:rFonts w:hint="eastAsia"/>
                      <w:lang w:val="en-US" w:eastAsia="zh-CN"/>
                    </w:rPr>
                  </w:pPr>
                  <w:r>
                    <w:rPr>
                      <w:rFonts w:hint="eastAsia"/>
                      <w:lang w:val="en-US" w:eastAsia="zh-CN"/>
                    </w:rPr>
                    <w:t>到2030年，全市受污染耕地安全利用率达到95%以上，污染地块安全利用率达到95%以上。</w:t>
                  </w:r>
                </w:p>
                <w:p>
                  <w:pPr>
                    <w:pStyle w:val="15"/>
                    <w:bidi w:val="0"/>
                    <w:jc w:val="center"/>
                    <w:rPr>
                      <w:rFonts w:hint="eastAsia"/>
                      <w:lang w:val="en-US" w:eastAsia="zh-CN"/>
                    </w:rPr>
                  </w:pPr>
                </w:p>
                <w:p>
                  <w:pPr>
                    <w:pStyle w:val="15"/>
                    <w:bidi w:val="0"/>
                    <w:jc w:val="center"/>
                    <w:rPr>
                      <w:rFonts w:hint="eastAsia"/>
                      <w:lang w:val="en-US" w:eastAsia="zh-CN"/>
                    </w:rPr>
                  </w:pPr>
                  <w:r>
                    <w:rPr>
                      <w:rFonts w:hint="eastAsia"/>
                      <w:lang w:val="en-US" w:eastAsia="zh-CN"/>
                    </w:rPr>
                    <w:t>资源开发利用效率要求：</w:t>
                  </w:r>
                </w:p>
                <w:p>
                  <w:pPr>
                    <w:pStyle w:val="15"/>
                    <w:bidi w:val="0"/>
                    <w:jc w:val="center"/>
                    <w:rPr>
                      <w:rFonts w:hint="eastAsia"/>
                      <w:lang w:val="en-US" w:eastAsia="zh-CN"/>
                    </w:rPr>
                  </w:pPr>
                  <w:r>
                    <w:rPr>
                      <w:rFonts w:hint="eastAsia"/>
                      <w:lang w:val="en-US" w:eastAsia="zh-CN"/>
                    </w:rPr>
                    <w:t>水资源利用总量要求</w:t>
                  </w:r>
                </w:p>
                <w:p>
                  <w:pPr>
                    <w:pStyle w:val="15"/>
                    <w:bidi w:val="0"/>
                    <w:jc w:val="center"/>
                    <w:rPr>
                      <w:rFonts w:hint="eastAsia"/>
                      <w:lang w:val="en-US" w:eastAsia="zh-CN"/>
                    </w:rPr>
                  </w:pPr>
                  <w:r>
                    <w:rPr>
                      <w:rFonts w:hint="eastAsia"/>
                      <w:lang w:val="en-US" w:eastAsia="zh-CN"/>
                    </w:rPr>
                    <w:t>-到2025年，农田灌溉水有效利用系数达到0.57以上。</w:t>
                  </w:r>
                </w:p>
                <w:p>
                  <w:pPr>
                    <w:pStyle w:val="15"/>
                    <w:bidi w:val="0"/>
                    <w:jc w:val="center"/>
                    <w:rPr>
                      <w:rFonts w:hint="eastAsia"/>
                      <w:lang w:val="en-US" w:eastAsia="zh-CN"/>
                    </w:rPr>
                  </w:pPr>
                  <w:r>
                    <w:rPr>
                      <w:rFonts w:hint="eastAsia"/>
                      <w:lang w:val="en-US" w:eastAsia="zh-CN"/>
                    </w:rPr>
                    <w:t>地下水开采要求</w:t>
                  </w:r>
                </w:p>
                <w:p>
                  <w:pPr>
                    <w:pStyle w:val="15"/>
                    <w:bidi w:val="0"/>
                    <w:jc w:val="center"/>
                    <w:rPr>
                      <w:rFonts w:hint="eastAsia"/>
                      <w:lang w:val="en-US" w:eastAsia="zh-CN"/>
                    </w:rPr>
                  </w:pPr>
                  <w:r>
                    <w:rPr>
                      <w:rFonts w:hint="eastAsia"/>
                      <w:lang w:val="en-US" w:eastAsia="zh-CN"/>
                    </w:rPr>
                    <w:t>以省市下发指标为准</w:t>
                  </w:r>
                </w:p>
                <w:p>
                  <w:pPr>
                    <w:pStyle w:val="15"/>
                    <w:bidi w:val="0"/>
                    <w:jc w:val="center"/>
                    <w:rPr>
                      <w:rFonts w:hint="eastAsia"/>
                      <w:lang w:val="en-US" w:eastAsia="zh-CN"/>
                    </w:rPr>
                  </w:pPr>
                  <w:r>
                    <w:rPr>
                      <w:rFonts w:hint="eastAsia"/>
                      <w:lang w:val="en-US" w:eastAsia="zh-CN"/>
                    </w:rPr>
                    <w:t>能源利用总量及效率要求</w:t>
                  </w:r>
                </w:p>
                <w:p>
                  <w:pPr>
                    <w:pStyle w:val="15"/>
                    <w:bidi w:val="0"/>
                    <w:jc w:val="center"/>
                    <w:rPr>
                      <w:rFonts w:hint="eastAsia"/>
                      <w:lang w:val="en-US" w:eastAsia="zh-CN"/>
                    </w:rPr>
                  </w:pPr>
                  <w:r>
                    <w:rPr>
                      <w:rFonts w:hint="eastAsia"/>
                      <w:lang w:val="en-US" w:eastAsia="zh-CN"/>
                    </w:rPr>
                    <w:t>推进清洁能源的推广使用，全面推进散煤清洁化整治；禁止新建每小时10蒸吨以下的燃煤锅炉及其他燃煤设施。</w:t>
                  </w:r>
                </w:p>
                <w:p>
                  <w:pPr>
                    <w:pStyle w:val="15"/>
                    <w:bidi w:val="0"/>
                    <w:jc w:val="center"/>
                    <w:rPr>
                      <w:rFonts w:hint="eastAsia"/>
                      <w:lang w:val="en-US" w:eastAsia="zh-CN"/>
                    </w:rPr>
                  </w:pPr>
                  <w:r>
                    <w:rPr>
                      <w:rFonts w:hint="eastAsia"/>
                      <w:lang w:val="en-US" w:eastAsia="zh-CN"/>
                    </w:rPr>
                    <w:t>禁止焚烧秸秆和垃圾，到2025年底，秸秆综合利用率达到86%以上。</w:t>
                  </w:r>
                </w:p>
                <w:p>
                  <w:pPr>
                    <w:pStyle w:val="15"/>
                    <w:bidi w:val="0"/>
                    <w:jc w:val="center"/>
                    <w:rPr>
                      <w:rFonts w:hint="eastAsia"/>
                      <w:lang w:val="en-US" w:eastAsia="zh-CN"/>
                    </w:rPr>
                  </w:pPr>
                </w:p>
                <w:p>
                  <w:pPr>
                    <w:pStyle w:val="15"/>
                    <w:bidi w:val="0"/>
                    <w:jc w:val="center"/>
                    <w:rPr>
                      <w:rFonts w:hint="eastAsia"/>
                      <w:lang w:val="en-US" w:eastAsia="zh-CN"/>
                    </w:rPr>
                  </w:pPr>
                  <w:r>
                    <w:rPr>
                      <w:rFonts w:hint="eastAsia"/>
                      <w:lang w:val="en-US" w:eastAsia="zh-CN"/>
                    </w:rPr>
                    <w:t>禁燃区要求</w:t>
                  </w:r>
                </w:p>
                <w:p>
                  <w:pPr>
                    <w:pStyle w:val="15"/>
                    <w:bidi w:val="0"/>
                    <w:jc w:val="center"/>
                    <w:rPr>
                      <w:rFonts w:hint="eastAsia"/>
                      <w:lang w:val="en-US" w:eastAsia="zh-CN"/>
                    </w:rPr>
                  </w:pPr>
                  <w:r>
                    <w:rPr>
                      <w:rFonts w:hint="eastAsia"/>
                      <w:lang w:val="en-US" w:eastAsia="zh-CN"/>
                    </w:rPr>
                    <w:t>-高污染燃料禁燃区内禁止燃用的燃料为《高污染燃料目录》（2017）中III类（严格）燃料组合，包括：（一）煤炭及其制品；（二）石油焦、油页岩、原油、重油、渣油、煤焦油；（三）非专用锅炉或未配置高效除尘设施的专用锅炉燃用的生物质成型燃料。</w:t>
                  </w:r>
                </w:p>
                <w:p>
                  <w:pPr>
                    <w:pStyle w:val="15"/>
                    <w:bidi w:val="0"/>
                    <w:jc w:val="center"/>
                    <w:rPr>
                      <w:rFonts w:hint="eastAsia"/>
                      <w:lang w:val="en-US" w:eastAsia="zh-CN"/>
                    </w:rPr>
                  </w:pPr>
                  <w:r>
                    <w:rPr>
                      <w:rFonts w:hint="eastAsia"/>
                      <w:lang w:val="en-US" w:eastAsia="zh-CN"/>
                    </w:rPr>
                    <w:t>-禁燃区内禁止销售、燃用高污染燃料；禁止新建、改建、扩建燃用高污染燃料的设施和设备。</w:t>
                  </w:r>
                </w:p>
                <w:p>
                  <w:pPr>
                    <w:pStyle w:val="15"/>
                    <w:bidi w:val="0"/>
                    <w:jc w:val="center"/>
                    <w:rPr>
                      <w:rFonts w:hint="eastAsia"/>
                      <w:lang w:val="en-US" w:eastAsia="zh-CN"/>
                    </w:rPr>
                  </w:pPr>
                  <w:r>
                    <w:rPr>
                      <w:rFonts w:hint="eastAsia"/>
                      <w:lang w:val="en-US" w:eastAsia="zh-CN"/>
                    </w:rPr>
                    <w:t>-禁燃区内已建成的高污染燃料燃用设施由辖区人民政府制定限期改造计划，改用天然气、页岩气、液化石油气、电或其他清洁能源。</w:t>
                  </w:r>
                </w:p>
                <w:p>
                  <w:pPr>
                    <w:pStyle w:val="15"/>
                    <w:bidi w:val="0"/>
                    <w:jc w:val="center"/>
                    <w:rPr>
                      <w:rFonts w:hint="eastAsia"/>
                      <w:lang w:val="en-US" w:eastAsia="zh-CN"/>
                    </w:rPr>
                  </w:pPr>
                </w:p>
                <w:p>
                  <w:pPr>
                    <w:pStyle w:val="15"/>
                    <w:bidi w:val="0"/>
                    <w:jc w:val="center"/>
                    <w:rPr>
                      <w:rFonts w:hint="eastAsia"/>
                      <w:lang w:val="en-US" w:eastAsia="zh-CN"/>
                    </w:rPr>
                  </w:pPr>
                  <w:r>
                    <w:rPr>
                      <w:rFonts w:hint="eastAsia"/>
                      <w:lang w:val="en-US" w:eastAsia="zh-CN"/>
                    </w:rPr>
                    <w:t>其他资源利用效率要求</w:t>
                  </w:r>
                </w:p>
                <w:p>
                  <w:pPr>
                    <w:pStyle w:val="15"/>
                    <w:bidi w:val="0"/>
                    <w:jc w:val="center"/>
                    <w:rPr>
                      <w:rFonts w:hint="eastAsia"/>
                      <w:lang w:val="en-US" w:eastAsia="zh-CN"/>
                    </w:rPr>
                  </w:pPr>
                  <w:r>
                    <w:rPr>
                      <w:rFonts w:hint="eastAsia"/>
                      <w:lang w:val="en-US" w:eastAsia="zh-CN"/>
                    </w:rPr>
                    <w:t>暂无</w:t>
                  </w:r>
                </w:p>
              </w:tc>
              <w:tc>
                <w:tcPr>
                  <w:tcW w:w="262" w:type="pct"/>
                  <w:tcBorders>
                    <w:tl2br w:val="nil"/>
                    <w:tr2bl w:val="nil"/>
                  </w:tcBorders>
                  <w:noWrap w:val="0"/>
                  <w:vAlign w:val="center"/>
                </w:tcPr>
                <w:p>
                  <w:pPr>
                    <w:pStyle w:val="15"/>
                    <w:bidi w:val="0"/>
                    <w:jc w:val="center"/>
                    <w:rPr>
                      <w:lang w:val="en-US" w:eastAsia="zh-CN"/>
                    </w:rPr>
                  </w:pPr>
                  <w:r>
                    <w:rPr>
                      <w:rFonts w:hint="eastAsia"/>
                      <w:lang w:val="en-US" w:eastAsia="zh-CN"/>
                    </w:rPr>
                    <w:t>污染物排放管控</w:t>
                  </w:r>
                </w:p>
              </w:tc>
              <w:tc>
                <w:tcPr>
                  <w:tcW w:w="1336" w:type="pct"/>
                  <w:tcBorders>
                    <w:tl2br w:val="nil"/>
                    <w:tr2bl w:val="nil"/>
                  </w:tcBorders>
                  <w:noWrap w:val="0"/>
                  <w:vAlign w:val="center"/>
                </w:tcPr>
                <w:p>
                  <w:pPr>
                    <w:pStyle w:val="15"/>
                    <w:bidi w:val="0"/>
                    <w:jc w:val="center"/>
                    <w:rPr>
                      <w:lang w:val="en-US" w:eastAsia="zh-CN"/>
                    </w:rPr>
                  </w:pPr>
                  <w:r>
                    <w:rPr>
                      <w:rFonts w:hint="eastAsia"/>
                      <w:lang w:val="en-US" w:eastAsia="zh-CN"/>
                    </w:rPr>
                    <w:t>现有源提标升级改造</w:t>
                  </w:r>
                </w:p>
                <w:p>
                  <w:pPr>
                    <w:pStyle w:val="15"/>
                    <w:bidi w:val="0"/>
                    <w:jc w:val="center"/>
                    <w:rPr>
                      <w:rFonts w:hint="eastAsia"/>
                      <w:lang w:val="en-US" w:eastAsia="zh-CN"/>
                    </w:rPr>
                  </w:pPr>
                  <w:r>
                    <w:rPr>
                      <w:rFonts w:hint="eastAsia"/>
                      <w:lang w:val="en-US" w:eastAsia="zh-CN"/>
                    </w:rPr>
                    <w:t>同达州市一般管控单元总体准入要求</w:t>
                  </w:r>
                </w:p>
                <w:p>
                  <w:pPr>
                    <w:pStyle w:val="15"/>
                    <w:bidi w:val="0"/>
                    <w:jc w:val="center"/>
                    <w:rPr>
                      <w:rFonts w:hint="eastAsia"/>
                      <w:lang w:val="en-US" w:eastAsia="zh-CN"/>
                    </w:rPr>
                  </w:pPr>
                  <w:r>
                    <w:rPr>
                      <w:rFonts w:hint="eastAsia"/>
                      <w:lang w:val="en-US" w:eastAsia="zh-CN"/>
                    </w:rPr>
                    <w:t>新增源等量或倍量替代</w:t>
                  </w:r>
                </w:p>
                <w:p>
                  <w:pPr>
                    <w:pStyle w:val="15"/>
                    <w:bidi w:val="0"/>
                    <w:jc w:val="center"/>
                    <w:rPr>
                      <w:rFonts w:hint="eastAsia"/>
                      <w:lang w:val="en-US" w:eastAsia="zh-CN"/>
                    </w:rPr>
                  </w:pPr>
                  <w:r>
                    <w:rPr>
                      <w:rFonts w:hint="eastAsia"/>
                      <w:lang w:val="en-US" w:eastAsia="zh-CN"/>
                    </w:rPr>
                    <w:t>同达州市一般管控单元总体准入要求</w:t>
                  </w:r>
                </w:p>
                <w:p>
                  <w:pPr>
                    <w:pStyle w:val="15"/>
                    <w:bidi w:val="0"/>
                    <w:jc w:val="center"/>
                    <w:rPr>
                      <w:rFonts w:hint="eastAsia"/>
                      <w:lang w:val="en-US" w:eastAsia="zh-CN"/>
                    </w:rPr>
                  </w:pPr>
                  <w:r>
                    <w:rPr>
                      <w:rFonts w:hint="eastAsia"/>
                      <w:lang w:val="en-US" w:eastAsia="zh-CN"/>
                    </w:rPr>
                    <w:t>新增源排放标准限值</w:t>
                  </w:r>
                </w:p>
                <w:p>
                  <w:pPr>
                    <w:pStyle w:val="15"/>
                    <w:bidi w:val="0"/>
                    <w:jc w:val="center"/>
                    <w:rPr>
                      <w:rFonts w:hint="eastAsia"/>
                      <w:lang w:val="en-US" w:eastAsia="zh-CN"/>
                    </w:rPr>
                  </w:pPr>
                  <w:r>
                    <w:rPr>
                      <w:rFonts w:hint="eastAsia"/>
                      <w:lang w:val="en-US" w:eastAsia="zh-CN"/>
                    </w:rPr>
                    <w:t>同达州市一般管控单元总体准入要求</w:t>
                  </w:r>
                </w:p>
                <w:p>
                  <w:pPr>
                    <w:pStyle w:val="15"/>
                    <w:bidi w:val="0"/>
                    <w:jc w:val="center"/>
                    <w:rPr>
                      <w:rFonts w:hint="eastAsia"/>
                      <w:lang w:val="en-US" w:eastAsia="zh-CN"/>
                    </w:rPr>
                  </w:pPr>
                  <w:r>
                    <w:rPr>
                      <w:rFonts w:hint="eastAsia"/>
                      <w:lang w:val="en-US" w:eastAsia="zh-CN"/>
                    </w:rPr>
                    <w:t>污染物排放绩效水平准入要求</w:t>
                  </w:r>
                </w:p>
                <w:p>
                  <w:pPr>
                    <w:pStyle w:val="15"/>
                    <w:bidi w:val="0"/>
                    <w:jc w:val="center"/>
                    <w:rPr>
                      <w:rFonts w:hint="eastAsia"/>
                      <w:lang w:val="en-US" w:eastAsia="zh-CN"/>
                    </w:rPr>
                  </w:pPr>
                  <w:r>
                    <w:rPr>
                      <w:rFonts w:hint="eastAsia"/>
                      <w:lang w:val="en-US" w:eastAsia="zh-CN"/>
                    </w:rPr>
                    <w:t>-大气环境布局敏感和弱扩散重点管控区内，现有大气污染重点企业，限期进行深度治理或关停并转。-其它同达州市一般管控单元总体准入要求</w:t>
                  </w:r>
                </w:p>
                <w:p>
                  <w:pPr>
                    <w:pStyle w:val="15"/>
                    <w:bidi w:val="0"/>
                    <w:jc w:val="center"/>
                    <w:rPr>
                      <w:rFonts w:hint="eastAsia"/>
                      <w:lang w:val="en-US" w:eastAsia="zh-CN"/>
                    </w:rPr>
                  </w:pPr>
                  <w:r>
                    <w:rPr>
                      <w:rFonts w:hint="eastAsia"/>
                      <w:lang w:val="en-US" w:eastAsia="zh-CN"/>
                    </w:rPr>
                    <w:t>其他污染物排放管控要求</w:t>
                  </w:r>
                </w:p>
              </w:tc>
              <w:tc>
                <w:tcPr>
                  <w:tcW w:w="870" w:type="pct"/>
                  <w:tcBorders>
                    <w:tl2br w:val="nil"/>
                    <w:tr2bl w:val="nil"/>
                  </w:tcBorders>
                  <w:noWrap w:val="0"/>
                  <w:vAlign w:val="center"/>
                </w:tcPr>
                <w:p>
                  <w:pPr>
                    <w:pStyle w:val="15"/>
                    <w:bidi w:val="0"/>
                    <w:jc w:val="center"/>
                    <w:rPr>
                      <w:rFonts w:hint="eastAsia"/>
                      <w:lang w:val="en-US" w:eastAsia="zh-CN"/>
                    </w:rPr>
                  </w:pPr>
                  <w:r>
                    <w:rPr>
                      <w:rFonts w:hint="eastAsia"/>
                      <w:color w:val="auto"/>
                      <w:lang w:val="en-US" w:eastAsia="zh-CN"/>
                    </w:rPr>
                    <w:t>本项目属于防洪治理工程，不属于生产性项目，也不属于大气污染类项目</w:t>
                  </w:r>
                </w:p>
              </w:tc>
              <w:tc>
                <w:tcPr>
                  <w:tcW w:w="312" w:type="pct"/>
                  <w:tcBorders>
                    <w:tl2br w:val="nil"/>
                    <w:tr2bl w:val="nil"/>
                  </w:tcBorders>
                  <w:noWrap w:val="0"/>
                  <w:vAlign w:val="center"/>
                </w:tcPr>
                <w:p>
                  <w:pPr>
                    <w:pStyle w:val="15"/>
                    <w:bidi w:val="0"/>
                    <w:jc w:val="center"/>
                    <w:rPr>
                      <w:rFonts w:hint="default"/>
                      <w:lang w:val="en-US" w:eastAsia="zh-CN"/>
                    </w:rPr>
                  </w:pPr>
                  <w:r>
                    <w:rPr>
                      <w:rFonts w:hint="eastAsia"/>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5" w:type="pct"/>
                  <w:vMerge w:val="continue"/>
                  <w:tcBorders>
                    <w:tl2br w:val="nil"/>
                    <w:tr2bl w:val="nil"/>
                  </w:tcBorders>
                  <w:noWrap w:val="0"/>
                  <w:vAlign w:val="center"/>
                </w:tcPr>
                <w:p>
                  <w:pPr>
                    <w:pStyle w:val="15"/>
                    <w:bidi w:val="0"/>
                    <w:jc w:val="center"/>
                    <w:rPr>
                      <w:lang w:val="en-US" w:eastAsia="zh-CN"/>
                    </w:rPr>
                  </w:pPr>
                  <w:r>
                    <w:rPr>
                      <w:rFonts w:hint="eastAsia"/>
                      <w:lang w:val="en-US" w:eastAsia="zh-CN"/>
                    </w:rPr>
                    <w:t>ZH51172230001</w:t>
                  </w:r>
                </w:p>
              </w:tc>
              <w:tc>
                <w:tcPr>
                  <w:tcW w:w="308" w:type="pct"/>
                  <w:vMerge w:val="continue"/>
                  <w:tcBorders>
                    <w:tl2br w:val="nil"/>
                    <w:tr2bl w:val="nil"/>
                  </w:tcBorders>
                  <w:noWrap w:val="0"/>
                  <w:vAlign w:val="center"/>
                </w:tcPr>
                <w:p>
                  <w:pPr>
                    <w:pStyle w:val="15"/>
                    <w:bidi w:val="0"/>
                    <w:jc w:val="center"/>
                    <w:rPr>
                      <w:lang w:val="en-US" w:eastAsia="zh-CN"/>
                    </w:rPr>
                  </w:pPr>
                  <w:r>
                    <w:rPr>
                      <w:rFonts w:hint="eastAsia"/>
                      <w:lang w:val="en-US" w:eastAsia="zh-CN"/>
                    </w:rPr>
                    <w:t>宣汉县一般管控单元</w:t>
                  </w:r>
                </w:p>
              </w:tc>
              <w:tc>
                <w:tcPr>
                  <w:tcW w:w="1254" w:type="pct"/>
                  <w:vMerge w:val="continue"/>
                  <w:tcBorders>
                    <w:tl2br w:val="nil"/>
                    <w:tr2bl w:val="nil"/>
                  </w:tcBorders>
                  <w:noWrap w:val="0"/>
                  <w:vAlign w:val="center"/>
                </w:tcPr>
                <w:p>
                  <w:pPr>
                    <w:pStyle w:val="15"/>
                    <w:bidi w:val="0"/>
                    <w:jc w:val="center"/>
                    <w:rPr>
                      <w:lang w:val="en-US" w:eastAsia="zh-CN"/>
                    </w:rPr>
                  </w:pPr>
                  <w:r>
                    <w:rPr>
                      <w:rFonts w:hint="eastAsia"/>
                      <w:lang w:val="en-US" w:eastAsia="zh-CN"/>
                    </w:rPr>
                    <w:t>空间布局约束：</w:t>
                  </w:r>
                </w:p>
                <w:p>
                  <w:pPr>
                    <w:pStyle w:val="15"/>
                    <w:bidi w:val="0"/>
                    <w:jc w:val="center"/>
                    <w:rPr>
                      <w:rFonts w:hint="eastAsia"/>
                      <w:lang w:val="en-US" w:eastAsia="zh-CN"/>
                    </w:rPr>
                  </w:pPr>
                  <w:r>
                    <w:rPr>
                      <w:rFonts w:hint="eastAsia"/>
                      <w:lang w:val="en-US" w:eastAsia="zh-CN"/>
                    </w:rPr>
                    <w:t>禁止开发建设活动的要求</w:t>
                  </w:r>
                </w:p>
                <w:p>
                  <w:pPr>
                    <w:pStyle w:val="15"/>
                    <w:bidi w:val="0"/>
                    <w:jc w:val="center"/>
                    <w:rPr>
                      <w:rFonts w:hint="eastAsia"/>
                      <w:lang w:val="en-US" w:eastAsia="zh-CN"/>
                    </w:rPr>
                  </w:pPr>
                  <w:r>
                    <w:rPr>
                      <w:rFonts w:hint="eastAsia"/>
                      <w:lang w:val="en-US" w:eastAsia="zh-CN"/>
                    </w:rPr>
                    <w:t>-禁止在长江干支流1公里范围内新建、扩建化工园区和化工项目。</w:t>
                  </w:r>
                </w:p>
                <w:p>
                  <w:pPr>
                    <w:pStyle w:val="15"/>
                    <w:bidi w:val="0"/>
                    <w:jc w:val="center"/>
                    <w:rPr>
                      <w:rFonts w:hint="eastAsia"/>
                      <w:lang w:val="en-US" w:eastAsia="zh-CN"/>
                    </w:rPr>
                  </w:pPr>
                  <w:r>
                    <w:rPr>
                      <w:rFonts w:hint="eastAsia"/>
                      <w:lang w:val="en-US" w:eastAsia="zh-CN"/>
                    </w:rPr>
                    <w:t>-禁止在法律法规规定的禁采区内新建矿山；禁止土法采、选、冶严重污染环境的矿产资源。</w:t>
                  </w:r>
                </w:p>
                <w:p>
                  <w:pPr>
                    <w:pStyle w:val="15"/>
                    <w:bidi w:val="0"/>
                    <w:jc w:val="center"/>
                    <w:rPr>
                      <w:rFonts w:hint="eastAsia"/>
                      <w:lang w:val="en-US" w:eastAsia="zh-CN"/>
                    </w:rPr>
                  </w:pPr>
                  <w:r>
                    <w:rPr>
                      <w:rFonts w:hint="eastAsia"/>
                      <w:lang w:val="en-US" w:eastAsia="zh-CN"/>
                    </w:rPr>
                    <w:t>-涉及永久基本农田的区域，除法律规定的重点建设项目选址确实无法避让外，其他任何建设不得占用。</w:t>
                  </w:r>
                </w:p>
                <w:p>
                  <w:pPr>
                    <w:pStyle w:val="15"/>
                    <w:bidi w:val="0"/>
                    <w:jc w:val="center"/>
                    <w:rPr>
                      <w:rFonts w:hint="eastAsia"/>
                      <w:lang w:val="en-US" w:eastAsia="zh-CN"/>
                    </w:rPr>
                  </w:pPr>
                  <w:r>
                    <w:rPr>
                      <w:rFonts w:hint="eastAsia"/>
                      <w:lang w:val="en-US" w:eastAsia="zh-CN"/>
                    </w:rPr>
                    <w:t>-禁止在长江流域河湖管理范围内倾倒、填埋、堆放、弃置、处理固体废物。</w:t>
                  </w:r>
                </w:p>
                <w:p>
                  <w:pPr>
                    <w:pStyle w:val="15"/>
                    <w:bidi w:val="0"/>
                    <w:jc w:val="center"/>
                    <w:rPr>
                      <w:rFonts w:hint="eastAsia"/>
                      <w:lang w:val="en-US" w:eastAsia="zh-CN"/>
                    </w:rPr>
                  </w:pPr>
                </w:p>
                <w:p>
                  <w:pPr>
                    <w:pStyle w:val="15"/>
                    <w:bidi w:val="0"/>
                    <w:jc w:val="center"/>
                    <w:rPr>
                      <w:rFonts w:hint="eastAsia"/>
                      <w:lang w:val="en-US" w:eastAsia="zh-CN"/>
                    </w:rPr>
                  </w:pPr>
                  <w:r>
                    <w:rPr>
                      <w:rFonts w:hint="eastAsia"/>
                      <w:lang w:val="en-US" w:eastAsia="zh-CN"/>
                    </w:rPr>
                    <w:t>限制开发建设活动的要求</w:t>
                  </w:r>
                </w:p>
                <w:p>
                  <w:pPr>
                    <w:pStyle w:val="15"/>
                    <w:bidi w:val="0"/>
                    <w:jc w:val="center"/>
                    <w:rPr>
                      <w:rFonts w:hint="eastAsia"/>
                      <w:lang w:val="en-US" w:eastAsia="zh-CN"/>
                    </w:rPr>
                  </w:pPr>
                  <w:r>
                    <w:rPr>
                      <w:rFonts w:hint="eastAsia"/>
                      <w:lang w:val="en-US" w:eastAsia="zh-CN"/>
                    </w:rPr>
                    <w:t>-按照相关要求严控水泥新增产能。</w:t>
                  </w:r>
                </w:p>
                <w:p>
                  <w:pPr>
                    <w:pStyle w:val="15"/>
                    <w:bidi w:val="0"/>
                    <w:jc w:val="center"/>
                    <w:rPr>
                      <w:rFonts w:hint="eastAsia"/>
                      <w:lang w:val="en-US" w:eastAsia="zh-CN"/>
                    </w:rPr>
                  </w:pPr>
                  <w:r>
                    <w:rPr>
                      <w:rFonts w:hint="eastAsia"/>
                      <w:lang w:val="en-US" w:eastAsia="zh-CN"/>
                    </w:rPr>
                    <w:t>涉及法定保护地，严格按照国家及地方法律法规、管理办法等相关要求进行控制。配套旅游、基础设施等建设项目，在符合规划和相关保护要求的前提下，应实施生态避让、减缓影响及生态恢复措施。</w:t>
                  </w:r>
                </w:p>
                <w:p>
                  <w:pPr>
                    <w:pStyle w:val="15"/>
                    <w:bidi w:val="0"/>
                    <w:jc w:val="center"/>
                    <w:rPr>
                      <w:rFonts w:hint="eastAsia"/>
                      <w:lang w:val="en-US" w:eastAsia="zh-CN"/>
                    </w:rPr>
                  </w:pPr>
                  <w:r>
                    <w:rPr>
                      <w:rFonts w:hint="eastAsia"/>
                      <w:lang w:val="en-US" w:eastAsia="zh-CN"/>
                    </w:rPr>
                    <w:t>按照相关要求严控水泥新增产能。</w:t>
                  </w:r>
                </w:p>
                <w:p>
                  <w:pPr>
                    <w:pStyle w:val="15"/>
                    <w:bidi w:val="0"/>
                    <w:jc w:val="center"/>
                    <w:rPr>
                      <w:rFonts w:hint="eastAsia"/>
                      <w:lang w:val="en-US" w:eastAsia="zh-CN"/>
                    </w:rPr>
                  </w:pPr>
                  <w:r>
                    <w:rPr>
                      <w:rFonts w:hint="eastAsia"/>
                      <w:lang w:val="en-US" w:eastAsia="zh-CN"/>
                    </w:rPr>
                    <w:t>禁止在长江干流岸线三公里范围内和重要支流岸线一公里范围内新建、改建、扩建尾矿库；但是以提升安全、生态环境保护水平为目的的改建除外。</w:t>
                  </w:r>
                </w:p>
                <w:p>
                  <w:pPr>
                    <w:pStyle w:val="15"/>
                    <w:bidi w:val="0"/>
                    <w:jc w:val="center"/>
                    <w:rPr>
                      <w:rFonts w:hint="eastAsia"/>
                      <w:lang w:val="en-US" w:eastAsia="zh-CN"/>
                    </w:rPr>
                  </w:pPr>
                </w:p>
                <w:p>
                  <w:pPr>
                    <w:pStyle w:val="15"/>
                    <w:bidi w:val="0"/>
                    <w:jc w:val="center"/>
                    <w:rPr>
                      <w:rFonts w:hint="eastAsia"/>
                      <w:lang w:val="en-US" w:eastAsia="zh-CN"/>
                    </w:rPr>
                  </w:pPr>
                </w:p>
                <w:p>
                  <w:pPr>
                    <w:pStyle w:val="15"/>
                    <w:bidi w:val="0"/>
                    <w:jc w:val="center"/>
                    <w:rPr>
                      <w:rFonts w:hint="eastAsia"/>
                      <w:lang w:val="en-US" w:eastAsia="zh-CN"/>
                    </w:rPr>
                  </w:pPr>
                  <w:r>
                    <w:rPr>
                      <w:rFonts w:hint="eastAsia"/>
                      <w:lang w:val="en-US" w:eastAsia="zh-CN"/>
                    </w:rPr>
                    <w:t>不符合空间布局要求活动的退出要求</w:t>
                  </w:r>
                </w:p>
                <w:p>
                  <w:pPr>
                    <w:pStyle w:val="15"/>
                    <w:bidi w:val="0"/>
                    <w:jc w:val="center"/>
                    <w:rPr>
                      <w:rFonts w:hint="eastAsia"/>
                      <w:lang w:val="en-US" w:eastAsia="zh-CN"/>
                    </w:rPr>
                  </w:pPr>
                  <w:r>
                    <w:rPr>
                      <w:rFonts w:hint="eastAsia"/>
                      <w:lang w:val="en-US" w:eastAsia="zh-CN"/>
                    </w:rPr>
                    <w:t>针对现有水泥企业，强化污染治理和污染物减排，依法依规整治或搬迁。</w:t>
                  </w:r>
                </w:p>
                <w:p>
                  <w:pPr>
                    <w:pStyle w:val="15"/>
                    <w:bidi w:val="0"/>
                    <w:jc w:val="center"/>
                    <w:rPr>
                      <w:rFonts w:hint="eastAsia"/>
                      <w:lang w:val="en-US" w:eastAsia="zh-CN"/>
                    </w:rPr>
                  </w:pPr>
                  <w:r>
                    <w:rPr>
                      <w:rFonts w:hint="eastAsia"/>
                      <w:lang w:val="en-US" w:eastAsia="zh-CN"/>
                    </w:rPr>
                    <w:t>全面取缔禁养区内规模化畜禽养殖场。</w:t>
                  </w:r>
                </w:p>
                <w:p>
                  <w:pPr>
                    <w:pStyle w:val="15"/>
                    <w:bidi w:val="0"/>
                    <w:jc w:val="center"/>
                    <w:rPr>
                      <w:rFonts w:hint="eastAsia"/>
                      <w:lang w:val="en-US" w:eastAsia="zh-CN"/>
                    </w:rPr>
                  </w:pPr>
                  <w:r>
                    <w:rPr>
                      <w:rFonts w:hint="eastAsia"/>
                      <w:lang w:val="en-US" w:eastAsia="zh-CN"/>
                    </w:rPr>
                    <w:t>2025年基本完成全域内“散乱污”企业整治工作。</w:t>
                  </w:r>
                </w:p>
                <w:p>
                  <w:pPr>
                    <w:pStyle w:val="15"/>
                    <w:bidi w:val="0"/>
                    <w:jc w:val="center"/>
                    <w:rPr>
                      <w:rFonts w:hint="eastAsia"/>
                      <w:lang w:val="en-US" w:eastAsia="zh-CN"/>
                    </w:rPr>
                  </w:pPr>
                  <w:r>
                    <w:rPr>
                      <w:rFonts w:hint="eastAsia"/>
                      <w:lang w:val="en-US" w:eastAsia="zh-CN"/>
                    </w:rPr>
                    <w:t>在全市范围深入开展集中整治“散乱污”工业企业，对不符合产业政策和规划布局的，一律责令停产、限期搬迁或关停；</w:t>
                  </w:r>
                </w:p>
                <w:p>
                  <w:pPr>
                    <w:pStyle w:val="15"/>
                    <w:bidi w:val="0"/>
                    <w:jc w:val="center"/>
                    <w:rPr>
                      <w:rFonts w:hint="eastAsia"/>
                      <w:lang w:val="en-US" w:eastAsia="zh-CN"/>
                    </w:rPr>
                  </w:pPr>
                  <w:r>
                    <w:rPr>
                      <w:rFonts w:hint="eastAsia"/>
                      <w:lang w:val="en-US" w:eastAsia="zh-CN"/>
                    </w:rPr>
                    <w:t>其他空间布局约束要求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污染物排放管控：</w:t>
                  </w:r>
                </w:p>
                <w:p>
                  <w:pPr>
                    <w:pStyle w:val="15"/>
                    <w:bidi w:val="0"/>
                    <w:jc w:val="center"/>
                    <w:rPr>
                      <w:rFonts w:hint="eastAsia"/>
                      <w:lang w:val="en-US" w:eastAsia="zh-CN"/>
                    </w:rPr>
                  </w:pPr>
                  <w:r>
                    <w:rPr>
                      <w:rFonts w:hint="eastAsia"/>
                      <w:lang w:val="en-US" w:eastAsia="zh-CN"/>
                    </w:rPr>
                    <w:t>允许排放量要求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现有源提标升级改造</w:t>
                  </w:r>
                </w:p>
                <w:p>
                  <w:pPr>
                    <w:pStyle w:val="15"/>
                    <w:bidi w:val="0"/>
                    <w:jc w:val="center"/>
                    <w:rPr>
                      <w:rFonts w:hint="eastAsia"/>
                      <w:lang w:val="en-US" w:eastAsia="zh-CN"/>
                    </w:rPr>
                  </w:pPr>
                  <w:r>
                    <w:rPr>
                      <w:rFonts w:hint="eastAsia"/>
                      <w:lang w:val="en-US" w:eastAsia="zh-CN"/>
                    </w:rPr>
                    <w:t>加快现有乡镇污水处理设施升级改造，按要求达《城镇污水处理厂污染物排放标准》一级A标后排放。</w:t>
                  </w:r>
                </w:p>
                <w:p>
                  <w:pPr>
                    <w:pStyle w:val="15"/>
                    <w:bidi w:val="0"/>
                    <w:jc w:val="center"/>
                    <w:rPr>
                      <w:rFonts w:hint="eastAsia"/>
                      <w:lang w:val="en-US" w:eastAsia="zh-CN"/>
                    </w:rPr>
                  </w:pPr>
                  <w:r>
                    <w:rPr>
                      <w:rFonts w:hint="eastAsia"/>
                      <w:lang w:val="en-US" w:eastAsia="zh-CN"/>
                    </w:rPr>
                    <w:t>在矿产资源开发活动集中区域，废水执行重金属污染物排放特别限值。</w:t>
                  </w:r>
                </w:p>
                <w:p>
                  <w:pPr>
                    <w:pStyle w:val="15"/>
                    <w:bidi w:val="0"/>
                    <w:jc w:val="center"/>
                    <w:rPr>
                      <w:rFonts w:hint="eastAsia"/>
                      <w:lang w:val="en-US" w:eastAsia="zh-CN"/>
                    </w:rPr>
                  </w:pPr>
                  <w:r>
                    <w:rPr>
                      <w:rFonts w:hint="eastAsia"/>
                      <w:lang w:val="en-US" w:eastAsia="zh-CN"/>
                    </w:rPr>
                    <w:t>火电、水泥等行业按相关要求推进大气污染物超低排放和深度治理。</w:t>
                  </w:r>
                </w:p>
                <w:p>
                  <w:pPr>
                    <w:pStyle w:val="15"/>
                    <w:bidi w:val="0"/>
                    <w:jc w:val="center"/>
                    <w:rPr>
                      <w:rFonts w:hint="eastAsia"/>
                      <w:lang w:val="en-US" w:eastAsia="zh-CN"/>
                    </w:rPr>
                  </w:pPr>
                  <w:r>
                    <w:rPr>
                      <w:rFonts w:hint="eastAsia"/>
                      <w:lang w:val="en-US" w:eastAsia="zh-CN"/>
                    </w:rPr>
                    <w:t>砖瓦行业实施脱硫、除尘升级改造，污染物排放达到《砖瓦工业大气污染物排放标准》相关要求。</w:t>
                  </w:r>
                </w:p>
                <w:p>
                  <w:pPr>
                    <w:pStyle w:val="15"/>
                    <w:bidi w:val="0"/>
                    <w:jc w:val="center"/>
                    <w:rPr>
                      <w:rFonts w:hint="eastAsia"/>
                      <w:lang w:val="en-US" w:eastAsia="zh-CN"/>
                    </w:rPr>
                  </w:pPr>
                </w:p>
                <w:p>
                  <w:pPr>
                    <w:pStyle w:val="15"/>
                    <w:bidi w:val="0"/>
                    <w:jc w:val="center"/>
                    <w:rPr>
                      <w:rFonts w:hint="eastAsia"/>
                      <w:lang w:val="en-US" w:eastAsia="zh-CN"/>
                    </w:rPr>
                  </w:pPr>
                  <w:r>
                    <w:rPr>
                      <w:rFonts w:hint="eastAsia"/>
                      <w:lang w:val="en-US" w:eastAsia="zh-CN"/>
                    </w:rPr>
                    <w:t>其他污染物排放管控要求</w:t>
                  </w:r>
                </w:p>
                <w:p>
                  <w:pPr>
                    <w:pStyle w:val="15"/>
                    <w:bidi w:val="0"/>
                    <w:jc w:val="center"/>
                    <w:rPr>
                      <w:rFonts w:hint="eastAsia"/>
                      <w:lang w:val="en-US" w:eastAsia="zh-CN"/>
                    </w:rPr>
                  </w:pPr>
                  <w:r>
                    <w:rPr>
                      <w:rFonts w:hint="eastAsia"/>
                      <w:lang w:val="en-US" w:eastAsia="zh-CN"/>
                    </w:rPr>
                    <w:t>新增源等量或倍量替代:上一年度水环境质量未完成目标的，新建排放水污染的建设项目按照总量管控要求进行倍量削减替代。上一年度空气质量年平均浓度不达标的城市，建设项目新增相关污染物按照总量管控要求进行倍量削减替代。大气环境重点管控区内，新增大气污染物排放的建设项目实施总量削减替代。污染物排放绩效水平准入要求:屠宰项目必须配套污水处理设施或进入城市污水管网。</w:t>
                  </w:r>
                </w:p>
                <w:p>
                  <w:pPr>
                    <w:pStyle w:val="15"/>
                    <w:bidi w:val="0"/>
                    <w:jc w:val="center"/>
                    <w:rPr>
                      <w:rFonts w:hint="eastAsia"/>
                      <w:lang w:val="en-US" w:eastAsia="zh-CN"/>
                    </w:rPr>
                  </w:pPr>
                  <w:r>
                    <w:rPr>
                      <w:rFonts w:hint="eastAsia"/>
                      <w:lang w:val="en-US" w:eastAsia="zh-CN"/>
                    </w:rPr>
                    <w:t>大气环境重点管控区内加强“高架源”污染治理，深化施工扬尘监管，严格落实“六必须、六不准”管控要求，强化道路施工管控，提高道路清扫机械化和精细化作业水平。-至2022年底，基本实现乡镇污水处理设施全覆盖，配套建设污水收集管网，乡镇污水处理率达到65%。</w:t>
                  </w:r>
                </w:p>
                <w:p>
                  <w:pPr>
                    <w:pStyle w:val="15"/>
                    <w:bidi w:val="0"/>
                    <w:jc w:val="center"/>
                    <w:rPr>
                      <w:rFonts w:hint="eastAsia"/>
                      <w:lang w:val="en-US" w:eastAsia="zh-CN"/>
                    </w:rPr>
                  </w:pPr>
                  <w:r>
                    <w:rPr>
                      <w:rFonts w:hint="eastAsia"/>
                      <w:lang w:val="en-US" w:eastAsia="zh-CN"/>
                    </w:rPr>
                    <w:t>-到2023年底，力争全市生活垃圾焚烧处理能力占比达60%以上，各县（市）生活垃圾无害化处理率保持95%以上，乡镇及行政村生活垃圾收转运处置体系基本实现全覆盖。</w:t>
                  </w:r>
                </w:p>
                <w:p>
                  <w:pPr>
                    <w:pStyle w:val="15"/>
                    <w:bidi w:val="0"/>
                    <w:jc w:val="center"/>
                    <w:rPr>
                      <w:rFonts w:hint="eastAsia"/>
                      <w:lang w:val="en-US" w:eastAsia="zh-CN"/>
                    </w:rPr>
                  </w:pPr>
                  <w:r>
                    <w:rPr>
                      <w:rFonts w:hint="eastAsia"/>
                      <w:lang w:val="en-US" w:eastAsia="zh-CN"/>
                    </w:rPr>
                    <w:t>-到2025年，农药包装废弃物回收率达80%；粮油绿色高质高效示范区、茶叶主产区和现代农业园区农药包装废弃物回收率100%。</w:t>
                  </w:r>
                </w:p>
                <w:p>
                  <w:pPr>
                    <w:pStyle w:val="15"/>
                    <w:bidi w:val="0"/>
                    <w:jc w:val="center"/>
                    <w:rPr>
                      <w:rFonts w:hint="eastAsia"/>
                      <w:lang w:val="en-US" w:eastAsia="zh-CN"/>
                    </w:rPr>
                  </w:pPr>
                  <w:r>
                    <w:rPr>
                      <w:rFonts w:hint="eastAsia"/>
                      <w:lang w:val="en-US" w:eastAsia="zh-CN"/>
                    </w:rPr>
                    <w:t>-到2025年，全国主要农作物化肥、农药利用率达43%，测土配方施肥技术推广覆盖率保持在90%以上，控制农村面源污染，采取灌排分离等措施控制农田氮磷流失。</w:t>
                  </w:r>
                </w:p>
                <w:p>
                  <w:pPr>
                    <w:pStyle w:val="15"/>
                    <w:bidi w:val="0"/>
                    <w:jc w:val="center"/>
                    <w:rPr>
                      <w:rFonts w:hint="eastAsia"/>
                      <w:lang w:val="en-US" w:eastAsia="zh-CN"/>
                    </w:rPr>
                  </w:pPr>
                  <w:r>
                    <w:rPr>
                      <w:rFonts w:hint="eastAsia"/>
                      <w:lang w:val="en-US" w:eastAsia="zh-CN"/>
                    </w:rPr>
                    <w:t>-到2025年，新、改扩建规模化畜禽养殖场（小区）要实施雨污分流、粪便污水资源化利用；规模化畜禽养殖场（小区）粪污处理设施装备配套率达到95%以上，粪污综合利用率达到80%以上，大型规模养殖场粪污处理设施装备配套率达到100%，畜禽粪污基本实现资源化利用；散养密集区要实行畜禽粪便污水分户收集、集中处理利用。</w:t>
                  </w:r>
                </w:p>
                <w:p>
                  <w:pPr>
                    <w:pStyle w:val="15"/>
                    <w:bidi w:val="0"/>
                    <w:jc w:val="center"/>
                    <w:rPr>
                      <w:rFonts w:hint="eastAsia"/>
                      <w:lang w:val="en-US" w:eastAsia="zh-CN"/>
                    </w:rPr>
                  </w:pPr>
                  <w:r>
                    <w:rPr>
                      <w:rFonts w:hint="eastAsia"/>
                      <w:lang w:val="en-US" w:eastAsia="zh-CN"/>
                    </w:rPr>
                    <w:t>-到2025年，废旧农膜回收利用率达到85%以上。</w:t>
                  </w:r>
                </w:p>
                <w:p>
                  <w:pPr>
                    <w:pStyle w:val="15"/>
                    <w:bidi w:val="0"/>
                    <w:jc w:val="center"/>
                    <w:rPr>
                      <w:rFonts w:hint="eastAsia"/>
                      <w:lang w:val="en-US" w:eastAsia="zh-CN"/>
                    </w:rPr>
                  </w:pPr>
                </w:p>
                <w:p>
                  <w:pPr>
                    <w:pStyle w:val="15"/>
                    <w:bidi w:val="0"/>
                    <w:jc w:val="center"/>
                    <w:rPr>
                      <w:rFonts w:hint="eastAsia"/>
                      <w:lang w:val="en-US" w:eastAsia="zh-CN"/>
                    </w:rPr>
                  </w:pPr>
                  <w:r>
                    <w:rPr>
                      <w:rFonts w:hint="eastAsia"/>
                      <w:lang w:val="en-US" w:eastAsia="zh-CN"/>
                    </w:rPr>
                    <w:t>环境风险防控：</w:t>
                  </w:r>
                </w:p>
                <w:p>
                  <w:pPr>
                    <w:pStyle w:val="15"/>
                    <w:bidi w:val="0"/>
                    <w:jc w:val="center"/>
                    <w:rPr>
                      <w:rFonts w:hint="eastAsia"/>
                      <w:lang w:val="en-US" w:eastAsia="zh-CN"/>
                    </w:rPr>
                  </w:pPr>
                  <w:r>
                    <w:rPr>
                      <w:rFonts w:hint="eastAsia"/>
                      <w:lang w:val="en-US" w:eastAsia="zh-CN"/>
                    </w:rPr>
                    <w:t>联防联控要求</w:t>
                  </w:r>
                </w:p>
                <w:p>
                  <w:pPr>
                    <w:pStyle w:val="15"/>
                    <w:bidi w:val="0"/>
                    <w:jc w:val="center"/>
                    <w:rPr>
                      <w:rFonts w:hint="eastAsia"/>
                      <w:lang w:val="en-US" w:eastAsia="zh-CN"/>
                    </w:rPr>
                  </w:pPr>
                  <w:r>
                    <w:rPr>
                      <w:rFonts w:hint="eastAsia"/>
                      <w:lang w:val="en-US" w:eastAsia="zh-CN"/>
                    </w:rPr>
                    <w:t>强化区域联防联控，严格落实《关于建立跨省流域上下游突发水污染事件联防联控机制的指导意见》；定期召开区域大气环境形式分析会，强化信息共享和联动合作，实行环境规划，标准，环评，执法，信息公开“六统一”，协力推进大气污染源头防控，加强川东北区域大气污染防止合作</w:t>
                  </w:r>
                </w:p>
                <w:p>
                  <w:pPr>
                    <w:pStyle w:val="15"/>
                    <w:bidi w:val="0"/>
                    <w:jc w:val="center"/>
                    <w:rPr>
                      <w:rFonts w:hint="eastAsia"/>
                      <w:lang w:val="en-US" w:eastAsia="zh-CN"/>
                    </w:rPr>
                  </w:pPr>
                  <w:r>
                    <w:rPr>
                      <w:rFonts w:hint="eastAsia"/>
                      <w:lang w:val="en-US" w:eastAsia="zh-CN"/>
                    </w:rPr>
                    <w:t>其他环境风险防控要求</w:t>
                  </w:r>
                </w:p>
                <w:p>
                  <w:pPr>
                    <w:pStyle w:val="15"/>
                    <w:bidi w:val="0"/>
                    <w:jc w:val="center"/>
                    <w:rPr>
                      <w:rFonts w:hint="eastAsia"/>
                      <w:lang w:val="en-US" w:eastAsia="zh-CN"/>
                    </w:rPr>
                  </w:pPr>
                  <w:r>
                    <w:rPr>
                      <w:rFonts w:hint="eastAsia"/>
                      <w:lang w:val="en-US" w:eastAsia="zh-CN"/>
                    </w:rPr>
                    <w:t>企业环境风险防控要求:工业企业退出用地，须经评估、修复满足相应用地功能后，方可改变用途。</w:t>
                  </w:r>
                </w:p>
                <w:p>
                  <w:pPr>
                    <w:pStyle w:val="15"/>
                    <w:bidi w:val="0"/>
                    <w:jc w:val="center"/>
                    <w:rPr>
                      <w:rFonts w:hint="eastAsia"/>
                      <w:lang w:val="en-US" w:eastAsia="zh-CN"/>
                    </w:rPr>
                  </w:pPr>
                  <w:r>
                    <w:rPr>
                      <w:rFonts w:hint="eastAsia"/>
                      <w:lang w:val="en-US" w:eastAsia="zh-CN"/>
                    </w:rPr>
                    <w:t>加强“散乱污”企业环境风险防控。对拟收回土地使用权的有色金属矿采选、有色金属冶炼、石油加工、化工、焦化、电镀、制革、天然（页岩）气开采、铅蓄电池、汽车制造、农药、危废处置、电子拆解等行业企业用地，以及用途拟变更为居住和商业、学校、医疗、养老机构等公共设施的上述企业用地，以及由重度污染农用地转为的城镇建设用地，开展土壤环境状况调查评估。用地环境风险防控要求:严禁将城镇生活垃圾、污泥、工业废物直接用作肥料，禁止处理不达标的污泥进入耕地；禁止在农用地排放、倾倒、使用污泥、清淤底泥、尾矿（渣）等可能对土壤造成污染的固体废物。</w:t>
                  </w:r>
                </w:p>
                <w:p>
                  <w:pPr>
                    <w:pStyle w:val="15"/>
                    <w:bidi w:val="0"/>
                    <w:jc w:val="center"/>
                    <w:rPr>
                      <w:rFonts w:hint="eastAsia"/>
                      <w:lang w:val="en-US" w:eastAsia="zh-CN"/>
                    </w:rPr>
                  </w:pPr>
                  <w:r>
                    <w:rPr>
                      <w:rFonts w:hint="eastAsia"/>
                      <w:lang w:val="en-US" w:eastAsia="zh-CN"/>
                    </w:rPr>
                    <w:t>定期对单元内尾矿库进行风险巡查，建立监测系统和环境风险应急预案；完善各尾矿库渗滤液收集、处理、回用系统，杜绝事故排放；尾矿库闭矿后因地制宜进行植被恢复和综合利用。</w:t>
                  </w:r>
                </w:p>
                <w:p>
                  <w:pPr>
                    <w:pStyle w:val="15"/>
                    <w:bidi w:val="0"/>
                    <w:jc w:val="center"/>
                    <w:rPr>
                      <w:rFonts w:hint="eastAsia"/>
                      <w:lang w:val="en-US" w:eastAsia="zh-CN"/>
                    </w:rPr>
                  </w:pPr>
                  <w:r>
                    <w:rPr>
                      <w:rFonts w:hint="eastAsia"/>
                      <w:lang w:val="en-US" w:eastAsia="zh-CN"/>
                    </w:rPr>
                    <w:t>规范排土场、渣场等整治。禁止处理不达标的污泥进入耕地。</w:t>
                  </w:r>
                </w:p>
                <w:p>
                  <w:pPr>
                    <w:pStyle w:val="15"/>
                    <w:bidi w:val="0"/>
                    <w:jc w:val="center"/>
                    <w:rPr>
                      <w:rFonts w:hint="eastAsia"/>
                      <w:lang w:val="en-US" w:eastAsia="zh-CN"/>
                    </w:rPr>
                  </w:pPr>
                  <w:r>
                    <w:rPr>
                      <w:rFonts w:hint="eastAsia"/>
                      <w:lang w:val="en-US" w:eastAsia="zh-CN"/>
                    </w:rPr>
                    <w:t>严格控制林地、草地、园地的农药使用量，禁止使用高毒、高残留农药。</w:t>
                  </w:r>
                </w:p>
                <w:p>
                  <w:pPr>
                    <w:pStyle w:val="15"/>
                    <w:bidi w:val="0"/>
                    <w:jc w:val="center"/>
                    <w:rPr>
                      <w:rFonts w:hint="eastAsia"/>
                      <w:lang w:val="en-US" w:eastAsia="zh-CN"/>
                    </w:rPr>
                  </w:pPr>
                  <w:r>
                    <w:rPr>
                      <w:rFonts w:hint="eastAsia"/>
                      <w:lang w:val="en-US" w:eastAsia="zh-CN"/>
                    </w:rPr>
                    <w:t>到2030年，全市受污染耕地安全利用率达到95%以上，污染地块安全利用率达到95%以上。</w:t>
                  </w:r>
                </w:p>
                <w:p>
                  <w:pPr>
                    <w:pStyle w:val="15"/>
                    <w:bidi w:val="0"/>
                    <w:jc w:val="center"/>
                    <w:rPr>
                      <w:rFonts w:hint="eastAsia"/>
                      <w:lang w:val="en-US" w:eastAsia="zh-CN"/>
                    </w:rPr>
                  </w:pPr>
                </w:p>
                <w:p>
                  <w:pPr>
                    <w:pStyle w:val="15"/>
                    <w:bidi w:val="0"/>
                    <w:jc w:val="center"/>
                    <w:rPr>
                      <w:rFonts w:hint="eastAsia"/>
                      <w:lang w:val="en-US" w:eastAsia="zh-CN"/>
                    </w:rPr>
                  </w:pPr>
                  <w:r>
                    <w:rPr>
                      <w:rFonts w:hint="eastAsia"/>
                      <w:lang w:val="en-US" w:eastAsia="zh-CN"/>
                    </w:rPr>
                    <w:t>资源开发利用效率要求：</w:t>
                  </w:r>
                </w:p>
                <w:p>
                  <w:pPr>
                    <w:pStyle w:val="15"/>
                    <w:bidi w:val="0"/>
                    <w:jc w:val="center"/>
                    <w:rPr>
                      <w:rFonts w:hint="eastAsia"/>
                      <w:lang w:val="en-US" w:eastAsia="zh-CN"/>
                    </w:rPr>
                  </w:pPr>
                  <w:r>
                    <w:rPr>
                      <w:rFonts w:hint="eastAsia"/>
                      <w:lang w:val="en-US" w:eastAsia="zh-CN"/>
                    </w:rPr>
                    <w:t>水资源利用总量要求</w:t>
                  </w:r>
                </w:p>
                <w:p>
                  <w:pPr>
                    <w:pStyle w:val="15"/>
                    <w:bidi w:val="0"/>
                    <w:jc w:val="center"/>
                    <w:rPr>
                      <w:rFonts w:hint="eastAsia"/>
                      <w:lang w:val="en-US" w:eastAsia="zh-CN"/>
                    </w:rPr>
                  </w:pPr>
                  <w:r>
                    <w:rPr>
                      <w:rFonts w:hint="eastAsia"/>
                      <w:lang w:val="en-US" w:eastAsia="zh-CN"/>
                    </w:rPr>
                    <w:t>-到2025年，农田灌溉水有效利用系数达到0.57以上。</w:t>
                  </w:r>
                </w:p>
                <w:p>
                  <w:pPr>
                    <w:pStyle w:val="15"/>
                    <w:bidi w:val="0"/>
                    <w:jc w:val="center"/>
                    <w:rPr>
                      <w:rFonts w:hint="eastAsia"/>
                      <w:lang w:val="en-US" w:eastAsia="zh-CN"/>
                    </w:rPr>
                  </w:pPr>
                  <w:r>
                    <w:rPr>
                      <w:rFonts w:hint="eastAsia"/>
                      <w:lang w:val="en-US" w:eastAsia="zh-CN"/>
                    </w:rPr>
                    <w:t>地下水开采要求</w:t>
                  </w:r>
                </w:p>
                <w:p>
                  <w:pPr>
                    <w:pStyle w:val="15"/>
                    <w:bidi w:val="0"/>
                    <w:jc w:val="center"/>
                    <w:rPr>
                      <w:rFonts w:hint="eastAsia"/>
                      <w:lang w:val="en-US" w:eastAsia="zh-CN"/>
                    </w:rPr>
                  </w:pPr>
                  <w:r>
                    <w:rPr>
                      <w:rFonts w:hint="eastAsia"/>
                      <w:lang w:val="en-US" w:eastAsia="zh-CN"/>
                    </w:rPr>
                    <w:t>以省市下发指标为准</w:t>
                  </w:r>
                </w:p>
                <w:p>
                  <w:pPr>
                    <w:pStyle w:val="15"/>
                    <w:bidi w:val="0"/>
                    <w:jc w:val="center"/>
                    <w:rPr>
                      <w:rFonts w:hint="eastAsia"/>
                      <w:lang w:val="en-US" w:eastAsia="zh-CN"/>
                    </w:rPr>
                  </w:pPr>
                  <w:r>
                    <w:rPr>
                      <w:rFonts w:hint="eastAsia"/>
                      <w:lang w:val="en-US" w:eastAsia="zh-CN"/>
                    </w:rPr>
                    <w:t>能源利用总量及效率要求</w:t>
                  </w:r>
                </w:p>
                <w:p>
                  <w:pPr>
                    <w:pStyle w:val="15"/>
                    <w:bidi w:val="0"/>
                    <w:jc w:val="center"/>
                    <w:rPr>
                      <w:rFonts w:hint="eastAsia"/>
                      <w:lang w:val="en-US" w:eastAsia="zh-CN"/>
                    </w:rPr>
                  </w:pPr>
                  <w:r>
                    <w:rPr>
                      <w:rFonts w:hint="eastAsia"/>
                      <w:lang w:val="en-US" w:eastAsia="zh-CN"/>
                    </w:rPr>
                    <w:t>推进清洁能源的推广使用，全面推进散煤清洁化整治；禁止新建每小时10蒸吨以下的燃煤锅炉及其他燃煤设施。</w:t>
                  </w:r>
                </w:p>
                <w:p>
                  <w:pPr>
                    <w:pStyle w:val="15"/>
                    <w:bidi w:val="0"/>
                    <w:jc w:val="center"/>
                    <w:rPr>
                      <w:rFonts w:hint="eastAsia"/>
                      <w:lang w:val="en-US" w:eastAsia="zh-CN"/>
                    </w:rPr>
                  </w:pPr>
                  <w:r>
                    <w:rPr>
                      <w:rFonts w:hint="eastAsia"/>
                      <w:lang w:val="en-US" w:eastAsia="zh-CN"/>
                    </w:rPr>
                    <w:t>禁止焚烧秸秆和垃圾，到2025年底，秸秆综合利用率达到86%以上。</w:t>
                  </w:r>
                </w:p>
                <w:p>
                  <w:pPr>
                    <w:pStyle w:val="15"/>
                    <w:bidi w:val="0"/>
                    <w:jc w:val="center"/>
                    <w:rPr>
                      <w:rFonts w:hint="eastAsia"/>
                      <w:lang w:val="en-US" w:eastAsia="zh-CN"/>
                    </w:rPr>
                  </w:pPr>
                </w:p>
                <w:p>
                  <w:pPr>
                    <w:pStyle w:val="15"/>
                    <w:bidi w:val="0"/>
                    <w:jc w:val="center"/>
                    <w:rPr>
                      <w:rFonts w:hint="eastAsia"/>
                      <w:lang w:val="en-US" w:eastAsia="zh-CN"/>
                    </w:rPr>
                  </w:pPr>
                  <w:r>
                    <w:rPr>
                      <w:rFonts w:hint="eastAsia"/>
                      <w:lang w:val="en-US" w:eastAsia="zh-CN"/>
                    </w:rPr>
                    <w:t>禁燃区要求</w:t>
                  </w:r>
                </w:p>
                <w:p>
                  <w:pPr>
                    <w:pStyle w:val="15"/>
                    <w:bidi w:val="0"/>
                    <w:jc w:val="center"/>
                    <w:rPr>
                      <w:rFonts w:hint="eastAsia"/>
                      <w:lang w:val="en-US" w:eastAsia="zh-CN"/>
                    </w:rPr>
                  </w:pPr>
                  <w:r>
                    <w:rPr>
                      <w:rFonts w:hint="eastAsia"/>
                      <w:lang w:val="en-US" w:eastAsia="zh-CN"/>
                    </w:rPr>
                    <w:t>-高污染燃料禁燃区内禁止燃用的燃料为《高污染燃料目录》（2017）中III类（严格）燃料组合，包括：（一）煤炭及其制品；（二）石油焦、油页岩、原油、重油、渣油、煤焦油；（三）非专用锅炉或未配置高效除尘设施的专用锅炉燃用的生物质成型燃料。</w:t>
                  </w:r>
                </w:p>
                <w:p>
                  <w:pPr>
                    <w:pStyle w:val="15"/>
                    <w:bidi w:val="0"/>
                    <w:jc w:val="center"/>
                    <w:rPr>
                      <w:rFonts w:hint="eastAsia"/>
                      <w:lang w:val="en-US" w:eastAsia="zh-CN"/>
                    </w:rPr>
                  </w:pPr>
                  <w:r>
                    <w:rPr>
                      <w:rFonts w:hint="eastAsia"/>
                      <w:lang w:val="en-US" w:eastAsia="zh-CN"/>
                    </w:rPr>
                    <w:t>-禁燃区内禁止销售、燃用高污染燃料；禁止新建、改建、扩建燃用高污染燃料的设施和设备。</w:t>
                  </w:r>
                </w:p>
                <w:p>
                  <w:pPr>
                    <w:pStyle w:val="15"/>
                    <w:bidi w:val="0"/>
                    <w:jc w:val="center"/>
                    <w:rPr>
                      <w:rFonts w:hint="eastAsia"/>
                      <w:lang w:val="en-US" w:eastAsia="zh-CN"/>
                    </w:rPr>
                  </w:pPr>
                  <w:r>
                    <w:rPr>
                      <w:rFonts w:hint="eastAsia"/>
                      <w:lang w:val="en-US" w:eastAsia="zh-CN"/>
                    </w:rPr>
                    <w:t>-禁燃区内已建成的高污染燃料燃用设施由辖区人民政府制定限期改造计划，改用天然气、页岩气、液化石油气、电或其他清洁能源。</w:t>
                  </w:r>
                </w:p>
                <w:p>
                  <w:pPr>
                    <w:pStyle w:val="15"/>
                    <w:bidi w:val="0"/>
                    <w:jc w:val="center"/>
                    <w:rPr>
                      <w:rFonts w:hint="eastAsia"/>
                      <w:lang w:val="en-US" w:eastAsia="zh-CN"/>
                    </w:rPr>
                  </w:pPr>
                </w:p>
                <w:p>
                  <w:pPr>
                    <w:pStyle w:val="15"/>
                    <w:bidi w:val="0"/>
                    <w:jc w:val="center"/>
                    <w:rPr>
                      <w:rFonts w:hint="eastAsia"/>
                      <w:lang w:val="en-US" w:eastAsia="zh-CN"/>
                    </w:rPr>
                  </w:pPr>
                  <w:r>
                    <w:rPr>
                      <w:rFonts w:hint="eastAsia"/>
                      <w:lang w:val="en-US" w:eastAsia="zh-CN"/>
                    </w:rPr>
                    <w:t>其他资源利用效率要求</w:t>
                  </w:r>
                </w:p>
                <w:p>
                  <w:pPr>
                    <w:pStyle w:val="15"/>
                    <w:bidi w:val="0"/>
                    <w:jc w:val="center"/>
                    <w:rPr>
                      <w:rFonts w:hint="eastAsia"/>
                      <w:lang w:val="en-US" w:eastAsia="zh-CN"/>
                    </w:rPr>
                  </w:pPr>
                  <w:r>
                    <w:rPr>
                      <w:rFonts w:hint="eastAsia"/>
                      <w:lang w:val="en-US" w:eastAsia="zh-CN"/>
                    </w:rPr>
                    <w:t>暂无</w:t>
                  </w:r>
                </w:p>
              </w:tc>
              <w:tc>
                <w:tcPr>
                  <w:tcW w:w="262" w:type="pct"/>
                  <w:tcBorders>
                    <w:tl2br w:val="nil"/>
                    <w:tr2bl w:val="nil"/>
                  </w:tcBorders>
                  <w:noWrap w:val="0"/>
                  <w:vAlign w:val="center"/>
                </w:tcPr>
                <w:p>
                  <w:pPr>
                    <w:pStyle w:val="15"/>
                    <w:bidi w:val="0"/>
                    <w:jc w:val="center"/>
                    <w:rPr>
                      <w:lang w:val="en-US" w:eastAsia="zh-CN"/>
                    </w:rPr>
                  </w:pPr>
                  <w:r>
                    <w:rPr>
                      <w:rFonts w:hint="eastAsia"/>
                      <w:lang w:val="en-US" w:eastAsia="zh-CN"/>
                    </w:rPr>
                    <w:t>环境风险防控</w:t>
                  </w:r>
                </w:p>
              </w:tc>
              <w:tc>
                <w:tcPr>
                  <w:tcW w:w="1336" w:type="pct"/>
                  <w:tcBorders>
                    <w:tl2br w:val="nil"/>
                    <w:tr2bl w:val="nil"/>
                  </w:tcBorders>
                  <w:noWrap w:val="0"/>
                  <w:vAlign w:val="center"/>
                </w:tcPr>
                <w:p>
                  <w:pPr>
                    <w:pStyle w:val="15"/>
                    <w:bidi w:val="0"/>
                    <w:jc w:val="center"/>
                    <w:rPr>
                      <w:lang w:val="en-US" w:eastAsia="zh-CN"/>
                    </w:rPr>
                  </w:pPr>
                  <w:r>
                    <w:rPr>
                      <w:rFonts w:hint="eastAsia"/>
                      <w:lang w:val="en-US" w:eastAsia="zh-CN"/>
                    </w:rPr>
                    <w:t>严格管控类农用地管控要求</w:t>
                  </w:r>
                </w:p>
                <w:p>
                  <w:pPr>
                    <w:pStyle w:val="15"/>
                    <w:bidi w:val="0"/>
                    <w:jc w:val="center"/>
                    <w:rPr>
                      <w:rFonts w:hint="eastAsia"/>
                      <w:lang w:val="en-US" w:eastAsia="zh-CN"/>
                    </w:rPr>
                  </w:pPr>
                  <w:r>
                    <w:rPr>
                      <w:rFonts w:hint="eastAsia"/>
                      <w:lang w:val="en-US" w:eastAsia="zh-CN"/>
                    </w:rPr>
                    <w:t>同达州市一般管控单元总体准入要求</w:t>
                  </w:r>
                </w:p>
                <w:p>
                  <w:pPr>
                    <w:pStyle w:val="15"/>
                    <w:bidi w:val="0"/>
                    <w:jc w:val="center"/>
                    <w:rPr>
                      <w:rFonts w:hint="eastAsia"/>
                      <w:lang w:val="en-US" w:eastAsia="zh-CN"/>
                    </w:rPr>
                  </w:pPr>
                  <w:r>
                    <w:rPr>
                      <w:rFonts w:hint="eastAsia"/>
                      <w:lang w:val="en-US" w:eastAsia="zh-CN"/>
                    </w:rPr>
                    <w:t>安全利用类农用地管控要求</w:t>
                  </w:r>
                </w:p>
                <w:p>
                  <w:pPr>
                    <w:pStyle w:val="15"/>
                    <w:bidi w:val="0"/>
                    <w:jc w:val="center"/>
                    <w:rPr>
                      <w:rFonts w:hint="eastAsia"/>
                      <w:lang w:val="en-US" w:eastAsia="zh-CN"/>
                    </w:rPr>
                  </w:pPr>
                  <w:r>
                    <w:rPr>
                      <w:rFonts w:hint="eastAsia"/>
                      <w:lang w:val="en-US" w:eastAsia="zh-CN"/>
                    </w:rPr>
                    <w:t>同达州市一般管控单元总体准入要求</w:t>
                  </w:r>
                </w:p>
                <w:p>
                  <w:pPr>
                    <w:pStyle w:val="15"/>
                    <w:bidi w:val="0"/>
                    <w:jc w:val="center"/>
                    <w:rPr>
                      <w:rFonts w:hint="eastAsia"/>
                      <w:lang w:val="en-US" w:eastAsia="zh-CN"/>
                    </w:rPr>
                  </w:pPr>
                  <w:r>
                    <w:rPr>
                      <w:rFonts w:hint="eastAsia"/>
                      <w:lang w:val="en-US" w:eastAsia="zh-CN"/>
                    </w:rPr>
                    <w:t>污染地块管控要求</w:t>
                  </w:r>
                </w:p>
                <w:p>
                  <w:pPr>
                    <w:pStyle w:val="15"/>
                    <w:bidi w:val="0"/>
                    <w:jc w:val="center"/>
                    <w:rPr>
                      <w:rFonts w:hint="eastAsia"/>
                      <w:lang w:val="en-US" w:eastAsia="zh-CN"/>
                    </w:rPr>
                  </w:pPr>
                  <w:r>
                    <w:rPr>
                      <w:rFonts w:hint="eastAsia"/>
                      <w:lang w:val="en-US" w:eastAsia="zh-CN"/>
                    </w:rPr>
                    <w:t>同达州市一般管控单元总体准入要求</w:t>
                  </w:r>
                </w:p>
                <w:p>
                  <w:pPr>
                    <w:pStyle w:val="15"/>
                    <w:bidi w:val="0"/>
                    <w:jc w:val="center"/>
                    <w:rPr>
                      <w:rFonts w:hint="eastAsia"/>
                      <w:lang w:val="en-US" w:eastAsia="zh-CN"/>
                    </w:rPr>
                  </w:pPr>
                  <w:r>
                    <w:rPr>
                      <w:rFonts w:hint="eastAsia"/>
                      <w:lang w:val="en-US" w:eastAsia="zh-CN"/>
                    </w:rPr>
                    <w:t>园区环境风险防控要求</w:t>
                  </w:r>
                </w:p>
                <w:p>
                  <w:pPr>
                    <w:pStyle w:val="15"/>
                    <w:bidi w:val="0"/>
                    <w:jc w:val="center"/>
                    <w:rPr>
                      <w:rFonts w:hint="eastAsia"/>
                      <w:lang w:val="en-US" w:eastAsia="zh-CN"/>
                    </w:rPr>
                  </w:pPr>
                  <w:r>
                    <w:rPr>
                      <w:rFonts w:hint="eastAsia"/>
                      <w:lang w:val="en-US" w:eastAsia="zh-CN"/>
                    </w:rPr>
                    <w:t>企业环境风险防控要求</w:t>
                  </w:r>
                </w:p>
                <w:p>
                  <w:pPr>
                    <w:pStyle w:val="15"/>
                    <w:bidi w:val="0"/>
                    <w:jc w:val="center"/>
                    <w:rPr>
                      <w:rFonts w:hint="eastAsia"/>
                      <w:lang w:val="en-US" w:eastAsia="zh-CN"/>
                    </w:rPr>
                  </w:pPr>
                  <w:r>
                    <w:rPr>
                      <w:rFonts w:hint="eastAsia"/>
                      <w:lang w:val="en-US" w:eastAsia="zh-CN"/>
                    </w:rPr>
                    <w:t>同达州市一般管控单元总体准入要求</w:t>
                  </w:r>
                </w:p>
                <w:p>
                  <w:pPr>
                    <w:pStyle w:val="15"/>
                    <w:bidi w:val="0"/>
                    <w:jc w:val="center"/>
                    <w:rPr>
                      <w:rFonts w:hint="eastAsia"/>
                      <w:lang w:val="en-US" w:eastAsia="zh-CN"/>
                    </w:rPr>
                  </w:pPr>
                  <w:r>
                    <w:rPr>
                      <w:rFonts w:hint="eastAsia"/>
                      <w:lang w:val="en-US" w:eastAsia="zh-CN"/>
                    </w:rPr>
                    <w:t>其他环境风险防控要求</w:t>
                  </w:r>
                </w:p>
              </w:tc>
              <w:tc>
                <w:tcPr>
                  <w:tcW w:w="870" w:type="pct"/>
                  <w:tcBorders>
                    <w:tl2br w:val="nil"/>
                    <w:tr2bl w:val="nil"/>
                  </w:tcBorders>
                  <w:noWrap w:val="0"/>
                  <w:vAlign w:val="center"/>
                </w:tcPr>
                <w:p>
                  <w:pPr>
                    <w:pStyle w:val="15"/>
                    <w:bidi w:val="0"/>
                    <w:jc w:val="center"/>
                    <w:rPr>
                      <w:rFonts w:hint="eastAsia"/>
                      <w:lang w:val="en-US" w:eastAsia="zh-CN"/>
                    </w:rPr>
                  </w:pPr>
                  <w:r>
                    <w:rPr>
                      <w:rFonts w:hint="eastAsia"/>
                      <w:color w:val="auto"/>
                      <w:lang w:val="en-US" w:eastAsia="zh-CN"/>
                    </w:rPr>
                    <w:t>本项目属于防洪治理工程，环境风险可控</w:t>
                  </w:r>
                </w:p>
              </w:tc>
              <w:tc>
                <w:tcPr>
                  <w:tcW w:w="312" w:type="pct"/>
                  <w:tcBorders>
                    <w:tl2br w:val="nil"/>
                    <w:tr2bl w:val="nil"/>
                  </w:tcBorders>
                  <w:noWrap w:val="0"/>
                  <w:vAlign w:val="center"/>
                </w:tcPr>
                <w:p>
                  <w:pPr>
                    <w:pStyle w:val="15"/>
                    <w:bidi w:val="0"/>
                    <w:jc w:val="center"/>
                    <w:rPr>
                      <w:rFonts w:hint="default"/>
                      <w:lang w:val="en-US" w:eastAsia="zh-CN"/>
                    </w:rPr>
                  </w:pPr>
                  <w:r>
                    <w:rPr>
                      <w:rFonts w:hint="eastAsia"/>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5" w:type="pct"/>
                  <w:vMerge w:val="continue"/>
                  <w:tcBorders>
                    <w:tl2br w:val="nil"/>
                    <w:tr2bl w:val="nil"/>
                  </w:tcBorders>
                  <w:noWrap w:val="0"/>
                  <w:vAlign w:val="center"/>
                </w:tcPr>
                <w:p>
                  <w:pPr>
                    <w:pStyle w:val="15"/>
                    <w:bidi w:val="0"/>
                    <w:jc w:val="center"/>
                    <w:rPr>
                      <w:lang w:val="en-US" w:eastAsia="zh-CN"/>
                    </w:rPr>
                  </w:pPr>
                  <w:r>
                    <w:rPr>
                      <w:rFonts w:hint="eastAsia"/>
                      <w:lang w:val="en-US" w:eastAsia="zh-CN"/>
                    </w:rPr>
                    <w:t>ZH51172230001</w:t>
                  </w:r>
                </w:p>
              </w:tc>
              <w:tc>
                <w:tcPr>
                  <w:tcW w:w="308" w:type="pct"/>
                  <w:vMerge w:val="continue"/>
                  <w:tcBorders>
                    <w:tl2br w:val="nil"/>
                    <w:tr2bl w:val="nil"/>
                  </w:tcBorders>
                  <w:noWrap w:val="0"/>
                  <w:vAlign w:val="center"/>
                </w:tcPr>
                <w:p>
                  <w:pPr>
                    <w:pStyle w:val="15"/>
                    <w:bidi w:val="0"/>
                    <w:jc w:val="center"/>
                    <w:rPr>
                      <w:lang w:val="en-US" w:eastAsia="zh-CN"/>
                    </w:rPr>
                  </w:pPr>
                  <w:r>
                    <w:rPr>
                      <w:rFonts w:hint="eastAsia"/>
                      <w:lang w:val="en-US" w:eastAsia="zh-CN"/>
                    </w:rPr>
                    <w:t>宣汉县一般管控单元</w:t>
                  </w:r>
                </w:p>
              </w:tc>
              <w:tc>
                <w:tcPr>
                  <w:tcW w:w="1254" w:type="pct"/>
                  <w:vMerge w:val="continue"/>
                  <w:tcBorders>
                    <w:tl2br w:val="nil"/>
                    <w:tr2bl w:val="nil"/>
                  </w:tcBorders>
                  <w:noWrap w:val="0"/>
                  <w:vAlign w:val="center"/>
                </w:tcPr>
                <w:p>
                  <w:pPr>
                    <w:pStyle w:val="15"/>
                    <w:bidi w:val="0"/>
                    <w:jc w:val="center"/>
                    <w:rPr>
                      <w:lang w:val="en-US" w:eastAsia="zh-CN"/>
                    </w:rPr>
                  </w:pPr>
                  <w:r>
                    <w:rPr>
                      <w:rFonts w:hint="eastAsia"/>
                      <w:lang w:val="en-US" w:eastAsia="zh-CN"/>
                    </w:rPr>
                    <w:t>空间布局约束：</w:t>
                  </w:r>
                </w:p>
                <w:p>
                  <w:pPr>
                    <w:pStyle w:val="15"/>
                    <w:bidi w:val="0"/>
                    <w:jc w:val="center"/>
                    <w:rPr>
                      <w:rFonts w:hint="eastAsia"/>
                      <w:lang w:val="en-US" w:eastAsia="zh-CN"/>
                    </w:rPr>
                  </w:pPr>
                  <w:r>
                    <w:rPr>
                      <w:rFonts w:hint="eastAsia"/>
                      <w:lang w:val="en-US" w:eastAsia="zh-CN"/>
                    </w:rPr>
                    <w:t>禁止开发建设活动的要求</w:t>
                  </w:r>
                </w:p>
                <w:p>
                  <w:pPr>
                    <w:pStyle w:val="15"/>
                    <w:bidi w:val="0"/>
                    <w:jc w:val="center"/>
                    <w:rPr>
                      <w:rFonts w:hint="eastAsia"/>
                      <w:lang w:val="en-US" w:eastAsia="zh-CN"/>
                    </w:rPr>
                  </w:pPr>
                  <w:r>
                    <w:rPr>
                      <w:rFonts w:hint="eastAsia"/>
                      <w:lang w:val="en-US" w:eastAsia="zh-CN"/>
                    </w:rPr>
                    <w:t>-禁止在长江干支流1公里范围内新建、扩建化工园区和化工项目。</w:t>
                  </w:r>
                </w:p>
                <w:p>
                  <w:pPr>
                    <w:pStyle w:val="15"/>
                    <w:bidi w:val="0"/>
                    <w:jc w:val="center"/>
                    <w:rPr>
                      <w:rFonts w:hint="eastAsia"/>
                      <w:lang w:val="en-US" w:eastAsia="zh-CN"/>
                    </w:rPr>
                  </w:pPr>
                  <w:r>
                    <w:rPr>
                      <w:rFonts w:hint="eastAsia"/>
                      <w:lang w:val="en-US" w:eastAsia="zh-CN"/>
                    </w:rPr>
                    <w:t>-禁止在法律法规规定的禁采区内新建矿山；禁止土法采、选、冶严重污染环境的矿产资源。</w:t>
                  </w:r>
                </w:p>
                <w:p>
                  <w:pPr>
                    <w:pStyle w:val="15"/>
                    <w:bidi w:val="0"/>
                    <w:jc w:val="center"/>
                    <w:rPr>
                      <w:rFonts w:hint="eastAsia"/>
                      <w:lang w:val="en-US" w:eastAsia="zh-CN"/>
                    </w:rPr>
                  </w:pPr>
                  <w:r>
                    <w:rPr>
                      <w:rFonts w:hint="eastAsia"/>
                      <w:lang w:val="en-US" w:eastAsia="zh-CN"/>
                    </w:rPr>
                    <w:t>-涉及永久基本农田的区域，除法律规定的重点建设项目选址确实无法避让外，其他任何建设不得占用。</w:t>
                  </w:r>
                </w:p>
                <w:p>
                  <w:pPr>
                    <w:pStyle w:val="15"/>
                    <w:bidi w:val="0"/>
                    <w:jc w:val="center"/>
                    <w:rPr>
                      <w:rFonts w:hint="eastAsia"/>
                      <w:lang w:val="en-US" w:eastAsia="zh-CN"/>
                    </w:rPr>
                  </w:pPr>
                  <w:r>
                    <w:rPr>
                      <w:rFonts w:hint="eastAsia"/>
                      <w:lang w:val="en-US" w:eastAsia="zh-CN"/>
                    </w:rPr>
                    <w:t>-禁止在长江流域河湖管理范围内倾倒、填埋、堆放、弃置、处理固体废物。</w:t>
                  </w:r>
                </w:p>
                <w:p>
                  <w:pPr>
                    <w:pStyle w:val="15"/>
                    <w:bidi w:val="0"/>
                    <w:jc w:val="center"/>
                    <w:rPr>
                      <w:rFonts w:hint="eastAsia"/>
                      <w:lang w:val="en-US" w:eastAsia="zh-CN"/>
                    </w:rPr>
                  </w:pPr>
                </w:p>
                <w:p>
                  <w:pPr>
                    <w:pStyle w:val="15"/>
                    <w:bidi w:val="0"/>
                    <w:jc w:val="center"/>
                    <w:rPr>
                      <w:rFonts w:hint="eastAsia"/>
                      <w:lang w:val="en-US" w:eastAsia="zh-CN"/>
                    </w:rPr>
                  </w:pPr>
                  <w:r>
                    <w:rPr>
                      <w:rFonts w:hint="eastAsia"/>
                      <w:lang w:val="en-US" w:eastAsia="zh-CN"/>
                    </w:rPr>
                    <w:t>限制开发建设活动的要求</w:t>
                  </w:r>
                </w:p>
                <w:p>
                  <w:pPr>
                    <w:pStyle w:val="15"/>
                    <w:bidi w:val="0"/>
                    <w:jc w:val="center"/>
                    <w:rPr>
                      <w:rFonts w:hint="eastAsia"/>
                      <w:lang w:val="en-US" w:eastAsia="zh-CN"/>
                    </w:rPr>
                  </w:pPr>
                  <w:r>
                    <w:rPr>
                      <w:rFonts w:hint="eastAsia"/>
                      <w:lang w:val="en-US" w:eastAsia="zh-CN"/>
                    </w:rPr>
                    <w:t>-按照相关要求严控水泥新增产能。</w:t>
                  </w:r>
                </w:p>
                <w:p>
                  <w:pPr>
                    <w:pStyle w:val="15"/>
                    <w:bidi w:val="0"/>
                    <w:jc w:val="center"/>
                    <w:rPr>
                      <w:rFonts w:hint="eastAsia"/>
                      <w:lang w:val="en-US" w:eastAsia="zh-CN"/>
                    </w:rPr>
                  </w:pPr>
                  <w:r>
                    <w:rPr>
                      <w:rFonts w:hint="eastAsia"/>
                      <w:lang w:val="en-US" w:eastAsia="zh-CN"/>
                    </w:rPr>
                    <w:t>涉及法定保护地，严格按照国家及地方法律法规、管理办法等相关要求进行控制。配套旅游、基础设施等建设项目，在符合规划和相关保护要求的前提下，应实施生态避让、减缓影响及生态恢复措施。</w:t>
                  </w:r>
                </w:p>
                <w:p>
                  <w:pPr>
                    <w:pStyle w:val="15"/>
                    <w:bidi w:val="0"/>
                    <w:jc w:val="center"/>
                    <w:rPr>
                      <w:rFonts w:hint="eastAsia"/>
                      <w:lang w:val="en-US" w:eastAsia="zh-CN"/>
                    </w:rPr>
                  </w:pPr>
                  <w:r>
                    <w:rPr>
                      <w:rFonts w:hint="eastAsia"/>
                      <w:lang w:val="en-US" w:eastAsia="zh-CN"/>
                    </w:rPr>
                    <w:t>按照相关要求严控水泥新增产能。</w:t>
                  </w:r>
                </w:p>
                <w:p>
                  <w:pPr>
                    <w:pStyle w:val="15"/>
                    <w:bidi w:val="0"/>
                    <w:jc w:val="center"/>
                    <w:rPr>
                      <w:rFonts w:hint="eastAsia"/>
                      <w:lang w:val="en-US" w:eastAsia="zh-CN"/>
                    </w:rPr>
                  </w:pPr>
                  <w:r>
                    <w:rPr>
                      <w:rFonts w:hint="eastAsia"/>
                      <w:lang w:val="en-US" w:eastAsia="zh-CN"/>
                    </w:rPr>
                    <w:t>禁止在长江干流岸线三公里范围内和重要支流岸线一公里范围内新建、改建、扩建尾矿库；但是以提升安全、生态环境保护水平为目的的改建除外。</w:t>
                  </w:r>
                </w:p>
                <w:p>
                  <w:pPr>
                    <w:pStyle w:val="15"/>
                    <w:bidi w:val="0"/>
                    <w:jc w:val="center"/>
                    <w:rPr>
                      <w:rFonts w:hint="eastAsia"/>
                      <w:lang w:val="en-US" w:eastAsia="zh-CN"/>
                    </w:rPr>
                  </w:pPr>
                </w:p>
                <w:p>
                  <w:pPr>
                    <w:pStyle w:val="15"/>
                    <w:bidi w:val="0"/>
                    <w:jc w:val="center"/>
                    <w:rPr>
                      <w:rFonts w:hint="eastAsia"/>
                      <w:lang w:val="en-US" w:eastAsia="zh-CN"/>
                    </w:rPr>
                  </w:pPr>
                </w:p>
                <w:p>
                  <w:pPr>
                    <w:pStyle w:val="15"/>
                    <w:bidi w:val="0"/>
                    <w:jc w:val="center"/>
                    <w:rPr>
                      <w:rFonts w:hint="eastAsia"/>
                      <w:lang w:val="en-US" w:eastAsia="zh-CN"/>
                    </w:rPr>
                  </w:pPr>
                  <w:r>
                    <w:rPr>
                      <w:rFonts w:hint="eastAsia"/>
                      <w:lang w:val="en-US" w:eastAsia="zh-CN"/>
                    </w:rPr>
                    <w:t>不符合空间布局要求活动的退出要求</w:t>
                  </w:r>
                </w:p>
                <w:p>
                  <w:pPr>
                    <w:pStyle w:val="15"/>
                    <w:bidi w:val="0"/>
                    <w:jc w:val="center"/>
                    <w:rPr>
                      <w:rFonts w:hint="eastAsia"/>
                      <w:lang w:val="en-US" w:eastAsia="zh-CN"/>
                    </w:rPr>
                  </w:pPr>
                  <w:r>
                    <w:rPr>
                      <w:rFonts w:hint="eastAsia"/>
                      <w:lang w:val="en-US" w:eastAsia="zh-CN"/>
                    </w:rPr>
                    <w:t>针对现有水泥企业，强化污染治理和污染物减排，依法依规整治或搬迁。</w:t>
                  </w:r>
                </w:p>
                <w:p>
                  <w:pPr>
                    <w:pStyle w:val="15"/>
                    <w:bidi w:val="0"/>
                    <w:jc w:val="center"/>
                    <w:rPr>
                      <w:rFonts w:hint="eastAsia"/>
                      <w:lang w:val="en-US" w:eastAsia="zh-CN"/>
                    </w:rPr>
                  </w:pPr>
                  <w:r>
                    <w:rPr>
                      <w:rFonts w:hint="eastAsia"/>
                      <w:lang w:val="en-US" w:eastAsia="zh-CN"/>
                    </w:rPr>
                    <w:t>全面取缔禁养区内规模化畜禽养殖场。</w:t>
                  </w:r>
                </w:p>
                <w:p>
                  <w:pPr>
                    <w:pStyle w:val="15"/>
                    <w:bidi w:val="0"/>
                    <w:jc w:val="center"/>
                    <w:rPr>
                      <w:rFonts w:hint="eastAsia"/>
                      <w:lang w:val="en-US" w:eastAsia="zh-CN"/>
                    </w:rPr>
                  </w:pPr>
                  <w:r>
                    <w:rPr>
                      <w:rFonts w:hint="eastAsia"/>
                      <w:lang w:val="en-US" w:eastAsia="zh-CN"/>
                    </w:rPr>
                    <w:t>2025年基本完成全域内“散乱污”企业整治工作。</w:t>
                  </w:r>
                </w:p>
                <w:p>
                  <w:pPr>
                    <w:pStyle w:val="15"/>
                    <w:bidi w:val="0"/>
                    <w:jc w:val="center"/>
                    <w:rPr>
                      <w:rFonts w:hint="eastAsia"/>
                      <w:lang w:val="en-US" w:eastAsia="zh-CN"/>
                    </w:rPr>
                  </w:pPr>
                  <w:r>
                    <w:rPr>
                      <w:rFonts w:hint="eastAsia"/>
                      <w:lang w:val="en-US" w:eastAsia="zh-CN"/>
                    </w:rPr>
                    <w:t>在全市范围深入开展集中整治“散乱污”工业企业，对不符合产业政策和规划布局的，一律责令停产、限期搬迁或关停；</w:t>
                  </w:r>
                </w:p>
                <w:p>
                  <w:pPr>
                    <w:pStyle w:val="15"/>
                    <w:bidi w:val="0"/>
                    <w:jc w:val="center"/>
                    <w:rPr>
                      <w:rFonts w:hint="eastAsia"/>
                      <w:lang w:val="en-US" w:eastAsia="zh-CN"/>
                    </w:rPr>
                  </w:pPr>
                  <w:r>
                    <w:rPr>
                      <w:rFonts w:hint="eastAsia"/>
                      <w:lang w:val="en-US" w:eastAsia="zh-CN"/>
                    </w:rPr>
                    <w:t>其他空间布局约束要求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污染物排放管控：</w:t>
                  </w:r>
                </w:p>
                <w:p>
                  <w:pPr>
                    <w:pStyle w:val="15"/>
                    <w:bidi w:val="0"/>
                    <w:jc w:val="center"/>
                    <w:rPr>
                      <w:rFonts w:hint="eastAsia"/>
                      <w:lang w:val="en-US" w:eastAsia="zh-CN"/>
                    </w:rPr>
                  </w:pPr>
                  <w:r>
                    <w:rPr>
                      <w:rFonts w:hint="eastAsia"/>
                      <w:lang w:val="en-US" w:eastAsia="zh-CN"/>
                    </w:rPr>
                    <w:t>允许排放量要求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现有源提标升级改造</w:t>
                  </w:r>
                </w:p>
                <w:p>
                  <w:pPr>
                    <w:pStyle w:val="15"/>
                    <w:bidi w:val="0"/>
                    <w:jc w:val="center"/>
                    <w:rPr>
                      <w:rFonts w:hint="eastAsia"/>
                      <w:lang w:val="en-US" w:eastAsia="zh-CN"/>
                    </w:rPr>
                  </w:pPr>
                  <w:r>
                    <w:rPr>
                      <w:rFonts w:hint="eastAsia"/>
                      <w:lang w:val="en-US" w:eastAsia="zh-CN"/>
                    </w:rPr>
                    <w:t>加快现有乡镇污水处理设施升级改造，按要求达《城镇污水处理厂污染物排放标准》一级A标后排放。</w:t>
                  </w:r>
                </w:p>
                <w:p>
                  <w:pPr>
                    <w:pStyle w:val="15"/>
                    <w:bidi w:val="0"/>
                    <w:jc w:val="center"/>
                    <w:rPr>
                      <w:rFonts w:hint="eastAsia"/>
                      <w:lang w:val="en-US" w:eastAsia="zh-CN"/>
                    </w:rPr>
                  </w:pPr>
                  <w:r>
                    <w:rPr>
                      <w:rFonts w:hint="eastAsia"/>
                      <w:lang w:val="en-US" w:eastAsia="zh-CN"/>
                    </w:rPr>
                    <w:t>在矿产资源开发活动集中区域，废水执行重金属污染物排放特别限值。</w:t>
                  </w:r>
                </w:p>
                <w:p>
                  <w:pPr>
                    <w:pStyle w:val="15"/>
                    <w:bidi w:val="0"/>
                    <w:jc w:val="center"/>
                    <w:rPr>
                      <w:rFonts w:hint="eastAsia"/>
                      <w:lang w:val="en-US" w:eastAsia="zh-CN"/>
                    </w:rPr>
                  </w:pPr>
                  <w:r>
                    <w:rPr>
                      <w:rFonts w:hint="eastAsia"/>
                      <w:lang w:val="en-US" w:eastAsia="zh-CN"/>
                    </w:rPr>
                    <w:t>火电、水泥等行业按相关要求推进大气污染物超低排放和深度治理。</w:t>
                  </w:r>
                </w:p>
                <w:p>
                  <w:pPr>
                    <w:pStyle w:val="15"/>
                    <w:bidi w:val="0"/>
                    <w:jc w:val="center"/>
                    <w:rPr>
                      <w:rFonts w:hint="eastAsia"/>
                      <w:lang w:val="en-US" w:eastAsia="zh-CN"/>
                    </w:rPr>
                  </w:pPr>
                  <w:r>
                    <w:rPr>
                      <w:rFonts w:hint="eastAsia"/>
                      <w:lang w:val="en-US" w:eastAsia="zh-CN"/>
                    </w:rPr>
                    <w:t>砖瓦行业实施脱硫、除尘升级改造，污染物排放达到《砖瓦工业大气污染物排放标准》相关要求。</w:t>
                  </w:r>
                </w:p>
                <w:p>
                  <w:pPr>
                    <w:pStyle w:val="15"/>
                    <w:bidi w:val="0"/>
                    <w:jc w:val="center"/>
                    <w:rPr>
                      <w:rFonts w:hint="eastAsia"/>
                      <w:lang w:val="en-US" w:eastAsia="zh-CN"/>
                    </w:rPr>
                  </w:pPr>
                </w:p>
                <w:p>
                  <w:pPr>
                    <w:pStyle w:val="15"/>
                    <w:bidi w:val="0"/>
                    <w:jc w:val="center"/>
                    <w:rPr>
                      <w:rFonts w:hint="eastAsia"/>
                      <w:lang w:val="en-US" w:eastAsia="zh-CN"/>
                    </w:rPr>
                  </w:pPr>
                  <w:r>
                    <w:rPr>
                      <w:rFonts w:hint="eastAsia"/>
                      <w:lang w:val="en-US" w:eastAsia="zh-CN"/>
                    </w:rPr>
                    <w:t>其他污染物排放管控要求</w:t>
                  </w:r>
                </w:p>
                <w:p>
                  <w:pPr>
                    <w:pStyle w:val="15"/>
                    <w:bidi w:val="0"/>
                    <w:jc w:val="center"/>
                    <w:rPr>
                      <w:rFonts w:hint="eastAsia"/>
                      <w:lang w:val="en-US" w:eastAsia="zh-CN"/>
                    </w:rPr>
                  </w:pPr>
                  <w:r>
                    <w:rPr>
                      <w:rFonts w:hint="eastAsia"/>
                      <w:lang w:val="en-US" w:eastAsia="zh-CN"/>
                    </w:rPr>
                    <w:t>新增源等量或倍量替代:上一年度水环境质量未完成目标的，新建排放水污染的建设项目按照总量管控要求进行倍量削减替代。上一年度空气质量年平均浓度不达标的城市，建设项目新增相关污染物按照总量管控要求进行倍量削减替代。大气环境重点管控区内，新增大气污染物排放的建设项目实施总量削减替代。污染物排放绩效水平准入要求:屠宰项目必须配套污水处理设施或进入城市污水管网。</w:t>
                  </w:r>
                </w:p>
                <w:p>
                  <w:pPr>
                    <w:pStyle w:val="15"/>
                    <w:bidi w:val="0"/>
                    <w:jc w:val="center"/>
                    <w:rPr>
                      <w:rFonts w:hint="eastAsia"/>
                      <w:lang w:val="en-US" w:eastAsia="zh-CN"/>
                    </w:rPr>
                  </w:pPr>
                  <w:r>
                    <w:rPr>
                      <w:rFonts w:hint="eastAsia"/>
                      <w:lang w:val="en-US" w:eastAsia="zh-CN"/>
                    </w:rPr>
                    <w:t>大气环境重点管控区内加强“高架源”污染治理，深化施工扬尘监管，严格落实“六必须、六不准”管控要求，强化道路施工管控，提高道路清扫机械化和精细化作业水平。-至2022年底，基本实现乡镇污水处理设施全覆盖，配套建设污水收集管网，乡镇污水处理率达到65%。</w:t>
                  </w:r>
                </w:p>
                <w:p>
                  <w:pPr>
                    <w:pStyle w:val="15"/>
                    <w:bidi w:val="0"/>
                    <w:jc w:val="center"/>
                    <w:rPr>
                      <w:rFonts w:hint="eastAsia"/>
                      <w:lang w:val="en-US" w:eastAsia="zh-CN"/>
                    </w:rPr>
                  </w:pPr>
                  <w:r>
                    <w:rPr>
                      <w:rFonts w:hint="eastAsia"/>
                      <w:lang w:val="en-US" w:eastAsia="zh-CN"/>
                    </w:rPr>
                    <w:t>-到2023年底，力争全市生活垃圾焚烧处理能力占比达60%以上，各县（市）生活垃圾无害化处理率保持95%以上，乡镇及行政村生活垃圾收转运处置体系基本实现全覆盖。</w:t>
                  </w:r>
                </w:p>
                <w:p>
                  <w:pPr>
                    <w:pStyle w:val="15"/>
                    <w:bidi w:val="0"/>
                    <w:jc w:val="center"/>
                    <w:rPr>
                      <w:rFonts w:hint="eastAsia"/>
                      <w:lang w:val="en-US" w:eastAsia="zh-CN"/>
                    </w:rPr>
                  </w:pPr>
                  <w:r>
                    <w:rPr>
                      <w:rFonts w:hint="eastAsia"/>
                      <w:lang w:val="en-US" w:eastAsia="zh-CN"/>
                    </w:rPr>
                    <w:t>-到2025年，农药包装废弃物回收率达80%；粮油绿色高质高效示范区、茶叶主产区和现代农业园区农药包装废弃物回收率100%。</w:t>
                  </w:r>
                </w:p>
                <w:p>
                  <w:pPr>
                    <w:pStyle w:val="15"/>
                    <w:bidi w:val="0"/>
                    <w:jc w:val="center"/>
                    <w:rPr>
                      <w:rFonts w:hint="eastAsia"/>
                      <w:lang w:val="en-US" w:eastAsia="zh-CN"/>
                    </w:rPr>
                  </w:pPr>
                  <w:r>
                    <w:rPr>
                      <w:rFonts w:hint="eastAsia"/>
                      <w:lang w:val="en-US" w:eastAsia="zh-CN"/>
                    </w:rPr>
                    <w:t>-到2025年，全国主要农作物化肥、农药利用率达43%，测土配方施肥技术推广覆盖率保持在90%以上，控制农村面源污染，采取灌排分离等措施控制农田氮磷流失。</w:t>
                  </w:r>
                </w:p>
                <w:p>
                  <w:pPr>
                    <w:pStyle w:val="15"/>
                    <w:bidi w:val="0"/>
                    <w:jc w:val="center"/>
                    <w:rPr>
                      <w:rFonts w:hint="eastAsia"/>
                      <w:lang w:val="en-US" w:eastAsia="zh-CN"/>
                    </w:rPr>
                  </w:pPr>
                  <w:r>
                    <w:rPr>
                      <w:rFonts w:hint="eastAsia"/>
                      <w:lang w:val="en-US" w:eastAsia="zh-CN"/>
                    </w:rPr>
                    <w:t>-到2025年，新、改扩建规模化畜禽养殖场（小区）要实施雨污分流、粪便污水资源化利用；规模化畜禽养殖场（小区）粪污处理设施装备配套率达到95%以上，粪污综合利用率达到80%以上，大型规模养殖场粪污处理设施装备配套率达到100%，畜禽粪污基本实现资源化利用；散养密集区要实行畜禽粪便污水分户收集、集中处理利用。</w:t>
                  </w:r>
                </w:p>
                <w:p>
                  <w:pPr>
                    <w:pStyle w:val="15"/>
                    <w:bidi w:val="0"/>
                    <w:jc w:val="center"/>
                    <w:rPr>
                      <w:rFonts w:hint="eastAsia"/>
                      <w:lang w:val="en-US" w:eastAsia="zh-CN"/>
                    </w:rPr>
                  </w:pPr>
                  <w:r>
                    <w:rPr>
                      <w:rFonts w:hint="eastAsia"/>
                      <w:lang w:val="en-US" w:eastAsia="zh-CN"/>
                    </w:rPr>
                    <w:t>-到2025年，废旧农膜回收利用率达到85%以上。</w:t>
                  </w:r>
                </w:p>
                <w:p>
                  <w:pPr>
                    <w:pStyle w:val="15"/>
                    <w:bidi w:val="0"/>
                    <w:jc w:val="center"/>
                    <w:rPr>
                      <w:rFonts w:hint="eastAsia"/>
                      <w:lang w:val="en-US" w:eastAsia="zh-CN"/>
                    </w:rPr>
                  </w:pPr>
                </w:p>
                <w:p>
                  <w:pPr>
                    <w:pStyle w:val="15"/>
                    <w:bidi w:val="0"/>
                    <w:jc w:val="center"/>
                    <w:rPr>
                      <w:rFonts w:hint="eastAsia"/>
                      <w:lang w:val="en-US" w:eastAsia="zh-CN"/>
                    </w:rPr>
                  </w:pPr>
                  <w:r>
                    <w:rPr>
                      <w:rFonts w:hint="eastAsia"/>
                      <w:lang w:val="en-US" w:eastAsia="zh-CN"/>
                    </w:rPr>
                    <w:t>环境风险防控：</w:t>
                  </w:r>
                </w:p>
                <w:p>
                  <w:pPr>
                    <w:pStyle w:val="15"/>
                    <w:bidi w:val="0"/>
                    <w:jc w:val="center"/>
                    <w:rPr>
                      <w:rFonts w:hint="eastAsia"/>
                      <w:lang w:val="en-US" w:eastAsia="zh-CN"/>
                    </w:rPr>
                  </w:pPr>
                  <w:r>
                    <w:rPr>
                      <w:rFonts w:hint="eastAsia"/>
                      <w:lang w:val="en-US" w:eastAsia="zh-CN"/>
                    </w:rPr>
                    <w:t>联防联控要求</w:t>
                  </w:r>
                </w:p>
                <w:p>
                  <w:pPr>
                    <w:pStyle w:val="15"/>
                    <w:bidi w:val="0"/>
                    <w:jc w:val="center"/>
                    <w:rPr>
                      <w:rFonts w:hint="eastAsia"/>
                      <w:lang w:val="en-US" w:eastAsia="zh-CN"/>
                    </w:rPr>
                  </w:pPr>
                  <w:r>
                    <w:rPr>
                      <w:rFonts w:hint="eastAsia"/>
                      <w:lang w:val="en-US" w:eastAsia="zh-CN"/>
                    </w:rPr>
                    <w:t>强化区域联防联控，严格落实《关于建立跨省流域上下游突发水污染事件联防联控机制的指导意见》；定期召开区域大气环境形式分析会，强化信息共享和联动合作，实行环境规划，标准，环评，执法，信息公开“六统一”，协力推进大气污染源头防控，加强川东北区域大气污染防止合作</w:t>
                  </w:r>
                </w:p>
                <w:p>
                  <w:pPr>
                    <w:pStyle w:val="15"/>
                    <w:bidi w:val="0"/>
                    <w:jc w:val="center"/>
                    <w:rPr>
                      <w:rFonts w:hint="eastAsia"/>
                      <w:lang w:val="en-US" w:eastAsia="zh-CN"/>
                    </w:rPr>
                  </w:pPr>
                  <w:r>
                    <w:rPr>
                      <w:rFonts w:hint="eastAsia"/>
                      <w:lang w:val="en-US" w:eastAsia="zh-CN"/>
                    </w:rPr>
                    <w:t>其他环境风险防控要求</w:t>
                  </w:r>
                </w:p>
                <w:p>
                  <w:pPr>
                    <w:pStyle w:val="15"/>
                    <w:bidi w:val="0"/>
                    <w:jc w:val="center"/>
                    <w:rPr>
                      <w:rFonts w:hint="eastAsia"/>
                      <w:lang w:val="en-US" w:eastAsia="zh-CN"/>
                    </w:rPr>
                  </w:pPr>
                  <w:r>
                    <w:rPr>
                      <w:rFonts w:hint="eastAsia"/>
                      <w:lang w:val="en-US" w:eastAsia="zh-CN"/>
                    </w:rPr>
                    <w:t>企业环境风险防控要求:工业企业退出用地，须经评估、修复满足相应用地功能后，方可改变用途。</w:t>
                  </w:r>
                </w:p>
                <w:p>
                  <w:pPr>
                    <w:pStyle w:val="15"/>
                    <w:bidi w:val="0"/>
                    <w:jc w:val="center"/>
                    <w:rPr>
                      <w:rFonts w:hint="eastAsia"/>
                      <w:lang w:val="en-US" w:eastAsia="zh-CN"/>
                    </w:rPr>
                  </w:pPr>
                  <w:r>
                    <w:rPr>
                      <w:rFonts w:hint="eastAsia"/>
                      <w:lang w:val="en-US" w:eastAsia="zh-CN"/>
                    </w:rPr>
                    <w:t>加强“散乱污”企业环境风险防控。对拟收回土地使用权的有色金属矿采选、有色金属冶炼、石油加工、化工、焦化、电镀、制革、天然（页岩）气开采、铅蓄电池、汽车制造、农药、危废处置、电子拆解等行业企业用地，以及用途拟变更为居住和商业、学校、医疗、养老机构等公共设施的上述企业用地，以及由重度污染农用地转为的城镇建设用地，开展土壤环境状况调查评估。用地环境风险防控要求:严禁将城镇生活垃圾、污泥、工业废物直接用作肥料，禁止处理不达标的污泥进入耕地；禁止在农用地排放、倾倒、使用污泥、清淤底泥、尾矿（渣）等可能对土壤造成污染的固体废物。</w:t>
                  </w:r>
                </w:p>
                <w:p>
                  <w:pPr>
                    <w:pStyle w:val="15"/>
                    <w:bidi w:val="0"/>
                    <w:jc w:val="center"/>
                    <w:rPr>
                      <w:rFonts w:hint="eastAsia"/>
                      <w:lang w:val="en-US" w:eastAsia="zh-CN"/>
                    </w:rPr>
                  </w:pPr>
                  <w:r>
                    <w:rPr>
                      <w:rFonts w:hint="eastAsia"/>
                      <w:lang w:val="en-US" w:eastAsia="zh-CN"/>
                    </w:rPr>
                    <w:t>定期对单元内尾矿库进行风险巡查，建立监测系统和环境风险应急预案；完善各尾矿库渗滤液收集、处理、回用系统，杜绝事故排放；尾矿库闭矿后因地制宜进行植被恢复和综合利用。</w:t>
                  </w:r>
                </w:p>
                <w:p>
                  <w:pPr>
                    <w:pStyle w:val="15"/>
                    <w:bidi w:val="0"/>
                    <w:jc w:val="center"/>
                    <w:rPr>
                      <w:rFonts w:hint="eastAsia"/>
                      <w:lang w:val="en-US" w:eastAsia="zh-CN"/>
                    </w:rPr>
                  </w:pPr>
                  <w:r>
                    <w:rPr>
                      <w:rFonts w:hint="eastAsia"/>
                      <w:lang w:val="en-US" w:eastAsia="zh-CN"/>
                    </w:rPr>
                    <w:t>规范排土场、渣场等整治。禁止处理不达标的污泥进入耕地。</w:t>
                  </w:r>
                </w:p>
                <w:p>
                  <w:pPr>
                    <w:pStyle w:val="15"/>
                    <w:bidi w:val="0"/>
                    <w:jc w:val="center"/>
                    <w:rPr>
                      <w:rFonts w:hint="eastAsia"/>
                      <w:lang w:val="en-US" w:eastAsia="zh-CN"/>
                    </w:rPr>
                  </w:pPr>
                  <w:r>
                    <w:rPr>
                      <w:rFonts w:hint="eastAsia"/>
                      <w:lang w:val="en-US" w:eastAsia="zh-CN"/>
                    </w:rPr>
                    <w:t>严格控制林地、草地、园地的农药使用量，禁止使用高毒、高残留农药。</w:t>
                  </w:r>
                </w:p>
                <w:p>
                  <w:pPr>
                    <w:pStyle w:val="15"/>
                    <w:bidi w:val="0"/>
                    <w:jc w:val="center"/>
                    <w:rPr>
                      <w:rFonts w:hint="eastAsia"/>
                      <w:lang w:val="en-US" w:eastAsia="zh-CN"/>
                    </w:rPr>
                  </w:pPr>
                  <w:r>
                    <w:rPr>
                      <w:rFonts w:hint="eastAsia"/>
                      <w:lang w:val="en-US" w:eastAsia="zh-CN"/>
                    </w:rPr>
                    <w:t>到2030年，全市受污染耕地安全利用率达到95%以上，污染地块安全利用率达到95%以上。</w:t>
                  </w:r>
                </w:p>
                <w:p>
                  <w:pPr>
                    <w:pStyle w:val="15"/>
                    <w:bidi w:val="0"/>
                    <w:jc w:val="center"/>
                    <w:rPr>
                      <w:rFonts w:hint="eastAsia"/>
                      <w:lang w:val="en-US" w:eastAsia="zh-CN"/>
                    </w:rPr>
                  </w:pPr>
                </w:p>
                <w:p>
                  <w:pPr>
                    <w:pStyle w:val="15"/>
                    <w:bidi w:val="0"/>
                    <w:jc w:val="center"/>
                    <w:rPr>
                      <w:rFonts w:hint="eastAsia"/>
                      <w:lang w:val="en-US" w:eastAsia="zh-CN"/>
                    </w:rPr>
                  </w:pPr>
                  <w:r>
                    <w:rPr>
                      <w:rFonts w:hint="eastAsia"/>
                      <w:lang w:val="en-US" w:eastAsia="zh-CN"/>
                    </w:rPr>
                    <w:t>资源开发利用效率要求：</w:t>
                  </w:r>
                </w:p>
                <w:p>
                  <w:pPr>
                    <w:pStyle w:val="15"/>
                    <w:bidi w:val="0"/>
                    <w:jc w:val="center"/>
                    <w:rPr>
                      <w:rFonts w:hint="eastAsia"/>
                      <w:lang w:val="en-US" w:eastAsia="zh-CN"/>
                    </w:rPr>
                  </w:pPr>
                  <w:r>
                    <w:rPr>
                      <w:rFonts w:hint="eastAsia"/>
                      <w:lang w:val="en-US" w:eastAsia="zh-CN"/>
                    </w:rPr>
                    <w:t>水资源利用总量要求</w:t>
                  </w:r>
                </w:p>
                <w:p>
                  <w:pPr>
                    <w:pStyle w:val="15"/>
                    <w:bidi w:val="0"/>
                    <w:jc w:val="center"/>
                    <w:rPr>
                      <w:rFonts w:hint="eastAsia"/>
                      <w:lang w:val="en-US" w:eastAsia="zh-CN"/>
                    </w:rPr>
                  </w:pPr>
                  <w:r>
                    <w:rPr>
                      <w:rFonts w:hint="eastAsia"/>
                      <w:lang w:val="en-US" w:eastAsia="zh-CN"/>
                    </w:rPr>
                    <w:t>-到2025年，农田灌溉水有效利用系数达到0.57以上。</w:t>
                  </w:r>
                </w:p>
                <w:p>
                  <w:pPr>
                    <w:pStyle w:val="15"/>
                    <w:bidi w:val="0"/>
                    <w:jc w:val="center"/>
                    <w:rPr>
                      <w:rFonts w:hint="eastAsia"/>
                      <w:lang w:val="en-US" w:eastAsia="zh-CN"/>
                    </w:rPr>
                  </w:pPr>
                  <w:r>
                    <w:rPr>
                      <w:rFonts w:hint="eastAsia"/>
                      <w:lang w:val="en-US" w:eastAsia="zh-CN"/>
                    </w:rPr>
                    <w:t>地下水开采要求</w:t>
                  </w:r>
                </w:p>
                <w:p>
                  <w:pPr>
                    <w:pStyle w:val="15"/>
                    <w:bidi w:val="0"/>
                    <w:jc w:val="center"/>
                    <w:rPr>
                      <w:rFonts w:hint="eastAsia"/>
                      <w:lang w:val="en-US" w:eastAsia="zh-CN"/>
                    </w:rPr>
                  </w:pPr>
                  <w:r>
                    <w:rPr>
                      <w:rFonts w:hint="eastAsia"/>
                      <w:lang w:val="en-US" w:eastAsia="zh-CN"/>
                    </w:rPr>
                    <w:t>以省市下发指标为准</w:t>
                  </w:r>
                </w:p>
                <w:p>
                  <w:pPr>
                    <w:pStyle w:val="15"/>
                    <w:bidi w:val="0"/>
                    <w:jc w:val="center"/>
                    <w:rPr>
                      <w:rFonts w:hint="eastAsia"/>
                      <w:lang w:val="en-US" w:eastAsia="zh-CN"/>
                    </w:rPr>
                  </w:pPr>
                  <w:r>
                    <w:rPr>
                      <w:rFonts w:hint="eastAsia"/>
                      <w:lang w:val="en-US" w:eastAsia="zh-CN"/>
                    </w:rPr>
                    <w:t>能源利用总量及效率要求</w:t>
                  </w:r>
                </w:p>
                <w:p>
                  <w:pPr>
                    <w:pStyle w:val="15"/>
                    <w:bidi w:val="0"/>
                    <w:jc w:val="center"/>
                    <w:rPr>
                      <w:rFonts w:hint="eastAsia"/>
                      <w:lang w:val="en-US" w:eastAsia="zh-CN"/>
                    </w:rPr>
                  </w:pPr>
                  <w:r>
                    <w:rPr>
                      <w:rFonts w:hint="eastAsia"/>
                      <w:lang w:val="en-US" w:eastAsia="zh-CN"/>
                    </w:rPr>
                    <w:t>推进清洁能源的推广使用，全面推进散煤清洁化整治；禁止新建每小时10蒸吨以下的燃煤锅炉及其他燃煤设施。</w:t>
                  </w:r>
                </w:p>
                <w:p>
                  <w:pPr>
                    <w:pStyle w:val="15"/>
                    <w:bidi w:val="0"/>
                    <w:jc w:val="center"/>
                    <w:rPr>
                      <w:rFonts w:hint="eastAsia"/>
                      <w:lang w:val="en-US" w:eastAsia="zh-CN"/>
                    </w:rPr>
                  </w:pPr>
                  <w:r>
                    <w:rPr>
                      <w:rFonts w:hint="eastAsia"/>
                      <w:lang w:val="en-US" w:eastAsia="zh-CN"/>
                    </w:rPr>
                    <w:t>禁止焚烧秸秆和垃圾，到2025年底，秸秆综合利用率达到86%以上。</w:t>
                  </w:r>
                </w:p>
                <w:p>
                  <w:pPr>
                    <w:pStyle w:val="15"/>
                    <w:bidi w:val="0"/>
                    <w:jc w:val="center"/>
                    <w:rPr>
                      <w:rFonts w:hint="eastAsia"/>
                      <w:lang w:val="en-US" w:eastAsia="zh-CN"/>
                    </w:rPr>
                  </w:pPr>
                </w:p>
                <w:p>
                  <w:pPr>
                    <w:pStyle w:val="15"/>
                    <w:bidi w:val="0"/>
                    <w:jc w:val="center"/>
                    <w:rPr>
                      <w:rFonts w:hint="eastAsia"/>
                      <w:lang w:val="en-US" w:eastAsia="zh-CN"/>
                    </w:rPr>
                  </w:pPr>
                  <w:r>
                    <w:rPr>
                      <w:rFonts w:hint="eastAsia"/>
                      <w:lang w:val="en-US" w:eastAsia="zh-CN"/>
                    </w:rPr>
                    <w:t>禁燃区要求</w:t>
                  </w:r>
                </w:p>
                <w:p>
                  <w:pPr>
                    <w:pStyle w:val="15"/>
                    <w:bidi w:val="0"/>
                    <w:jc w:val="center"/>
                    <w:rPr>
                      <w:rFonts w:hint="eastAsia"/>
                      <w:lang w:val="en-US" w:eastAsia="zh-CN"/>
                    </w:rPr>
                  </w:pPr>
                  <w:r>
                    <w:rPr>
                      <w:rFonts w:hint="eastAsia"/>
                      <w:lang w:val="en-US" w:eastAsia="zh-CN"/>
                    </w:rPr>
                    <w:t>-高污染燃料禁燃区内禁止燃用的燃料为《高污染燃料目录》（2017）中III类（严格）燃料组合，包括：（一）煤炭及其制品；（二）石油焦、油页岩、原油、重油、渣油、煤焦油；（三）非专用锅炉或未配置高效除尘设施的专用锅炉燃用的生物质成型燃料。</w:t>
                  </w:r>
                </w:p>
                <w:p>
                  <w:pPr>
                    <w:pStyle w:val="15"/>
                    <w:bidi w:val="0"/>
                    <w:jc w:val="center"/>
                    <w:rPr>
                      <w:rFonts w:hint="eastAsia"/>
                      <w:lang w:val="en-US" w:eastAsia="zh-CN"/>
                    </w:rPr>
                  </w:pPr>
                  <w:r>
                    <w:rPr>
                      <w:rFonts w:hint="eastAsia"/>
                      <w:lang w:val="en-US" w:eastAsia="zh-CN"/>
                    </w:rPr>
                    <w:t>-禁燃区内禁止销售、燃用高污染燃料；禁止新建、改建、扩建燃用高污染燃料的设施和设备。</w:t>
                  </w:r>
                </w:p>
                <w:p>
                  <w:pPr>
                    <w:pStyle w:val="15"/>
                    <w:bidi w:val="0"/>
                    <w:jc w:val="center"/>
                    <w:rPr>
                      <w:rFonts w:hint="eastAsia"/>
                      <w:lang w:val="en-US" w:eastAsia="zh-CN"/>
                    </w:rPr>
                  </w:pPr>
                  <w:r>
                    <w:rPr>
                      <w:rFonts w:hint="eastAsia"/>
                      <w:lang w:val="en-US" w:eastAsia="zh-CN"/>
                    </w:rPr>
                    <w:t>-禁燃区内已建成的高污染燃料燃用设施由辖区人民政府制定限期改造计划，改用天然气、页岩气、液化石油气、电或其他清洁能源。</w:t>
                  </w:r>
                </w:p>
                <w:p>
                  <w:pPr>
                    <w:pStyle w:val="15"/>
                    <w:bidi w:val="0"/>
                    <w:jc w:val="center"/>
                    <w:rPr>
                      <w:rFonts w:hint="eastAsia"/>
                      <w:lang w:val="en-US" w:eastAsia="zh-CN"/>
                    </w:rPr>
                  </w:pPr>
                </w:p>
                <w:p>
                  <w:pPr>
                    <w:pStyle w:val="15"/>
                    <w:bidi w:val="0"/>
                    <w:jc w:val="center"/>
                    <w:rPr>
                      <w:rFonts w:hint="eastAsia"/>
                      <w:lang w:val="en-US" w:eastAsia="zh-CN"/>
                    </w:rPr>
                  </w:pPr>
                  <w:r>
                    <w:rPr>
                      <w:rFonts w:hint="eastAsia"/>
                      <w:lang w:val="en-US" w:eastAsia="zh-CN"/>
                    </w:rPr>
                    <w:t>其他资源利用效率要求</w:t>
                  </w:r>
                </w:p>
                <w:p>
                  <w:pPr>
                    <w:pStyle w:val="15"/>
                    <w:bidi w:val="0"/>
                    <w:jc w:val="center"/>
                    <w:rPr>
                      <w:rFonts w:hint="eastAsia"/>
                      <w:lang w:val="en-US" w:eastAsia="zh-CN"/>
                    </w:rPr>
                  </w:pPr>
                  <w:r>
                    <w:rPr>
                      <w:rFonts w:hint="eastAsia"/>
                      <w:lang w:val="en-US" w:eastAsia="zh-CN"/>
                    </w:rPr>
                    <w:t>暂无</w:t>
                  </w:r>
                </w:p>
              </w:tc>
              <w:tc>
                <w:tcPr>
                  <w:tcW w:w="262" w:type="pct"/>
                  <w:tcBorders>
                    <w:tl2br w:val="nil"/>
                    <w:tr2bl w:val="nil"/>
                  </w:tcBorders>
                  <w:noWrap w:val="0"/>
                  <w:vAlign w:val="center"/>
                </w:tcPr>
                <w:p>
                  <w:pPr>
                    <w:pStyle w:val="15"/>
                    <w:bidi w:val="0"/>
                    <w:jc w:val="center"/>
                    <w:rPr>
                      <w:lang w:val="en-US" w:eastAsia="zh-CN"/>
                    </w:rPr>
                  </w:pPr>
                  <w:r>
                    <w:rPr>
                      <w:rFonts w:hint="eastAsia"/>
                      <w:lang w:val="en-US" w:eastAsia="zh-CN"/>
                    </w:rPr>
                    <w:t>资源开发效率要求</w:t>
                  </w:r>
                </w:p>
              </w:tc>
              <w:tc>
                <w:tcPr>
                  <w:tcW w:w="1336" w:type="pct"/>
                  <w:tcBorders>
                    <w:tl2br w:val="nil"/>
                    <w:tr2bl w:val="nil"/>
                  </w:tcBorders>
                  <w:noWrap w:val="0"/>
                  <w:vAlign w:val="center"/>
                </w:tcPr>
                <w:p>
                  <w:pPr>
                    <w:pStyle w:val="15"/>
                    <w:bidi w:val="0"/>
                    <w:jc w:val="center"/>
                    <w:rPr>
                      <w:lang w:val="en-US" w:eastAsia="zh-CN"/>
                    </w:rPr>
                  </w:pPr>
                  <w:r>
                    <w:rPr>
                      <w:rFonts w:hint="eastAsia"/>
                      <w:lang w:val="en-US" w:eastAsia="zh-CN"/>
                    </w:rPr>
                    <w:t>水资源利用效率要求</w:t>
                  </w:r>
                </w:p>
                <w:p>
                  <w:pPr>
                    <w:pStyle w:val="15"/>
                    <w:bidi w:val="0"/>
                    <w:jc w:val="center"/>
                    <w:rPr>
                      <w:rFonts w:hint="eastAsia"/>
                      <w:lang w:val="en-US" w:eastAsia="zh-CN"/>
                    </w:rPr>
                  </w:pPr>
                  <w:r>
                    <w:rPr>
                      <w:rFonts w:hint="eastAsia"/>
                      <w:lang w:val="en-US" w:eastAsia="zh-CN"/>
                    </w:rPr>
                    <w:t>同达州市一般管控单元总体准入要求</w:t>
                  </w:r>
                </w:p>
                <w:p>
                  <w:pPr>
                    <w:pStyle w:val="15"/>
                    <w:bidi w:val="0"/>
                    <w:jc w:val="center"/>
                    <w:rPr>
                      <w:rFonts w:hint="eastAsia"/>
                      <w:lang w:val="en-US" w:eastAsia="zh-CN"/>
                    </w:rPr>
                  </w:pPr>
                  <w:r>
                    <w:rPr>
                      <w:rFonts w:hint="eastAsia"/>
                      <w:lang w:val="en-US" w:eastAsia="zh-CN"/>
                    </w:rPr>
                    <w:t>地下水开采要求</w:t>
                  </w:r>
                </w:p>
                <w:p>
                  <w:pPr>
                    <w:pStyle w:val="15"/>
                    <w:bidi w:val="0"/>
                    <w:jc w:val="center"/>
                    <w:rPr>
                      <w:rFonts w:hint="eastAsia"/>
                      <w:lang w:val="en-US" w:eastAsia="zh-CN"/>
                    </w:rPr>
                  </w:pPr>
                  <w:r>
                    <w:rPr>
                      <w:rFonts w:hint="eastAsia"/>
                      <w:lang w:val="en-US" w:eastAsia="zh-CN"/>
                    </w:rPr>
                    <w:t>同达州市一般管控单元总体准入要求</w:t>
                  </w:r>
                </w:p>
                <w:p>
                  <w:pPr>
                    <w:pStyle w:val="15"/>
                    <w:bidi w:val="0"/>
                    <w:jc w:val="center"/>
                    <w:rPr>
                      <w:rFonts w:hint="eastAsia"/>
                      <w:lang w:val="en-US" w:eastAsia="zh-CN"/>
                    </w:rPr>
                  </w:pPr>
                  <w:r>
                    <w:rPr>
                      <w:rFonts w:hint="eastAsia"/>
                      <w:lang w:val="en-US" w:eastAsia="zh-CN"/>
                    </w:rPr>
                    <w:t>能源利用效率要求</w:t>
                  </w:r>
                </w:p>
                <w:p>
                  <w:pPr>
                    <w:pStyle w:val="15"/>
                    <w:bidi w:val="0"/>
                    <w:jc w:val="center"/>
                    <w:rPr>
                      <w:rFonts w:hint="eastAsia"/>
                      <w:lang w:val="en-US" w:eastAsia="zh-CN"/>
                    </w:rPr>
                  </w:pPr>
                  <w:r>
                    <w:rPr>
                      <w:rFonts w:hint="eastAsia"/>
                      <w:lang w:val="en-US" w:eastAsia="zh-CN"/>
                    </w:rPr>
                    <w:t>同达州市一般管控单元总体准入要求</w:t>
                  </w:r>
                </w:p>
                <w:p>
                  <w:pPr>
                    <w:pStyle w:val="15"/>
                    <w:bidi w:val="0"/>
                    <w:jc w:val="center"/>
                    <w:rPr>
                      <w:rFonts w:hint="eastAsia"/>
                      <w:lang w:val="en-US" w:eastAsia="zh-CN"/>
                    </w:rPr>
                  </w:pPr>
                  <w:r>
                    <w:rPr>
                      <w:rFonts w:hint="eastAsia"/>
                      <w:lang w:val="en-US" w:eastAsia="zh-CN"/>
                    </w:rPr>
                    <w:t>其他资源利用效率要求</w:t>
                  </w:r>
                </w:p>
              </w:tc>
              <w:tc>
                <w:tcPr>
                  <w:tcW w:w="870" w:type="pct"/>
                  <w:tcBorders>
                    <w:tl2br w:val="nil"/>
                    <w:tr2bl w:val="nil"/>
                  </w:tcBorders>
                  <w:noWrap w:val="0"/>
                  <w:vAlign w:val="center"/>
                </w:tcPr>
                <w:p>
                  <w:pPr>
                    <w:pStyle w:val="15"/>
                    <w:bidi w:val="0"/>
                    <w:jc w:val="center"/>
                    <w:rPr>
                      <w:rFonts w:hint="eastAsia"/>
                      <w:lang w:val="en-US" w:eastAsia="zh-CN"/>
                    </w:rPr>
                  </w:pPr>
                  <w:r>
                    <w:rPr>
                      <w:rFonts w:hint="eastAsia"/>
                      <w:color w:val="auto"/>
                      <w:lang w:val="en-US" w:eastAsia="zh-CN"/>
                    </w:rPr>
                    <w:t>本项目属于防洪治理工程，施工期资源利用以电能和水资源为主，不属于高能耗项目</w:t>
                  </w:r>
                </w:p>
              </w:tc>
              <w:tc>
                <w:tcPr>
                  <w:tcW w:w="312" w:type="pct"/>
                  <w:tcBorders>
                    <w:tl2br w:val="nil"/>
                    <w:tr2bl w:val="nil"/>
                  </w:tcBorders>
                  <w:noWrap w:val="0"/>
                  <w:vAlign w:val="center"/>
                </w:tcPr>
                <w:p>
                  <w:pPr>
                    <w:pStyle w:val="15"/>
                    <w:bidi w:val="0"/>
                    <w:jc w:val="center"/>
                    <w:rPr>
                      <w:rFonts w:hint="default"/>
                      <w:lang w:val="en-US" w:eastAsia="zh-CN"/>
                    </w:rPr>
                  </w:pPr>
                  <w:r>
                    <w:rPr>
                      <w:rFonts w:hint="eastAsia"/>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5" w:type="pct"/>
                  <w:vMerge w:val="restart"/>
                  <w:tcBorders>
                    <w:tl2br w:val="nil"/>
                    <w:tr2bl w:val="nil"/>
                  </w:tcBorders>
                  <w:noWrap w:val="0"/>
                  <w:vAlign w:val="center"/>
                </w:tcPr>
                <w:p>
                  <w:pPr>
                    <w:pStyle w:val="15"/>
                    <w:bidi w:val="0"/>
                    <w:jc w:val="center"/>
                    <w:rPr>
                      <w:lang w:val="en-US" w:eastAsia="zh-CN"/>
                    </w:rPr>
                  </w:pPr>
                  <w:r>
                    <w:rPr>
                      <w:rFonts w:hint="eastAsia"/>
                      <w:lang w:val="en-US" w:eastAsia="zh-CN"/>
                    </w:rPr>
                    <w:t>YS5117223210001</w:t>
                  </w:r>
                </w:p>
              </w:tc>
              <w:tc>
                <w:tcPr>
                  <w:tcW w:w="308" w:type="pct"/>
                  <w:vMerge w:val="restart"/>
                  <w:tcBorders>
                    <w:tl2br w:val="nil"/>
                    <w:tr2bl w:val="nil"/>
                  </w:tcBorders>
                  <w:noWrap w:val="0"/>
                  <w:vAlign w:val="center"/>
                </w:tcPr>
                <w:p>
                  <w:pPr>
                    <w:pStyle w:val="15"/>
                    <w:bidi w:val="0"/>
                    <w:jc w:val="center"/>
                    <w:rPr>
                      <w:lang w:val="en-US" w:eastAsia="zh-CN"/>
                    </w:rPr>
                  </w:pPr>
                  <w:r>
                    <w:rPr>
                      <w:rFonts w:hint="eastAsia"/>
                      <w:lang w:val="en-US" w:eastAsia="zh-CN"/>
                    </w:rPr>
                    <w:t>州河宣汉县张鼓坪控制单元</w:t>
                  </w:r>
                </w:p>
              </w:tc>
              <w:tc>
                <w:tcPr>
                  <w:tcW w:w="1254" w:type="pct"/>
                  <w:vMerge w:val="restart"/>
                  <w:tcBorders>
                    <w:tl2br w:val="nil"/>
                    <w:tr2bl w:val="nil"/>
                  </w:tcBorders>
                  <w:noWrap w:val="0"/>
                  <w:vAlign w:val="center"/>
                </w:tcPr>
                <w:p>
                  <w:pPr>
                    <w:pStyle w:val="15"/>
                    <w:bidi w:val="0"/>
                    <w:jc w:val="center"/>
                    <w:rPr>
                      <w:lang w:val="en-US" w:eastAsia="zh-CN"/>
                    </w:rPr>
                  </w:pPr>
                  <w:r>
                    <w:rPr>
                      <w:rFonts w:hint="eastAsia"/>
                      <w:lang w:val="en-US" w:eastAsia="zh-CN"/>
                    </w:rPr>
                    <w:t>空间布局约束：</w:t>
                  </w:r>
                </w:p>
                <w:p>
                  <w:pPr>
                    <w:pStyle w:val="15"/>
                    <w:bidi w:val="0"/>
                    <w:jc w:val="center"/>
                    <w:rPr>
                      <w:rFonts w:hint="eastAsia"/>
                      <w:lang w:val="en-US" w:eastAsia="zh-CN"/>
                    </w:rPr>
                  </w:pPr>
                  <w:r>
                    <w:rPr>
                      <w:rFonts w:hint="eastAsia"/>
                      <w:lang w:val="en-US" w:eastAsia="zh-CN"/>
                    </w:rPr>
                    <w:t>禁止开发建设活动的要求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限制开发建设活动的要求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不符合空间布局要求活动的退出要求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其他空间布局约束要求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污染物排放管控：</w:t>
                  </w:r>
                </w:p>
                <w:p>
                  <w:pPr>
                    <w:pStyle w:val="15"/>
                    <w:bidi w:val="0"/>
                    <w:jc w:val="center"/>
                    <w:rPr>
                      <w:rFonts w:hint="eastAsia"/>
                      <w:lang w:val="en-US" w:eastAsia="zh-CN"/>
                    </w:rPr>
                  </w:pPr>
                  <w:r>
                    <w:rPr>
                      <w:rFonts w:hint="eastAsia"/>
                      <w:lang w:val="en-US" w:eastAsia="zh-CN"/>
                    </w:rPr>
                    <w:t>允许排放量要求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现有源提标升级改造</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其他污染物排放管控要求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环境风险防控：</w:t>
                  </w:r>
                </w:p>
                <w:p>
                  <w:pPr>
                    <w:pStyle w:val="15"/>
                    <w:bidi w:val="0"/>
                    <w:jc w:val="center"/>
                    <w:rPr>
                      <w:rFonts w:hint="eastAsia"/>
                      <w:lang w:val="en-US" w:eastAsia="zh-CN"/>
                    </w:rPr>
                  </w:pPr>
                  <w:r>
                    <w:rPr>
                      <w:rFonts w:hint="eastAsia"/>
                      <w:lang w:val="en-US" w:eastAsia="zh-CN"/>
                    </w:rPr>
                    <w:t>联防联控要求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其他环境风险防控要求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资源开发利用效率要求：</w:t>
                  </w:r>
                </w:p>
                <w:p>
                  <w:pPr>
                    <w:pStyle w:val="15"/>
                    <w:bidi w:val="0"/>
                    <w:jc w:val="center"/>
                    <w:rPr>
                      <w:rFonts w:hint="eastAsia"/>
                      <w:lang w:val="en-US" w:eastAsia="zh-CN"/>
                    </w:rPr>
                  </w:pPr>
                  <w:r>
                    <w:rPr>
                      <w:rFonts w:hint="eastAsia"/>
                      <w:lang w:val="en-US" w:eastAsia="zh-CN"/>
                    </w:rPr>
                    <w:t>水资源利用总量要求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地下水开采要求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能源利用总量及效率要求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禁燃区要求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其他资源利用效率要求</w:t>
                  </w:r>
                </w:p>
                <w:p>
                  <w:pPr>
                    <w:pStyle w:val="15"/>
                    <w:bidi w:val="0"/>
                    <w:jc w:val="center"/>
                    <w:rPr>
                      <w:rFonts w:hint="eastAsia"/>
                      <w:lang w:val="en-US" w:eastAsia="zh-CN"/>
                    </w:rPr>
                  </w:pPr>
                  <w:r>
                    <w:rPr>
                      <w:rFonts w:hint="eastAsia"/>
                      <w:lang w:val="en-US" w:eastAsia="zh-CN"/>
                    </w:rPr>
                    <w:t>暂无</w:t>
                  </w:r>
                </w:p>
              </w:tc>
              <w:tc>
                <w:tcPr>
                  <w:tcW w:w="262" w:type="pct"/>
                  <w:tcBorders>
                    <w:tl2br w:val="nil"/>
                    <w:tr2bl w:val="nil"/>
                  </w:tcBorders>
                  <w:noWrap w:val="0"/>
                  <w:vAlign w:val="center"/>
                </w:tcPr>
                <w:p>
                  <w:pPr>
                    <w:pStyle w:val="15"/>
                    <w:bidi w:val="0"/>
                    <w:jc w:val="center"/>
                    <w:rPr>
                      <w:lang w:val="en-US" w:eastAsia="zh-CN"/>
                    </w:rPr>
                  </w:pPr>
                  <w:r>
                    <w:rPr>
                      <w:rFonts w:hint="eastAsia"/>
                      <w:lang w:val="en-US" w:eastAsia="zh-CN"/>
                    </w:rPr>
                    <w:t>空间布局约束</w:t>
                  </w:r>
                </w:p>
              </w:tc>
              <w:tc>
                <w:tcPr>
                  <w:tcW w:w="1336" w:type="pct"/>
                  <w:tcBorders>
                    <w:tl2br w:val="nil"/>
                    <w:tr2bl w:val="nil"/>
                  </w:tcBorders>
                  <w:noWrap w:val="0"/>
                  <w:vAlign w:val="center"/>
                </w:tcPr>
                <w:p>
                  <w:pPr>
                    <w:pStyle w:val="15"/>
                    <w:bidi w:val="0"/>
                    <w:jc w:val="center"/>
                    <w:rPr>
                      <w:lang w:val="en-US" w:eastAsia="zh-CN"/>
                    </w:rPr>
                  </w:pPr>
                  <w:r>
                    <w:rPr>
                      <w:rFonts w:hint="eastAsia"/>
                      <w:lang w:val="en-US" w:eastAsia="zh-CN"/>
                    </w:rPr>
                    <w:t>禁止开发建设活动的要求</w:t>
                  </w:r>
                </w:p>
                <w:p>
                  <w:pPr>
                    <w:pStyle w:val="15"/>
                    <w:bidi w:val="0"/>
                    <w:jc w:val="center"/>
                    <w:rPr>
                      <w:rFonts w:hint="eastAsia"/>
                      <w:lang w:val="en-US" w:eastAsia="zh-CN"/>
                    </w:rPr>
                  </w:pPr>
                  <w:r>
                    <w:rPr>
                      <w:rFonts w:hint="eastAsia"/>
                      <w:lang w:val="en-US" w:eastAsia="zh-CN"/>
                    </w:rPr>
                    <w:t>限制开发建设活动的要求</w:t>
                  </w:r>
                </w:p>
                <w:p>
                  <w:pPr>
                    <w:pStyle w:val="15"/>
                    <w:bidi w:val="0"/>
                    <w:jc w:val="center"/>
                    <w:rPr>
                      <w:rFonts w:hint="eastAsia"/>
                      <w:lang w:val="en-US" w:eastAsia="zh-CN"/>
                    </w:rPr>
                  </w:pPr>
                  <w:r>
                    <w:rPr>
                      <w:rFonts w:hint="eastAsia"/>
                      <w:lang w:val="en-US" w:eastAsia="zh-CN"/>
                    </w:rPr>
                    <w:t>允许开发建设活动的要求</w:t>
                  </w:r>
                </w:p>
                <w:p>
                  <w:pPr>
                    <w:pStyle w:val="15"/>
                    <w:bidi w:val="0"/>
                    <w:jc w:val="center"/>
                    <w:rPr>
                      <w:rFonts w:hint="eastAsia"/>
                      <w:lang w:val="en-US" w:eastAsia="zh-CN"/>
                    </w:rPr>
                  </w:pPr>
                  <w:r>
                    <w:rPr>
                      <w:rFonts w:hint="eastAsia"/>
                      <w:lang w:val="en-US" w:eastAsia="zh-CN"/>
                    </w:rPr>
                    <w:t>不符合空间布局要求活动的退出要求</w:t>
                  </w:r>
                </w:p>
                <w:p>
                  <w:pPr>
                    <w:pStyle w:val="15"/>
                    <w:bidi w:val="0"/>
                    <w:jc w:val="center"/>
                    <w:rPr>
                      <w:rFonts w:hint="eastAsia"/>
                      <w:lang w:val="en-US" w:eastAsia="zh-CN"/>
                    </w:rPr>
                  </w:pPr>
                  <w:r>
                    <w:rPr>
                      <w:rFonts w:hint="eastAsia"/>
                      <w:lang w:val="en-US" w:eastAsia="zh-CN"/>
                    </w:rPr>
                    <w:t>其他空间布局约束要求</w:t>
                  </w:r>
                </w:p>
              </w:tc>
              <w:tc>
                <w:tcPr>
                  <w:tcW w:w="870" w:type="pct"/>
                  <w:tcBorders>
                    <w:tl2br w:val="nil"/>
                    <w:tr2bl w:val="nil"/>
                  </w:tcBorders>
                  <w:noWrap w:val="0"/>
                  <w:vAlign w:val="center"/>
                </w:tcPr>
                <w:p>
                  <w:pPr>
                    <w:pStyle w:val="15"/>
                    <w:bidi w:val="0"/>
                    <w:jc w:val="center"/>
                    <w:rPr>
                      <w:rFonts w:hint="eastAsia"/>
                      <w:lang w:val="en-US" w:eastAsia="zh-CN"/>
                    </w:rPr>
                  </w:pPr>
                  <w:r>
                    <w:rPr>
                      <w:rFonts w:hint="eastAsia"/>
                      <w:color w:val="auto"/>
                      <w:lang w:val="en-US" w:eastAsia="zh-CN"/>
                    </w:rPr>
                    <w:t>本项目属于防洪治理工程，不属于相关管控类型</w:t>
                  </w:r>
                </w:p>
              </w:tc>
              <w:tc>
                <w:tcPr>
                  <w:tcW w:w="312" w:type="pct"/>
                  <w:tcBorders>
                    <w:tl2br w:val="nil"/>
                    <w:tr2bl w:val="nil"/>
                  </w:tcBorders>
                  <w:noWrap w:val="0"/>
                  <w:vAlign w:val="center"/>
                </w:tcPr>
                <w:p>
                  <w:pPr>
                    <w:pStyle w:val="15"/>
                    <w:bidi w:val="0"/>
                    <w:jc w:val="center"/>
                    <w:rPr>
                      <w:rFonts w:hint="default"/>
                      <w:lang w:val="en-US" w:eastAsia="zh-CN"/>
                    </w:rPr>
                  </w:pPr>
                  <w:r>
                    <w:rPr>
                      <w:rFonts w:hint="eastAsia"/>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5" w:type="pct"/>
                  <w:vMerge w:val="continue"/>
                  <w:tcBorders>
                    <w:tl2br w:val="nil"/>
                    <w:tr2bl w:val="nil"/>
                  </w:tcBorders>
                  <w:noWrap w:val="0"/>
                  <w:vAlign w:val="center"/>
                </w:tcPr>
                <w:p>
                  <w:pPr>
                    <w:pStyle w:val="15"/>
                    <w:bidi w:val="0"/>
                    <w:jc w:val="center"/>
                    <w:rPr>
                      <w:lang w:val="en-US" w:eastAsia="zh-CN"/>
                    </w:rPr>
                  </w:pPr>
                  <w:r>
                    <w:rPr>
                      <w:rFonts w:hint="eastAsia"/>
                      <w:lang w:val="en-US" w:eastAsia="zh-CN"/>
                    </w:rPr>
                    <w:t>YS5117223210001</w:t>
                  </w:r>
                </w:p>
              </w:tc>
              <w:tc>
                <w:tcPr>
                  <w:tcW w:w="308" w:type="pct"/>
                  <w:vMerge w:val="continue"/>
                  <w:tcBorders>
                    <w:tl2br w:val="nil"/>
                    <w:tr2bl w:val="nil"/>
                  </w:tcBorders>
                  <w:noWrap w:val="0"/>
                  <w:vAlign w:val="center"/>
                </w:tcPr>
                <w:p>
                  <w:pPr>
                    <w:pStyle w:val="15"/>
                    <w:bidi w:val="0"/>
                    <w:jc w:val="center"/>
                    <w:rPr>
                      <w:lang w:val="en-US" w:eastAsia="zh-CN"/>
                    </w:rPr>
                  </w:pPr>
                  <w:r>
                    <w:rPr>
                      <w:rFonts w:hint="eastAsia"/>
                      <w:lang w:val="en-US" w:eastAsia="zh-CN"/>
                    </w:rPr>
                    <w:t>州河宣汉县张鼓坪控制单元</w:t>
                  </w:r>
                </w:p>
              </w:tc>
              <w:tc>
                <w:tcPr>
                  <w:tcW w:w="1254" w:type="pct"/>
                  <w:vMerge w:val="continue"/>
                  <w:tcBorders>
                    <w:tl2br w:val="nil"/>
                    <w:tr2bl w:val="nil"/>
                  </w:tcBorders>
                  <w:noWrap w:val="0"/>
                  <w:vAlign w:val="center"/>
                </w:tcPr>
                <w:p>
                  <w:pPr>
                    <w:pStyle w:val="15"/>
                    <w:bidi w:val="0"/>
                    <w:jc w:val="center"/>
                    <w:rPr>
                      <w:lang w:val="en-US" w:eastAsia="zh-CN"/>
                    </w:rPr>
                  </w:pPr>
                  <w:r>
                    <w:rPr>
                      <w:rFonts w:hint="eastAsia"/>
                      <w:lang w:val="en-US" w:eastAsia="zh-CN"/>
                    </w:rPr>
                    <w:t>空间布局约束：</w:t>
                  </w:r>
                </w:p>
                <w:p>
                  <w:pPr>
                    <w:pStyle w:val="15"/>
                    <w:bidi w:val="0"/>
                    <w:jc w:val="center"/>
                    <w:rPr>
                      <w:rFonts w:hint="eastAsia"/>
                      <w:lang w:val="en-US" w:eastAsia="zh-CN"/>
                    </w:rPr>
                  </w:pPr>
                  <w:r>
                    <w:rPr>
                      <w:rFonts w:hint="eastAsia"/>
                      <w:lang w:val="en-US" w:eastAsia="zh-CN"/>
                    </w:rPr>
                    <w:t>禁止开发建设活动的要求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限制开发建设活动的要求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不符合空间布局要求活动的退出要求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其他空间布局约束要求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污染物排放管控：</w:t>
                  </w:r>
                </w:p>
                <w:p>
                  <w:pPr>
                    <w:pStyle w:val="15"/>
                    <w:bidi w:val="0"/>
                    <w:jc w:val="center"/>
                    <w:rPr>
                      <w:rFonts w:hint="eastAsia"/>
                      <w:lang w:val="en-US" w:eastAsia="zh-CN"/>
                    </w:rPr>
                  </w:pPr>
                  <w:r>
                    <w:rPr>
                      <w:rFonts w:hint="eastAsia"/>
                      <w:lang w:val="en-US" w:eastAsia="zh-CN"/>
                    </w:rPr>
                    <w:t>允许排放量要求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现有源提标升级改造</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其他污染物排放管控要求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环境风险防控：</w:t>
                  </w:r>
                </w:p>
                <w:p>
                  <w:pPr>
                    <w:pStyle w:val="15"/>
                    <w:bidi w:val="0"/>
                    <w:jc w:val="center"/>
                    <w:rPr>
                      <w:rFonts w:hint="eastAsia"/>
                      <w:lang w:val="en-US" w:eastAsia="zh-CN"/>
                    </w:rPr>
                  </w:pPr>
                  <w:r>
                    <w:rPr>
                      <w:rFonts w:hint="eastAsia"/>
                      <w:lang w:val="en-US" w:eastAsia="zh-CN"/>
                    </w:rPr>
                    <w:t>联防联控要求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其他环境风险防控要求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资源开发利用效率要求：</w:t>
                  </w:r>
                </w:p>
                <w:p>
                  <w:pPr>
                    <w:pStyle w:val="15"/>
                    <w:bidi w:val="0"/>
                    <w:jc w:val="center"/>
                    <w:rPr>
                      <w:rFonts w:hint="eastAsia"/>
                      <w:lang w:val="en-US" w:eastAsia="zh-CN"/>
                    </w:rPr>
                  </w:pPr>
                  <w:r>
                    <w:rPr>
                      <w:rFonts w:hint="eastAsia"/>
                      <w:lang w:val="en-US" w:eastAsia="zh-CN"/>
                    </w:rPr>
                    <w:t>水资源利用总量要求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地下水开采要求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能源利用总量及效率要求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禁燃区要求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其他资源利用效率要求</w:t>
                  </w:r>
                </w:p>
                <w:p>
                  <w:pPr>
                    <w:pStyle w:val="15"/>
                    <w:bidi w:val="0"/>
                    <w:jc w:val="center"/>
                    <w:rPr>
                      <w:rFonts w:hint="eastAsia"/>
                      <w:lang w:val="en-US" w:eastAsia="zh-CN"/>
                    </w:rPr>
                  </w:pPr>
                  <w:r>
                    <w:rPr>
                      <w:rFonts w:hint="eastAsia"/>
                      <w:lang w:val="en-US" w:eastAsia="zh-CN"/>
                    </w:rPr>
                    <w:t>暂无</w:t>
                  </w:r>
                </w:p>
              </w:tc>
              <w:tc>
                <w:tcPr>
                  <w:tcW w:w="262" w:type="pct"/>
                  <w:tcBorders>
                    <w:tl2br w:val="nil"/>
                    <w:tr2bl w:val="nil"/>
                  </w:tcBorders>
                  <w:noWrap w:val="0"/>
                  <w:vAlign w:val="center"/>
                </w:tcPr>
                <w:p>
                  <w:pPr>
                    <w:pStyle w:val="15"/>
                    <w:bidi w:val="0"/>
                    <w:jc w:val="center"/>
                    <w:rPr>
                      <w:lang w:val="en-US" w:eastAsia="zh-CN"/>
                    </w:rPr>
                  </w:pPr>
                  <w:r>
                    <w:rPr>
                      <w:rFonts w:hint="eastAsia"/>
                      <w:lang w:val="en-US" w:eastAsia="zh-CN"/>
                    </w:rPr>
                    <w:t>污染物排放管控</w:t>
                  </w:r>
                </w:p>
              </w:tc>
              <w:tc>
                <w:tcPr>
                  <w:tcW w:w="1336" w:type="pct"/>
                  <w:tcBorders>
                    <w:tl2br w:val="nil"/>
                    <w:tr2bl w:val="nil"/>
                  </w:tcBorders>
                  <w:noWrap w:val="0"/>
                  <w:vAlign w:val="center"/>
                </w:tcPr>
                <w:p>
                  <w:pPr>
                    <w:pStyle w:val="15"/>
                    <w:bidi w:val="0"/>
                    <w:jc w:val="center"/>
                    <w:rPr>
                      <w:lang w:val="en-US" w:eastAsia="zh-CN"/>
                    </w:rPr>
                  </w:pPr>
                  <w:r>
                    <w:rPr>
                      <w:rFonts w:hint="eastAsia"/>
                      <w:lang w:val="en-US" w:eastAsia="zh-CN"/>
                    </w:rPr>
                    <w:t>城镇污水污染控制措施要求</w:t>
                  </w:r>
                </w:p>
                <w:p>
                  <w:pPr>
                    <w:pStyle w:val="15"/>
                    <w:bidi w:val="0"/>
                    <w:jc w:val="center"/>
                    <w:rPr>
                      <w:rFonts w:hint="eastAsia"/>
                      <w:lang w:val="en-US" w:eastAsia="zh-CN"/>
                    </w:rPr>
                  </w:pPr>
                  <w:r>
                    <w:rPr>
                      <w:rFonts w:hint="eastAsia"/>
                      <w:lang w:val="en-US" w:eastAsia="zh-CN"/>
                    </w:rPr>
                    <w:t>工业废水污染控制措施要求</w:t>
                  </w:r>
                </w:p>
                <w:p>
                  <w:pPr>
                    <w:pStyle w:val="15"/>
                    <w:bidi w:val="0"/>
                    <w:jc w:val="center"/>
                    <w:rPr>
                      <w:rFonts w:hint="eastAsia"/>
                      <w:lang w:val="en-US" w:eastAsia="zh-CN"/>
                    </w:rPr>
                  </w:pPr>
                  <w:r>
                    <w:rPr>
                      <w:rFonts w:hint="eastAsia"/>
                      <w:lang w:val="en-US" w:eastAsia="zh-CN"/>
                    </w:rPr>
                    <w:t>农业面源水污染控制措施要求</w:t>
                  </w:r>
                </w:p>
                <w:p>
                  <w:pPr>
                    <w:pStyle w:val="15"/>
                    <w:bidi w:val="0"/>
                    <w:jc w:val="center"/>
                    <w:rPr>
                      <w:rFonts w:hint="eastAsia"/>
                      <w:lang w:val="en-US" w:eastAsia="zh-CN"/>
                    </w:rPr>
                  </w:pPr>
                  <w:r>
                    <w:rPr>
                      <w:rFonts w:hint="eastAsia"/>
                      <w:lang w:val="en-US" w:eastAsia="zh-CN"/>
                    </w:rPr>
                    <w:t>船舶港口水污染控制措施要求</w:t>
                  </w:r>
                </w:p>
                <w:p>
                  <w:pPr>
                    <w:pStyle w:val="15"/>
                    <w:bidi w:val="0"/>
                    <w:jc w:val="center"/>
                    <w:rPr>
                      <w:rFonts w:hint="eastAsia"/>
                      <w:lang w:val="en-US" w:eastAsia="zh-CN"/>
                    </w:rPr>
                  </w:pPr>
                  <w:r>
                    <w:rPr>
                      <w:rFonts w:hint="eastAsia"/>
                      <w:lang w:val="en-US" w:eastAsia="zh-CN"/>
                    </w:rPr>
                    <w:t>饮用水水源和其它特殊水体保护要求</w:t>
                  </w:r>
                </w:p>
              </w:tc>
              <w:tc>
                <w:tcPr>
                  <w:tcW w:w="870" w:type="pct"/>
                  <w:tcBorders>
                    <w:tl2br w:val="nil"/>
                    <w:tr2bl w:val="nil"/>
                  </w:tcBorders>
                  <w:noWrap w:val="0"/>
                  <w:vAlign w:val="center"/>
                </w:tcPr>
                <w:p>
                  <w:pPr>
                    <w:pStyle w:val="15"/>
                    <w:bidi w:val="0"/>
                    <w:ind w:firstLine="0" w:firstLineChars="0"/>
                    <w:rPr>
                      <w:rFonts w:hint="eastAsia" w:ascii="Times New Roman" w:hAnsi="Times New Roman" w:eastAsia="宋体" w:cstheme="minorBidi"/>
                      <w:color w:val="auto"/>
                      <w:kern w:val="2"/>
                      <w:sz w:val="21"/>
                      <w:szCs w:val="21"/>
                      <w:lang w:val="en-US" w:eastAsia="zh-CN" w:bidi="ar-SA"/>
                    </w:rPr>
                  </w:pPr>
                  <w:r>
                    <w:rPr>
                      <w:rFonts w:hint="eastAsia"/>
                      <w:color w:val="auto"/>
                      <w:lang w:val="en-US" w:eastAsia="zh-CN"/>
                    </w:rPr>
                    <w:t>本项目属于防洪治理工程，营运期无相关污染物排放</w:t>
                  </w:r>
                </w:p>
              </w:tc>
              <w:tc>
                <w:tcPr>
                  <w:tcW w:w="312" w:type="pct"/>
                  <w:tcBorders>
                    <w:tl2br w:val="nil"/>
                    <w:tr2bl w:val="nil"/>
                  </w:tcBorders>
                  <w:noWrap w:val="0"/>
                  <w:vAlign w:val="center"/>
                </w:tcPr>
                <w:p>
                  <w:pPr>
                    <w:pStyle w:val="15"/>
                    <w:bidi w:val="0"/>
                    <w:ind w:firstLine="0" w:firstLineChars="0"/>
                    <w:rPr>
                      <w:rFonts w:hint="eastAsia" w:ascii="Times New Roman" w:hAnsi="Times New Roman" w:eastAsia="宋体" w:cstheme="minorBidi"/>
                      <w:color w:val="auto"/>
                      <w:kern w:val="2"/>
                      <w:sz w:val="21"/>
                      <w:szCs w:val="21"/>
                      <w:lang w:val="en-US" w:eastAsia="zh-CN" w:bidi="ar-SA"/>
                    </w:rPr>
                  </w:pPr>
                  <w:r>
                    <w:rPr>
                      <w:rFonts w:hint="eastAsia"/>
                      <w:color w:val="auto"/>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5" w:type="pct"/>
                  <w:vMerge w:val="continue"/>
                  <w:tcBorders>
                    <w:tl2br w:val="nil"/>
                    <w:tr2bl w:val="nil"/>
                  </w:tcBorders>
                  <w:noWrap w:val="0"/>
                  <w:vAlign w:val="center"/>
                </w:tcPr>
                <w:p>
                  <w:pPr>
                    <w:pStyle w:val="15"/>
                    <w:bidi w:val="0"/>
                    <w:jc w:val="center"/>
                    <w:rPr>
                      <w:lang w:val="en-US" w:eastAsia="zh-CN"/>
                    </w:rPr>
                  </w:pPr>
                  <w:r>
                    <w:rPr>
                      <w:rFonts w:hint="eastAsia"/>
                      <w:lang w:val="en-US" w:eastAsia="zh-CN"/>
                    </w:rPr>
                    <w:t>YS5117223210001</w:t>
                  </w:r>
                </w:p>
              </w:tc>
              <w:tc>
                <w:tcPr>
                  <w:tcW w:w="308" w:type="pct"/>
                  <w:vMerge w:val="continue"/>
                  <w:tcBorders>
                    <w:tl2br w:val="nil"/>
                    <w:tr2bl w:val="nil"/>
                  </w:tcBorders>
                  <w:noWrap w:val="0"/>
                  <w:vAlign w:val="center"/>
                </w:tcPr>
                <w:p>
                  <w:pPr>
                    <w:pStyle w:val="15"/>
                    <w:bidi w:val="0"/>
                    <w:jc w:val="center"/>
                    <w:rPr>
                      <w:lang w:val="en-US" w:eastAsia="zh-CN"/>
                    </w:rPr>
                  </w:pPr>
                  <w:r>
                    <w:rPr>
                      <w:rFonts w:hint="eastAsia"/>
                      <w:lang w:val="en-US" w:eastAsia="zh-CN"/>
                    </w:rPr>
                    <w:t>州河宣汉县张鼓坪控制单元</w:t>
                  </w:r>
                </w:p>
              </w:tc>
              <w:tc>
                <w:tcPr>
                  <w:tcW w:w="1254" w:type="pct"/>
                  <w:vMerge w:val="continue"/>
                  <w:tcBorders>
                    <w:tl2br w:val="nil"/>
                    <w:tr2bl w:val="nil"/>
                  </w:tcBorders>
                  <w:noWrap w:val="0"/>
                  <w:vAlign w:val="center"/>
                </w:tcPr>
                <w:p>
                  <w:pPr>
                    <w:pStyle w:val="15"/>
                    <w:bidi w:val="0"/>
                    <w:jc w:val="center"/>
                    <w:rPr>
                      <w:lang w:val="en-US" w:eastAsia="zh-CN"/>
                    </w:rPr>
                  </w:pPr>
                  <w:r>
                    <w:rPr>
                      <w:rFonts w:hint="eastAsia"/>
                      <w:lang w:val="en-US" w:eastAsia="zh-CN"/>
                    </w:rPr>
                    <w:t>空间布局约束：</w:t>
                  </w:r>
                </w:p>
                <w:p>
                  <w:pPr>
                    <w:pStyle w:val="15"/>
                    <w:bidi w:val="0"/>
                    <w:jc w:val="center"/>
                    <w:rPr>
                      <w:rFonts w:hint="eastAsia"/>
                      <w:lang w:val="en-US" w:eastAsia="zh-CN"/>
                    </w:rPr>
                  </w:pPr>
                  <w:r>
                    <w:rPr>
                      <w:rFonts w:hint="eastAsia"/>
                      <w:lang w:val="en-US" w:eastAsia="zh-CN"/>
                    </w:rPr>
                    <w:t>禁止开发建设活动的要求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限制开发建设活动的要求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不符合空间布局要求活动的退出要求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其他空间布局约束要求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污染物排放管控：</w:t>
                  </w:r>
                </w:p>
                <w:p>
                  <w:pPr>
                    <w:pStyle w:val="15"/>
                    <w:bidi w:val="0"/>
                    <w:jc w:val="center"/>
                    <w:rPr>
                      <w:rFonts w:hint="eastAsia"/>
                      <w:lang w:val="en-US" w:eastAsia="zh-CN"/>
                    </w:rPr>
                  </w:pPr>
                  <w:r>
                    <w:rPr>
                      <w:rFonts w:hint="eastAsia"/>
                      <w:lang w:val="en-US" w:eastAsia="zh-CN"/>
                    </w:rPr>
                    <w:t>允许排放量要求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现有源提标升级改造</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其他污染物排放管控要求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环境风险防控：</w:t>
                  </w:r>
                </w:p>
                <w:p>
                  <w:pPr>
                    <w:pStyle w:val="15"/>
                    <w:bidi w:val="0"/>
                    <w:jc w:val="center"/>
                    <w:rPr>
                      <w:rFonts w:hint="eastAsia"/>
                      <w:lang w:val="en-US" w:eastAsia="zh-CN"/>
                    </w:rPr>
                  </w:pPr>
                  <w:r>
                    <w:rPr>
                      <w:rFonts w:hint="eastAsia"/>
                      <w:lang w:val="en-US" w:eastAsia="zh-CN"/>
                    </w:rPr>
                    <w:t>联防联控要求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其他环境风险防控要求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资源开发利用效率要求：</w:t>
                  </w:r>
                </w:p>
                <w:p>
                  <w:pPr>
                    <w:pStyle w:val="15"/>
                    <w:bidi w:val="0"/>
                    <w:jc w:val="center"/>
                    <w:rPr>
                      <w:rFonts w:hint="eastAsia"/>
                      <w:lang w:val="en-US" w:eastAsia="zh-CN"/>
                    </w:rPr>
                  </w:pPr>
                  <w:r>
                    <w:rPr>
                      <w:rFonts w:hint="eastAsia"/>
                      <w:lang w:val="en-US" w:eastAsia="zh-CN"/>
                    </w:rPr>
                    <w:t>水资源利用总量要求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地下水开采要求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能源利用总量及效率要求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禁燃区要求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其他资源利用效率要求</w:t>
                  </w:r>
                </w:p>
                <w:p>
                  <w:pPr>
                    <w:pStyle w:val="15"/>
                    <w:bidi w:val="0"/>
                    <w:jc w:val="center"/>
                    <w:rPr>
                      <w:rFonts w:hint="eastAsia"/>
                      <w:lang w:val="en-US" w:eastAsia="zh-CN"/>
                    </w:rPr>
                  </w:pPr>
                  <w:r>
                    <w:rPr>
                      <w:rFonts w:hint="eastAsia"/>
                      <w:lang w:val="en-US" w:eastAsia="zh-CN"/>
                    </w:rPr>
                    <w:t>暂无</w:t>
                  </w:r>
                </w:p>
              </w:tc>
              <w:tc>
                <w:tcPr>
                  <w:tcW w:w="262" w:type="pct"/>
                  <w:tcBorders>
                    <w:tl2br w:val="nil"/>
                    <w:tr2bl w:val="nil"/>
                  </w:tcBorders>
                  <w:noWrap w:val="0"/>
                  <w:vAlign w:val="center"/>
                </w:tcPr>
                <w:p>
                  <w:pPr>
                    <w:pStyle w:val="15"/>
                    <w:bidi w:val="0"/>
                    <w:jc w:val="center"/>
                    <w:rPr>
                      <w:lang w:val="en-US" w:eastAsia="zh-CN"/>
                    </w:rPr>
                  </w:pPr>
                  <w:r>
                    <w:rPr>
                      <w:rFonts w:hint="eastAsia"/>
                      <w:lang w:val="en-US" w:eastAsia="zh-CN"/>
                    </w:rPr>
                    <w:t>环境风险防控</w:t>
                  </w:r>
                </w:p>
              </w:tc>
              <w:tc>
                <w:tcPr>
                  <w:tcW w:w="1336" w:type="pct"/>
                  <w:vMerge w:val="restart"/>
                  <w:tcBorders>
                    <w:tl2br w:val="nil"/>
                    <w:tr2bl w:val="nil"/>
                  </w:tcBorders>
                  <w:noWrap w:val="0"/>
                  <w:vAlign w:val="center"/>
                </w:tcPr>
                <w:p>
                  <w:pPr>
                    <w:pStyle w:val="15"/>
                    <w:bidi w:val="0"/>
                    <w:jc w:val="center"/>
                    <w:rPr>
                      <w:lang w:val="en-US" w:eastAsia="zh-CN"/>
                    </w:rPr>
                  </w:pPr>
                  <w:r>
                    <w:rPr>
                      <w:rFonts w:hint="eastAsia"/>
                      <w:lang w:val="en-US" w:eastAsia="zh-CN"/>
                    </w:rPr>
                    <w:t>/</w:t>
                  </w:r>
                </w:p>
              </w:tc>
              <w:tc>
                <w:tcPr>
                  <w:tcW w:w="870" w:type="pct"/>
                  <w:tcBorders>
                    <w:tl2br w:val="nil"/>
                    <w:tr2bl w:val="nil"/>
                  </w:tcBorders>
                  <w:noWrap w:val="0"/>
                  <w:vAlign w:val="center"/>
                </w:tcPr>
                <w:p>
                  <w:pPr>
                    <w:pStyle w:val="15"/>
                    <w:bidi w:val="0"/>
                    <w:jc w:val="center"/>
                    <w:rPr>
                      <w:rFonts w:hint="default"/>
                      <w:lang w:val="en-US" w:eastAsia="zh-CN"/>
                    </w:rPr>
                  </w:pPr>
                  <w:r>
                    <w:rPr>
                      <w:rFonts w:hint="eastAsia"/>
                      <w:lang w:val="en-US" w:eastAsia="zh-CN"/>
                    </w:rPr>
                    <w:t>/</w:t>
                  </w:r>
                </w:p>
              </w:tc>
              <w:tc>
                <w:tcPr>
                  <w:tcW w:w="312" w:type="pct"/>
                  <w:tcBorders>
                    <w:tl2br w:val="nil"/>
                    <w:tr2bl w:val="nil"/>
                  </w:tcBorders>
                  <w:noWrap w:val="0"/>
                  <w:vAlign w:val="center"/>
                </w:tcPr>
                <w:p>
                  <w:pPr>
                    <w:pStyle w:val="15"/>
                    <w:bidi w:val="0"/>
                    <w:jc w:val="center"/>
                    <w:rPr>
                      <w:rFonts w:hint="default"/>
                      <w:lang w:val="en-US" w:eastAsia="zh-CN"/>
                    </w:rPr>
                  </w:pPr>
                  <w:r>
                    <w:rPr>
                      <w:rFonts w:hint="eastAsia"/>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5" w:type="pct"/>
                  <w:vMerge w:val="continue"/>
                  <w:tcBorders>
                    <w:tl2br w:val="nil"/>
                    <w:tr2bl w:val="nil"/>
                  </w:tcBorders>
                  <w:noWrap w:val="0"/>
                  <w:vAlign w:val="center"/>
                </w:tcPr>
                <w:p>
                  <w:pPr>
                    <w:pStyle w:val="15"/>
                    <w:bidi w:val="0"/>
                    <w:jc w:val="center"/>
                    <w:rPr>
                      <w:lang w:val="en-US" w:eastAsia="zh-CN"/>
                    </w:rPr>
                  </w:pPr>
                  <w:r>
                    <w:rPr>
                      <w:rFonts w:hint="eastAsia"/>
                      <w:lang w:val="en-US" w:eastAsia="zh-CN"/>
                    </w:rPr>
                    <w:t>YS5117223210001</w:t>
                  </w:r>
                </w:p>
              </w:tc>
              <w:tc>
                <w:tcPr>
                  <w:tcW w:w="308" w:type="pct"/>
                  <w:vMerge w:val="continue"/>
                  <w:tcBorders>
                    <w:tl2br w:val="nil"/>
                    <w:tr2bl w:val="nil"/>
                  </w:tcBorders>
                  <w:noWrap w:val="0"/>
                  <w:vAlign w:val="center"/>
                </w:tcPr>
                <w:p>
                  <w:pPr>
                    <w:pStyle w:val="15"/>
                    <w:bidi w:val="0"/>
                    <w:jc w:val="center"/>
                    <w:rPr>
                      <w:lang w:val="en-US" w:eastAsia="zh-CN"/>
                    </w:rPr>
                  </w:pPr>
                  <w:r>
                    <w:rPr>
                      <w:rFonts w:hint="eastAsia"/>
                      <w:lang w:val="en-US" w:eastAsia="zh-CN"/>
                    </w:rPr>
                    <w:t>州河宣汉县张鼓坪控制单元</w:t>
                  </w:r>
                </w:p>
              </w:tc>
              <w:tc>
                <w:tcPr>
                  <w:tcW w:w="1254" w:type="pct"/>
                  <w:vMerge w:val="continue"/>
                  <w:tcBorders>
                    <w:tl2br w:val="nil"/>
                    <w:tr2bl w:val="nil"/>
                  </w:tcBorders>
                  <w:noWrap w:val="0"/>
                  <w:vAlign w:val="center"/>
                </w:tcPr>
                <w:p>
                  <w:pPr>
                    <w:pStyle w:val="15"/>
                    <w:bidi w:val="0"/>
                    <w:jc w:val="center"/>
                    <w:rPr>
                      <w:lang w:val="en-US" w:eastAsia="zh-CN"/>
                    </w:rPr>
                  </w:pPr>
                  <w:r>
                    <w:rPr>
                      <w:rFonts w:hint="eastAsia"/>
                      <w:lang w:val="en-US" w:eastAsia="zh-CN"/>
                    </w:rPr>
                    <w:t>空间布局约束：</w:t>
                  </w:r>
                </w:p>
                <w:p>
                  <w:pPr>
                    <w:pStyle w:val="15"/>
                    <w:bidi w:val="0"/>
                    <w:jc w:val="center"/>
                    <w:rPr>
                      <w:rFonts w:hint="eastAsia"/>
                      <w:lang w:val="en-US" w:eastAsia="zh-CN"/>
                    </w:rPr>
                  </w:pPr>
                  <w:r>
                    <w:rPr>
                      <w:rFonts w:hint="eastAsia"/>
                      <w:lang w:val="en-US" w:eastAsia="zh-CN"/>
                    </w:rPr>
                    <w:t>禁止开发建设活动的要求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限制开发建设活动的要求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不符合空间布局要求活动的退出要求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其他空间布局约束要求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污染物排放管控：</w:t>
                  </w:r>
                </w:p>
                <w:p>
                  <w:pPr>
                    <w:pStyle w:val="15"/>
                    <w:bidi w:val="0"/>
                    <w:jc w:val="center"/>
                    <w:rPr>
                      <w:rFonts w:hint="eastAsia"/>
                      <w:lang w:val="en-US" w:eastAsia="zh-CN"/>
                    </w:rPr>
                  </w:pPr>
                  <w:r>
                    <w:rPr>
                      <w:rFonts w:hint="eastAsia"/>
                      <w:lang w:val="en-US" w:eastAsia="zh-CN"/>
                    </w:rPr>
                    <w:t>允许排放量要求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现有源提标升级改造</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其他污染物排放管控要求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环境风险防控：</w:t>
                  </w:r>
                </w:p>
                <w:p>
                  <w:pPr>
                    <w:pStyle w:val="15"/>
                    <w:bidi w:val="0"/>
                    <w:jc w:val="center"/>
                    <w:rPr>
                      <w:rFonts w:hint="eastAsia"/>
                      <w:lang w:val="en-US" w:eastAsia="zh-CN"/>
                    </w:rPr>
                  </w:pPr>
                  <w:r>
                    <w:rPr>
                      <w:rFonts w:hint="eastAsia"/>
                      <w:lang w:val="en-US" w:eastAsia="zh-CN"/>
                    </w:rPr>
                    <w:t>联防联控要求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其他环境风险防控要求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资源开发利用效率要求：</w:t>
                  </w:r>
                </w:p>
                <w:p>
                  <w:pPr>
                    <w:pStyle w:val="15"/>
                    <w:bidi w:val="0"/>
                    <w:jc w:val="center"/>
                    <w:rPr>
                      <w:rFonts w:hint="eastAsia"/>
                      <w:lang w:val="en-US" w:eastAsia="zh-CN"/>
                    </w:rPr>
                  </w:pPr>
                  <w:r>
                    <w:rPr>
                      <w:rFonts w:hint="eastAsia"/>
                      <w:lang w:val="en-US" w:eastAsia="zh-CN"/>
                    </w:rPr>
                    <w:t>水资源利用总量要求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地下水开采要求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能源利用总量及效率要求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禁燃区要求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其他资源利用效率要求</w:t>
                  </w:r>
                </w:p>
                <w:p>
                  <w:pPr>
                    <w:pStyle w:val="15"/>
                    <w:bidi w:val="0"/>
                    <w:jc w:val="center"/>
                    <w:rPr>
                      <w:rFonts w:hint="eastAsia"/>
                      <w:lang w:val="en-US" w:eastAsia="zh-CN"/>
                    </w:rPr>
                  </w:pPr>
                  <w:r>
                    <w:rPr>
                      <w:rFonts w:hint="eastAsia"/>
                      <w:lang w:val="en-US" w:eastAsia="zh-CN"/>
                    </w:rPr>
                    <w:t>暂无</w:t>
                  </w:r>
                </w:p>
              </w:tc>
              <w:tc>
                <w:tcPr>
                  <w:tcW w:w="262" w:type="pct"/>
                  <w:tcBorders>
                    <w:tl2br w:val="nil"/>
                    <w:tr2bl w:val="nil"/>
                  </w:tcBorders>
                  <w:noWrap w:val="0"/>
                  <w:vAlign w:val="center"/>
                </w:tcPr>
                <w:p>
                  <w:pPr>
                    <w:pStyle w:val="15"/>
                    <w:bidi w:val="0"/>
                    <w:jc w:val="center"/>
                    <w:rPr>
                      <w:lang w:val="en-US" w:eastAsia="zh-CN"/>
                    </w:rPr>
                  </w:pPr>
                  <w:r>
                    <w:rPr>
                      <w:rFonts w:hint="eastAsia"/>
                      <w:lang w:val="en-US" w:eastAsia="zh-CN"/>
                    </w:rPr>
                    <w:t>资源开发效率要求</w:t>
                  </w:r>
                </w:p>
              </w:tc>
              <w:tc>
                <w:tcPr>
                  <w:tcW w:w="1336" w:type="pct"/>
                  <w:vMerge w:val="continue"/>
                  <w:tcBorders>
                    <w:tl2br w:val="nil"/>
                    <w:tr2bl w:val="nil"/>
                  </w:tcBorders>
                  <w:noWrap w:val="0"/>
                  <w:vAlign w:val="center"/>
                </w:tcPr>
                <w:p>
                  <w:pPr>
                    <w:pStyle w:val="15"/>
                    <w:bidi w:val="0"/>
                    <w:jc w:val="center"/>
                    <w:rPr>
                      <w:lang w:val="en-US" w:eastAsia="zh-CN"/>
                    </w:rPr>
                  </w:pPr>
                  <w:r>
                    <w:rPr>
                      <w:rFonts w:hint="eastAsia"/>
                      <w:lang w:val="en-US" w:eastAsia="zh-CN"/>
                    </w:rPr>
                    <w:t>/</w:t>
                  </w:r>
                </w:p>
              </w:tc>
              <w:tc>
                <w:tcPr>
                  <w:tcW w:w="870" w:type="pct"/>
                  <w:tcBorders>
                    <w:tl2br w:val="nil"/>
                    <w:tr2bl w:val="nil"/>
                  </w:tcBorders>
                  <w:noWrap w:val="0"/>
                  <w:vAlign w:val="center"/>
                </w:tcPr>
                <w:p>
                  <w:pPr>
                    <w:pStyle w:val="15"/>
                    <w:bidi w:val="0"/>
                    <w:jc w:val="center"/>
                    <w:rPr>
                      <w:rFonts w:hint="default"/>
                      <w:lang w:val="en-US" w:eastAsia="zh-CN"/>
                    </w:rPr>
                  </w:pPr>
                  <w:r>
                    <w:rPr>
                      <w:rFonts w:hint="eastAsia"/>
                      <w:lang w:val="en-US" w:eastAsia="zh-CN"/>
                    </w:rPr>
                    <w:t>/</w:t>
                  </w:r>
                </w:p>
              </w:tc>
              <w:tc>
                <w:tcPr>
                  <w:tcW w:w="312" w:type="pct"/>
                  <w:tcBorders>
                    <w:tl2br w:val="nil"/>
                    <w:tr2bl w:val="nil"/>
                  </w:tcBorders>
                  <w:noWrap w:val="0"/>
                  <w:vAlign w:val="center"/>
                </w:tcPr>
                <w:p>
                  <w:pPr>
                    <w:pStyle w:val="15"/>
                    <w:bidi w:val="0"/>
                    <w:jc w:val="center"/>
                    <w:rPr>
                      <w:rFonts w:hint="default"/>
                      <w:lang w:val="en-US" w:eastAsia="zh-CN"/>
                    </w:rPr>
                  </w:pPr>
                  <w:r>
                    <w:rPr>
                      <w:rFonts w:hint="eastAsia"/>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5" w:type="pct"/>
                  <w:vMerge w:val="restart"/>
                  <w:tcBorders>
                    <w:tl2br w:val="nil"/>
                    <w:tr2bl w:val="nil"/>
                  </w:tcBorders>
                  <w:noWrap w:val="0"/>
                  <w:vAlign w:val="center"/>
                </w:tcPr>
                <w:p>
                  <w:pPr>
                    <w:pStyle w:val="15"/>
                    <w:bidi w:val="0"/>
                    <w:jc w:val="center"/>
                    <w:rPr>
                      <w:lang w:val="en-US" w:eastAsia="zh-CN"/>
                    </w:rPr>
                  </w:pPr>
                  <w:r>
                    <w:rPr>
                      <w:rFonts w:hint="eastAsia"/>
                      <w:lang w:val="en-US" w:eastAsia="zh-CN"/>
                    </w:rPr>
                    <w:t>YS5117223310001</w:t>
                  </w:r>
                </w:p>
              </w:tc>
              <w:tc>
                <w:tcPr>
                  <w:tcW w:w="308" w:type="pct"/>
                  <w:vMerge w:val="restart"/>
                  <w:tcBorders>
                    <w:tl2br w:val="nil"/>
                    <w:tr2bl w:val="nil"/>
                  </w:tcBorders>
                  <w:noWrap w:val="0"/>
                  <w:vAlign w:val="center"/>
                </w:tcPr>
                <w:p>
                  <w:pPr>
                    <w:pStyle w:val="15"/>
                    <w:bidi w:val="0"/>
                    <w:jc w:val="center"/>
                    <w:rPr>
                      <w:lang w:val="en-US" w:eastAsia="zh-CN"/>
                    </w:rPr>
                  </w:pPr>
                  <w:r>
                    <w:rPr>
                      <w:rFonts w:hint="eastAsia"/>
                      <w:lang w:val="en-US" w:eastAsia="zh-CN"/>
                    </w:rPr>
                    <w:t>宣汉县大气环境一般管控区</w:t>
                  </w:r>
                </w:p>
              </w:tc>
              <w:tc>
                <w:tcPr>
                  <w:tcW w:w="1254" w:type="pct"/>
                  <w:vMerge w:val="continue"/>
                  <w:tcBorders>
                    <w:tl2br w:val="nil"/>
                    <w:tr2bl w:val="nil"/>
                  </w:tcBorders>
                  <w:noWrap w:val="0"/>
                  <w:vAlign w:val="center"/>
                </w:tcPr>
                <w:p>
                  <w:pPr>
                    <w:pStyle w:val="15"/>
                    <w:bidi w:val="0"/>
                    <w:jc w:val="center"/>
                    <w:rPr>
                      <w:lang w:val="en-US" w:eastAsia="zh-CN"/>
                    </w:rPr>
                  </w:pPr>
                  <w:r>
                    <w:rPr>
                      <w:rFonts w:hint="eastAsia"/>
                      <w:lang w:val="en-US" w:eastAsia="zh-CN"/>
                    </w:rPr>
                    <w:t>空间布局约束：</w:t>
                  </w:r>
                </w:p>
                <w:p>
                  <w:pPr>
                    <w:pStyle w:val="15"/>
                    <w:bidi w:val="0"/>
                    <w:jc w:val="center"/>
                    <w:rPr>
                      <w:rFonts w:hint="eastAsia"/>
                      <w:lang w:val="en-US" w:eastAsia="zh-CN"/>
                    </w:rPr>
                  </w:pPr>
                  <w:r>
                    <w:rPr>
                      <w:rFonts w:hint="eastAsia"/>
                      <w:lang w:val="en-US" w:eastAsia="zh-CN"/>
                    </w:rPr>
                    <w:t>禁止开发建设活动的要求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限制开发建设活动的要求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不符合空间布局要求活动的退出要求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其他空间布局约束要求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污染物排放管控：</w:t>
                  </w:r>
                </w:p>
                <w:p>
                  <w:pPr>
                    <w:pStyle w:val="15"/>
                    <w:bidi w:val="0"/>
                    <w:jc w:val="center"/>
                    <w:rPr>
                      <w:rFonts w:hint="eastAsia"/>
                      <w:lang w:val="en-US" w:eastAsia="zh-CN"/>
                    </w:rPr>
                  </w:pPr>
                  <w:r>
                    <w:rPr>
                      <w:rFonts w:hint="eastAsia"/>
                      <w:lang w:val="en-US" w:eastAsia="zh-CN"/>
                    </w:rPr>
                    <w:t>允许排放量要求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现有源提标升级改造</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其他污染物排放管控要求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环境风险防控：</w:t>
                  </w:r>
                </w:p>
                <w:p>
                  <w:pPr>
                    <w:pStyle w:val="15"/>
                    <w:bidi w:val="0"/>
                    <w:jc w:val="center"/>
                    <w:rPr>
                      <w:rFonts w:hint="eastAsia"/>
                      <w:lang w:val="en-US" w:eastAsia="zh-CN"/>
                    </w:rPr>
                  </w:pPr>
                  <w:r>
                    <w:rPr>
                      <w:rFonts w:hint="eastAsia"/>
                      <w:lang w:val="en-US" w:eastAsia="zh-CN"/>
                    </w:rPr>
                    <w:t>联防联控要求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其他环境风险防控要求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资源开发利用效率要求：</w:t>
                  </w:r>
                </w:p>
                <w:p>
                  <w:pPr>
                    <w:pStyle w:val="15"/>
                    <w:bidi w:val="0"/>
                    <w:jc w:val="center"/>
                    <w:rPr>
                      <w:rFonts w:hint="eastAsia"/>
                      <w:lang w:val="en-US" w:eastAsia="zh-CN"/>
                    </w:rPr>
                  </w:pPr>
                  <w:r>
                    <w:rPr>
                      <w:rFonts w:hint="eastAsia"/>
                      <w:lang w:val="en-US" w:eastAsia="zh-CN"/>
                    </w:rPr>
                    <w:t>水资源利用总量要求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地下水开采要求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能源利用总量及效率要求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禁燃区要求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其他资源利用效率要求</w:t>
                  </w:r>
                </w:p>
                <w:p>
                  <w:pPr>
                    <w:pStyle w:val="15"/>
                    <w:bidi w:val="0"/>
                    <w:jc w:val="center"/>
                    <w:rPr>
                      <w:rFonts w:hint="eastAsia"/>
                      <w:lang w:val="en-US" w:eastAsia="zh-CN"/>
                    </w:rPr>
                  </w:pPr>
                  <w:r>
                    <w:rPr>
                      <w:rFonts w:hint="eastAsia"/>
                      <w:lang w:val="en-US" w:eastAsia="zh-CN"/>
                    </w:rPr>
                    <w:t>暂无</w:t>
                  </w:r>
                </w:p>
              </w:tc>
              <w:tc>
                <w:tcPr>
                  <w:tcW w:w="262" w:type="pct"/>
                  <w:tcBorders>
                    <w:tl2br w:val="nil"/>
                    <w:tr2bl w:val="nil"/>
                  </w:tcBorders>
                  <w:noWrap w:val="0"/>
                  <w:vAlign w:val="center"/>
                </w:tcPr>
                <w:p>
                  <w:pPr>
                    <w:pStyle w:val="15"/>
                    <w:bidi w:val="0"/>
                    <w:jc w:val="center"/>
                    <w:rPr>
                      <w:lang w:val="en-US" w:eastAsia="zh-CN"/>
                    </w:rPr>
                  </w:pPr>
                  <w:r>
                    <w:rPr>
                      <w:rFonts w:hint="eastAsia"/>
                      <w:lang w:val="en-US" w:eastAsia="zh-CN"/>
                    </w:rPr>
                    <w:t>空间布局约束</w:t>
                  </w:r>
                </w:p>
              </w:tc>
              <w:tc>
                <w:tcPr>
                  <w:tcW w:w="1336" w:type="pct"/>
                  <w:tcBorders>
                    <w:tl2br w:val="nil"/>
                    <w:tr2bl w:val="nil"/>
                  </w:tcBorders>
                  <w:noWrap w:val="0"/>
                  <w:vAlign w:val="center"/>
                </w:tcPr>
                <w:p>
                  <w:pPr>
                    <w:pStyle w:val="15"/>
                    <w:bidi w:val="0"/>
                    <w:jc w:val="center"/>
                    <w:rPr>
                      <w:lang w:val="en-US" w:eastAsia="zh-CN"/>
                    </w:rPr>
                  </w:pPr>
                  <w:r>
                    <w:rPr>
                      <w:rFonts w:hint="eastAsia"/>
                      <w:lang w:val="en-US" w:eastAsia="zh-CN"/>
                    </w:rPr>
                    <w:t>禁止开发建设活动的要求</w:t>
                  </w:r>
                </w:p>
                <w:p>
                  <w:pPr>
                    <w:pStyle w:val="15"/>
                    <w:bidi w:val="0"/>
                    <w:jc w:val="center"/>
                    <w:rPr>
                      <w:rFonts w:hint="eastAsia"/>
                      <w:lang w:val="en-US" w:eastAsia="zh-CN"/>
                    </w:rPr>
                  </w:pPr>
                  <w:r>
                    <w:rPr>
                      <w:rFonts w:hint="eastAsia"/>
                      <w:lang w:val="en-US" w:eastAsia="zh-CN"/>
                    </w:rPr>
                    <w:t>限制开发建设活动的要求</w:t>
                  </w:r>
                </w:p>
                <w:p>
                  <w:pPr>
                    <w:pStyle w:val="15"/>
                    <w:bidi w:val="0"/>
                    <w:jc w:val="center"/>
                    <w:rPr>
                      <w:rFonts w:hint="eastAsia"/>
                      <w:lang w:val="en-US" w:eastAsia="zh-CN"/>
                    </w:rPr>
                  </w:pPr>
                  <w:r>
                    <w:rPr>
                      <w:rFonts w:hint="eastAsia"/>
                      <w:lang w:val="en-US" w:eastAsia="zh-CN"/>
                    </w:rPr>
                    <w:t>允许开发建设活动的要求</w:t>
                  </w:r>
                </w:p>
                <w:p>
                  <w:pPr>
                    <w:pStyle w:val="15"/>
                    <w:bidi w:val="0"/>
                    <w:jc w:val="center"/>
                    <w:rPr>
                      <w:rFonts w:hint="eastAsia"/>
                      <w:lang w:val="en-US" w:eastAsia="zh-CN"/>
                    </w:rPr>
                  </w:pPr>
                  <w:r>
                    <w:rPr>
                      <w:rFonts w:hint="eastAsia"/>
                      <w:lang w:val="en-US" w:eastAsia="zh-CN"/>
                    </w:rPr>
                    <w:t>不符合空间布局要求活动的退出要求</w:t>
                  </w:r>
                </w:p>
                <w:p>
                  <w:pPr>
                    <w:pStyle w:val="15"/>
                    <w:bidi w:val="0"/>
                    <w:jc w:val="center"/>
                    <w:rPr>
                      <w:rFonts w:hint="eastAsia"/>
                      <w:lang w:val="en-US" w:eastAsia="zh-CN"/>
                    </w:rPr>
                  </w:pPr>
                  <w:r>
                    <w:rPr>
                      <w:rFonts w:hint="eastAsia"/>
                      <w:lang w:val="en-US" w:eastAsia="zh-CN"/>
                    </w:rPr>
                    <w:t>其他空间布局约束要求</w:t>
                  </w:r>
                </w:p>
              </w:tc>
              <w:tc>
                <w:tcPr>
                  <w:tcW w:w="870" w:type="pct"/>
                  <w:tcBorders>
                    <w:tl2br w:val="nil"/>
                    <w:tr2bl w:val="nil"/>
                  </w:tcBorders>
                  <w:noWrap w:val="0"/>
                  <w:vAlign w:val="center"/>
                </w:tcPr>
                <w:p>
                  <w:pPr>
                    <w:pStyle w:val="15"/>
                    <w:bidi w:val="0"/>
                    <w:ind w:firstLine="0" w:firstLineChars="0"/>
                    <w:rPr>
                      <w:rFonts w:hint="eastAsia" w:ascii="Times New Roman" w:hAnsi="Times New Roman" w:eastAsia="宋体" w:cstheme="minorBidi"/>
                      <w:color w:val="auto"/>
                      <w:kern w:val="2"/>
                      <w:sz w:val="21"/>
                      <w:szCs w:val="21"/>
                      <w:lang w:val="en-US" w:eastAsia="zh-CN" w:bidi="ar-SA"/>
                    </w:rPr>
                  </w:pPr>
                  <w:r>
                    <w:rPr>
                      <w:rFonts w:hint="eastAsia"/>
                      <w:color w:val="auto"/>
                      <w:lang w:val="en-US" w:eastAsia="zh-CN"/>
                    </w:rPr>
                    <w:t>本项目属于防洪治理工程，不属于相关管控类型</w:t>
                  </w:r>
                </w:p>
              </w:tc>
              <w:tc>
                <w:tcPr>
                  <w:tcW w:w="312" w:type="pct"/>
                  <w:tcBorders>
                    <w:tl2br w:val="nil"/>
                    <w:tr2bl w:val="nil"/>
                  </w:tcBorders>
                  <w:noWrap w:val="0"/>
                  <w:vAlign w:val="center"/>
                </w:tcPr>
                <w:p>
                  <w:pPr>
                    <w:pStyle w:val="15"/>
                    <w:bidi w:val="0"/>
                    <w:ind w:firstLine="0" w:firstLineChars="0"/>
                    <w:rPr>
                      <w:rFonts w:hint="eastAsia" w:ascii="Times New Roman" w:hAnsi="Times New Roman" w:eastAsia="宋体" w:cstheme="minorBidi"/>
                      <w:color w:val="auto"/>
                      <w:kern w:val="2"/>
                      <w:sz w:val="21"/>
                      <w:szCs w:val="21"/>
                      <w:lang w:val="en-US" w:eastAsia="zh-CN" w:bidi="ar-SA"/>
                    </w:rPr>
                  </w:pPr>
                  <w:r>
                    <w:rPr>
                      <w:rFonts w:hint="eastAsia"/>
                      <w:color w:val="auto"/>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5" w:type="pct"/>
                  <w:vMerge w:val="continue"/>
                  <w:tcBorders>
                    <w:tl2br w:val="nil"/>
                    <w:tr2bl w:val="nil"/>
                  </w:tcBorders>
                  <w:noWrap w:val="0"/>
                  <w:vAlign w:val="center"/>
                </w:tcPr>
                <w:p>
                  <w:pPr>
                    <w:pStyle w:val="15"/>
                    <w:bidi w:val="0"/>
                    <w:jc w:val="center"/>
                    <w:rPr>
                      <w:lang w:val="en-US" w:eastAsia="zh-CN"/>
                    </w:rPr>
                  </w:pPr>
                  <w:r>
                    <w:rPr>
                      <w:rFonts w:hint="eastAsia"/>
                      <w:lang w:val="en-US" w:eastAsia="zh-CN"/>
                    </w:rPr>
                    <w:t>YS5117223310001</w:t>
                  </w:r>
                </w:p>
              </w:tc>
              <w:tc>
                <w:tcPr>
                  <w:tcW w:w="308" w:type="pct"/>
                  <w:vMerge w:val="continue"/>
                  <w:tcBorders>
                    <w:tl2br w:val="nil"/>
                    <w:tr2bl w:val="nil"/>
                  </w:tcBorders>
                  <w:noWrap w:val="0"/>
                  <w:vAlign w:val="center"/>
                </w:tcPr>
                <w:p>
                  <w:pPr>
                    <w:pStyle w:val="15"/>
                    <w:bidi w:val="0"/>
                    <w:jc w:val="center"/>
                    <w:rPr>
                      <w:lang w:val="en-US" w:eastAsia="zh-CN"/>
                    </w:rPr>
                  </w:pPr>
                  <w:r>
                    <w:rPr>
                      <w:rFonts w:hint="eastAsia"/>
                      <w:lang w:val="en-US" w:eastAsia="zh-CN"/>
                    </w:rPr>
                    <w:t>宣汉县大气环境一般管控区</w:t>
                  </w:r>
                </w:p>
              </w:tc>
              <w:tc>
                <w:tcPr>
                  <w:tcW w:w="1254" w:type="pct"/>
                  <w:vMerge w:val="continue"/>
                  <w:tcBorders>
                    <w:tl2br w:val="nil"/>
                    <w:tr2bl w:val="nil"/>
                  </w:tcBorders>
                  <w:noWrap w:val="0"/>
                  <w:vAlign w:val="center"/>
                </w:tcPr>
                <w:p>
                  <w:pPr>
                    <w:pStyle w:val="15"/>
                    <w:bidi w:val="0"/>
                    <w:jc w:val="center"/>
                    <w:rPr>
                      <w:lang w:val="en-US" w:eastAsia="zh-CN"/>
                    </w:rPr>
                  </w:pPr>
                  <w:r>
                    <w:rPr>
                      <w:rFonts w:hint="eastAsia"/>
                      <w:lang w:val="en-US" w:eastAsia="zh-CN"/>
                    </w:rPr>
                    <w:t>空间布局约束：</w:t>
                  </w:r>
                </w:p>
                <w:p>
                  <w:pPr>
                    <w:pStyle w:val="15"/>
                    <w:bidi w:val="0"/>
                    <w:jc w:val="center"/>
                    <w:rPr>
                      <w:rFonts w:hint="eastAsia"/>
                      <w:lang w:val="en-US" w:eastAsia="zh-CN"/>
                    </w:rPr>
                  </w:pPr>
                  <w:r>
                    <w:rPr>
                      <w:rFonts w:hint="eastAsia"/>
                      <w:lang w:val="en-US" w:eastAsia="zh-CN"/>
                    </w:rPr>
                    <w:t>禁止开发建设活动的要求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限制开发建设活动的要求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不符合空间布局要求活动的退出要求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其他空间布局约束要求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污染物排放管控：</w:t>
                  </w:r>
                </w:p>
                <w:p>
                  <w:pPr>
                    <w:pStyle w:val="15"/>
                    <w:bidi w:val="0"/>
                    <w:jc w:val="center"/>
                    <w:rPr>
                      <w:rFonts w:hint="eastAsia"/>
                      <w:lang w:val="en-US" w:eastAsia="zh-CN"/>
                    </w:rPr>
                  </w:pPr>
                  <w:r>
                    <w:rPr>
                      <w:rFonts w:hint="eastAsia"/>
                      <w:lang w:val="en-US" w:eastAsia="zh-CN"/>
                    </w:rPr>
                    <w:t>允许排放量要求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现有源提标升级改造</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其他污染物排放管控要求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环境风险防控：</w:t>
                  </w:r>
                </w:p>
                <w:p>
                  <w:pPr>
                    <w:pStyle w:val="15"/>
                    <w:bidi w:val="0"/>
                    <w:jc w:val="center"/>
                    <w:rPr>
                      <w:rFonts w:hint="eastAsia"/>
                      <w:lang w:val="en-US" w:eastAsia="zh-CN"/>
                    </w:rPr>
                  </w:pPr>
                  <w:r>
                    <w:rPr>
                      <w:rFonts w:hint="eastAsia"/>
                      <w:lang w:val="en-US" w:eastAsia="zh-CN"/>
                    </w:rPr>
                    <w:t>联防联控要求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其他环境风险防控要求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资源开发利用效率要求：</w:t>
                  </w:r>
                </w:p>
                <w:p>
                  <w:pPr>
                    <w:pStyle w:val="15"/>
                    <w:bidi w:val="0"/>
                    <w:jc w:val="center"/>
                    <w:rPr>
                      <w:rFonts w:hint="eastAsia"/>
                      <w:lang w:val="en-US" w:eastAsia="zh-CN"/>
                    </w:rPr>
                  </w:pPr>
                  <w:r>
                    <w:rPr>
                      <w:rFonts w:hint="eastAsia"/>
                      <w:lang w:val="en-US" w:eastAsia="zh-CN"/>
                    </w:rPr>
                    <w:t>水资源利用总量要求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地下水开采要求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能源利用总量及效率要求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禁燃区要求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其他资源利用效率要求</w:t>
                  </w:r>
                </w:p>
                <w:p>
                  <w:pPr>
                    <w:pStyle w:val="15"/>
                    <w:bidi w:val="0"/>
                    <w:jc w:val="center"/>
                    <w:rPr>
                      <w:rFonts w:hint="eastAsia"/>
                      <w:lang w:val="en-US" w:eastAsia="zh-CN"/>
                    </w:rPr>
                  </w:pPr>
                  <w:r>
                    <w:rPr>
                      <w:rFonts w:hint="eastAsia"/>
                      <w:lang w:val="en-US" w:eastAsia="zh-CN"/>
                    </w:rPr>
                    <w:t>暂无</w:t>
                  </w:r>
                </w:p>
              </w:tc>
              <w:tc>
                <w:tcPr>
                  <w:tcW w:w="262" w:type="pct"/>
                  <w:tcBorders>
                    <w:tl2br w:val="nil"/>
                    <w:tr2bl w:val="nil"/>
                  </w:tcBorders>
                  <w:noWrap w:val="0"/>
                  <w:vAlign w:val="center"/>
                </w:tcPr>
                <w:p>
                  <w:pPr>
                    <w:pStyle w:val="15"/>
                    <w:bidi w:val="0"/>
                    <w:jc w:val="center"/>
                    <w:rPr>
                      <w:lang w:val="en-US" w:eastAsia="zh-CN"/>
                    </w:rPr>
                  </w:pPr>
                  <w:r>
                    <w:rPr>
                      <w:rFonts w:hint="eastAsia"/>
                      <w:lang w:val="en-US" w:eastAsia="zh-CN"/>
                    </w:rPr>
                    <w:t>污染物排放管控</w:t>
                  </w:r>
                </w:p>
              </w:tc>
              <w:tc>
                <w:tcPr>
                  <w:tcW w:w="1336" w:type="pct"/>
                  <w:tcBorders>
                    <w:tl2br w:val="nil"/>
                    <w:tr2bl w:val="nil"/>
                  </w:tcBorders>
                  <w:noWrap w:val="0"/>
                  <w:vAlign w:val="center"/>
                </w:tcPr>
                <w:p>
                  <w:pPr>
                    <w:pStyle w:val="15"/>
                    <w:bidi w:val="0"/>
                    <w:jc w:val="center"/>
                    <w:rPr>
                      <w:lang w:val="en-US" w:eastAsia="zh-CN"/>
                    </w:rPr>
                  </w:pPr>
                  <w:r>
                    <w:rPr>
                      <w:rFonts w:hint="eastAsia"/>
                      <w:lang w:val="en-US" w:eastAsia="zh-CN"/>
                    </w:rPr>
                    <w:t>大气环境质量执行标准</w:t>
                  </w:r>
                </w:p>
                <w:p>
                  <w:pPr>
                    <w:pStyle w:val="15"/>
                    <w:bidi w:val="0"/>
                    <w:jc w:val="center"/>
                    <w:rPr>
                      <w:rFonts w:hint="eastAsia"/>
                      <w:lang w:val="en-US" w:eastAsia="zh-CN"/>
                    </w:rPr>
                  </w:pPr>
                  <w:r>
                    <w:rPr>
                      <w:rFonts w:hint="eastAsia"/>
                      <w:lang w:val="en-US" w:eastAsia="zh-CN"/>
                    </w:rPr>
                    <w:t>《环境空气质量标准》（GB3095-2012）：二级</w:t>
                  </w:r>
                </w:p>
                <w:p>
                  <w:pPr>
                    <w:pStyle w:val="15"/>
                    <w:bidi w:val="0"/>
                    <w:jc w:val="center"/>
                    <w:rPr>
                      <w:rFonts w:hint="eastAsia"/>
                      <w:lang w:val="en-US" w:eastAsia="zh-CN"/>
                    </w:rPr>
                  </w:pPr>
                  <w:r>
                    <w:rPr>
                      <w:rFonts w:hint="eastAsia"/>
                      <w:lang w:val="en-US" w:eastAsia="zh-CN"/>
                    </w:rPr>
                    <w:t>区域大气污染物削减/替代要求</w:t>
                  </w:r>
                </w:p>
                <w:p>
                  <w:pPr>
                    <w:pStyle w:val="15"/>
                    <w:bidi w:val="0"/>
                    <w:jc w:val="center"/>
                    <w:rPr>
                      <w:rFonts w:hint="eastAsia"/>
                      <w:lang w:val="en-US" w:eastAsia="zh-CN"/>
                    </w:rPr>
                  </w:pPr>
                  <w:r>
                    <w:rPr>
                      <w:rFonts w:hint="eastAsia"/>
                      <w:lang w:val="en-US" w:eastAsia="zh-CN"/>
                    </w:rPr>
                    <w:t>燃煤和其他能源大气污染控制要求</w:t>
                  </w:r>
                </w:p>
                <w:p>
                  <w:pPr>
                    <w:pStyle w:val="15"/>
                    <w:bidi w:val="0"/>
                    <w:jc w:val="center"/>
                    <w:rPr>
                      <w:rFonts w:hint="eastAsia"/>
                      <w:lang w:val="en-US" w:eastAsia="zh-CN"/>
                    </w:rPr>
                  </w:pPr>
                  <w:r>
                    <w:rPr>
                      <w:rFonts w:hint="eastAsia"/>
                      <w:lang w:val="en-US" w:eastAsia="zh-CN"/>
                    </w:rPr>
                    <w:t>工业废气污染控制要求</w:t>
                  </w:r>
                </w:p>
                <w:p>
                  <w:pPr>
                    <w:pStyle w:val="15"/>
                    <w:bidi w:val="0"/>
                    <w:jc w:val="center"/>
                    <w:rPr>
                      <w:rFonts w:hint="eastAsia"/>
                      <w:lang w:val="en-US" w:eastAsia="zh-CN"/>
                    </w:rPr>
                  </w:pPr>
                  <w:r>
                    <w:rPr>
                      <w:rFonts w:hint="eastAsia"/>
                      <w:lang w:val="en-US" w:eastAsia="zh-CN"/>
                    </w:rPr>
                    <w:t>机动车船大气污染控制要求</w:t>
                  </w:r>
                </w:p>
                <w:p>
                  <w:pPr>
                    <w:pStyle w:val="15"/>
                    <w:bidi w:val="0"/>
                    <w:jc w:val="center"/>
                    <w:rPr>
                      <w:rFonts w:hint="eastAsia"/>
                      <w:lang w:val="en-US" w:eastAsia="zh-CN"/>
                    </w:rPr>
                  </w:pPr>
                  <w:r>
                    <w:rPr>
                      <w:rFonts w:hint="eastAsia"/>
                      <w:lang w:val="en-US" w:eastAsia="zh-CN"/>
                    </w:rPr>
                    <w:t>扬尘污染控制要求</w:t>
                  </w:r>
                </w:p>
                <w:p>
                  <w:pPr>
                    <w:pStyle w:val="15"/>
                    <w:bidi w:val="0"/>
                    <w:jc w:val="center"/>
                    <w:rPr>
                      <w:rFonts w:hint="eastAsia"/>
                      <w:lang w:val="en-US" w:eastAsia="zh-CN"/>
                    </w:rPr>
                  </w:pPr>
                  <w:r>
                    <w:rPr>
                      <w:rFonts w:hint="eastAsia"/>
                      <w:lang w:val="en-US" w:eastAsia="zh-CN"/>
                    </w:rPr>
                    <w:t>农业生产经营活动大气污染控制要求</w:t>
                  </w:r>
                </w:p>
                <w:p>
                  <w:pPr>
                    <w:pStyle w:val="15"/>
                    <w:bidi w:val="0"/>
                    <w:jc w:val="center"/>
                    <w:rPr>
                      <w:rFonts w:hint="eastAsia"/>
                      <w:lang w:val="en-US" w:eastAsia="zh-CN"/>
                    </w:rPr>
                  </w:pPr>
                  <w:r>
                    <w:rPr>
                      <w:rFonts w:hint="eastAsia"/>
                      <w:lang w:val="en-US" w:eastAsia="zh-CN"/>
                    </w:rPr>
                    <w:t>重点行业企业专项治理要求</w:t>
                  </w:r>
                </w:p>
                <w:p>
                  <w:pPr>
                    <w:pStyle w:val="15"/>
                    <w:bidi w:val="0"/>
                    <w:jc w:val="center"/>
                    <w:rPr>
                      <w:rFonts w:hint="eastAsia"/>
                      <w:lang w:val="en-US" w:eastAsia="zh-CN"/>
                    </w:rPr>
                  </w:pPr>
                  <w:r>
                    <w:rPr>
                      <w:rFonts w:hint="eastAsia"/>
                      <w:lang w:val="en-US" w:eastAsia="zh-CN"/>
                    </w:rPr>
                    <w:t>其他大气污染物排放管控要求</w:t>
                  </w:r>
                </w:p>
              </w:tc>
              <w:tc>
                <w:tcPr>
                  <w:tcW w:w="870" w:type="pct"/>
                  <w:tcBorders>
                    <w:tl2br w:val="nil"/>
                    <w:tr2bl w:val="nil"/>
                  </w:tcBorders>
                  <w:noWrap w:val="0"/>
                  <w:vAlign w:val="center"/>
                </w:tcPr>
                <w:p>
                  <w:pPr>
                    <w:pStyle w:val="15"/>
                    <w:bidi w:val="0"/>
                    <w:ind w:firstLine="0" w:firstLineChars="0"/>
                    <w:rPr>
                      <w:rFonts w:hint="eastAsia" w:ascii="Times New Roman" w:hAnsi="Times New Roman" w:eastAsia="宋体" w:cstheme="minorBidi"/>
                      <w:color w:val="auto"/>
                      <w:kern w:val="2"/>
                      <w:sz w:val="21"/>
                      <w:szCs w:val="21"/>
                      <w:lang w:val="en-US" w:eastAsia="zh-CN" w:bidi="ar-SA"/>
                    </w:rPr>
                  </w:pPr>
                  <w:r>
                    <w:rPr>
                      <w:rFonts w:hint="eastAsia"/>
                      <w:color w:val="auto"/>
                      <w:lang w:val="en-US" w:eastAsia="zh-CN"/>
                    </w:rPr>
                    <w:t>本项目属于防洪治理工程，营运期无相关污染物排放</w:t>
                  </w:r>
                </w:p>
              </w:tc>
              <w:tc>
                <w:tcPr>
                  <w:tcW w:w="312" w:type="pct"/>
                  <w:tcBorders>
                    <w:tl2br w:val="nil"/>
                    <w:tr2bl w:val="nil"/>
                  </w:tcBorders>
                  <w:noWrap w:val="0"/>
                  <w:vAlign w:val="center"/>
                </w:tcPr>
                <w:p>
                  <w:pPr>
                    <w:pStyle w:val="15"/>
                    <w:bidi w:val="0"/>
                    <w:ind w:firstLine="0" w:firstLineChars="0"/>
                    <w:rPr>
                      <w:rFonts w:hint="eastAsia" w:ascii="Times New Roman" w:hAnsi="Times New Roman" w:eastAsia="宋体" w:cstheme="minorBidi"/>
                      <w:color w:val="auto"/>
                      <w:kern w:val="2"/>
                      <w:sz w:val="21"/>
                      <w:szCs w:val="21"/>
                      <w:lang w:val="en-US" w:eastAsia="zh-CN" w:bidi="ar-SA"/>
                    </w:rPr>
                  </w:pPr>
                  <w:r>
                    <w:rPr>
                      <w:rFonts w:hint="eastAsia"/>
                      <w:color w:val="auto"/>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5" w:type="pct"/>
                  <w:vMerge w:val="continue"/>
                  <w:tcBorders>
                    <w:tl2br w:val="nil"/>
                    <w:tr2bl w:val="nil"/>
                  </w:tcBorders>
                  <w:noWrap w:val="0"/>
                  <w:vAlign w:val="center"/>
                </w:tcPr>
                <w:p>
                  <w:pPr>
                    <w:pStyle w:val="15"/>
                    <w:bidi w:val="0"/>
                    <w:jc w:val="center"/>
                    <w:rPr>
                      <w:lang w:val="en-US" w:eastAsia="zh-CN"/>
                    </w:rPr>
                  </w:pPr>
                  <w:r>
                    <w:rPr>
                      <w:rFonts w:hint="eastAsia"/>
                      <w:lang w:val="en-US" w:eastAsia="zh-CN"/>
                    </w:rPr>
                    <w:t>YS5117223310001</w:t>
                  </w:r>
                </w:p>
              </w:tc>
              <w:tc>
                <w:tcPr>
                  <w:tcW w:w="308" w:type="pct"/>
                  <w:vMerge w:val="continue"/>
                  <w:tcBorders>
                    <w:tl2br w:val="nil"/>
                    <w:tr2bl w:val="nil"/>
                  </w:tcBorders>
                  <w:noWrap w:val="0"/>
                  <w:vAlign w:val="center"/>
                </w:tcPr>
                <w:p>
                  <w:pPr>
                    <w:pStyle w:val="15"/>
                    <w:bidi w:val="0"/>
                    <w:jc w:val="center"/>
                    <w:rPr>
                      <w:lang w:val="en-US" w:eastAsia="zh-CN"/>
                    </w:rPr>
                  </w:pPr>
                  <w:r>
                    <w:rPr>
                      <w:rFonts w:hint="eastAsia"/>
                      <w:lang w:val="en-US" w:eastAsia="zh-CN"/>
                    </w:rPr>
                    <w:t>宣汉县大气环境一般管控区</w:t>
                  </w:r>
                </w:p>
              </w:tc>
              <w:tc>
                <w:tcPr>
                  <w:tcW w:w="1254" w:type="pct"/>
                  <w:vMerge w:val="continue"/>
                  <w:tcBorders>
                    <w:tl2br w:val="nil"/>
                    <w:tr2bl w:val="nil"/>
                  </w:tcBorders>
                  <w:noWrap w:val="0"/>
                  <w:vAlign w:val="center"/>
                </w:tcPr>
                <w:p>
                  <w:pPr>
                    <w:pStyle w:val="15"/>
                    <w:bidi w:val="0"/>
                    <w:jc w:val="center"/>
                    <w:rPr>
                      <w:lang w:val="en-US" w:eastAsia="zh-CN"/>
                    </w:rPr>
                  </w:pPr>
                  <w:r>
                    <w:rPr>
                      <w:rFonts w:hint="eastAsia"/>
                      <w:lang w:val="en-US" w:eastAsia="zh-CN"/>
                    </w:rPr>
                    <w:t>空间布局约束：</w:t>
                  </w:r>
                </w:p>
                <w:p>
                  <w:pPr>
                    <w:pStyle w:val="15"/>
                    <w:bidi w:val="0"/>
                    <w:jc w:val="center"/>
                    <w:rPr>
                      <w:rFonts w:hint="eastAsia"/>
                      <w:lang w:val="en-US" w:eastAsia="zh-CN"/>
                    </w:rPr>
                  </w:pPr>
                  <w:r>
                    <w:rPr>
                      <w:rFonts w:hint="eastAsia"/>
                      <w:lang w:val="en-US" w:eastAsia="zh-CN"/>
                    </w:rPr>
                    <w:t>禁止开发建设活动的要求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限制开发建设活动的要求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不符合空间布局要求活动的退出要求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其他空间布局约束要求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污染物排放管控：</w:t>
                  </w:r>
                </w:p>
                <w:p>
                  <w:pPr>
                    <w:pStyle w:val="15"/>
                    <w:bidi w:val="0"/>
                    <w:jc w:val="center"/>
                    <w:rPr>
                      <w:rFonts w:hint="eastAsia"/>
                      <w:lang w:val="en-US" w:eastAsia="zh-CN"/>
                    </w:rPr>
                  </w:pPr>
                  <w:r>
                    <w:rPr>
                      <w:rFonts w:hint="eastAsia"/>
                      <w:lang w:val="en-US" w:eastAsia="zh-CN"/>
                    </w:rPr>
                    <w:t>允许排放量要求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现有源提标升级改造</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其他污染物排放管控要求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环境风险防控：</w:t>
                  </w:r>
                </w:p>
                <w:p>
                  <w:pPr>
                    <w:pStyle w:val="15"/>
                    <w:bidi w:val="0"/>
                    <w:jc w:val="center"/>
                    <w:rPr>
                      <w:rFonts w:hint="eastAsia"/>
                      <w:lang w:val="en-US" w:eastAsia="zh-CN"/>
                    </w:rPr>
                  </w:pPr>
                  <w:r>
                    <w:rPr>
                      <w:rFonts w:hint="eastAsia"/>
                      <w:lang w:val="en-US" w:eastAsia="zh-CN"/>
                    </w:rPr>
                    <w:t>联防联控要求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其他环境风险防控要求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资源开发利用效率要求：</w:t>
                  </w:r>
                </w:p>
                <w:p>
                  <w:pPr>
                    <w:pStyle w:val="15"/>
                    <w:bidi w:val="0"/>
                    <w:jc w:val="center"/>
                    <w:rPr>
                      <w:rFonts w:hint="eastAsia"/>
                      <w:lang w:val="en-US" w:eastAsia="zh-CN"/>
                    </w:rPr>
                  </w:pPr>
                  <w:r>
                    <w:rPr>
                      <w:rFonts w:hint="eastAsia"/>
                      <w:lang w:val="en-US" w:eastAsia="zh-CN"/>
                    </w:rPr>
                    <w:t>水资源利用总量要求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地下水开采要求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能源利用总量及效率要求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禁燃区要求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其他资源利用效率要求</w:t>
                  </w:r>
                </w:p>
                <w:p>
                  <w:pPr>
                    <w:pStyle w:val="15"/>
                    <w:bidi w:val="0"/>
                    <w:jc w:val="center"/>
                    <w:rPr>
                      <w:rFonts w:hint="eastAsia"/>
                      <w:lang w:val="en-US" w:eastAsia="zh-CN"/>
                    </w:rPr>
                  </w:pPr>
                  <w:r>
                    <w:rPr>
                      <w:rFonts w:hint="eastAsia"/>
                      <w:lang w:val="en-US" w:eastAsia="zh-CN"/>
                    </w:rPr>
                    <w:t>暂无</w:t>
                  </w:r>
                </w:p>
              </w:tc>
              <w:tc>
                <w:tcPr>
                  <w:tcW w:w="262" w:type="pct"/>
                  <w:tcBorders>
                    <w:tl2br w:val="nil"/>
                    <w:tr2bl w:val="nil"/>
                  </w:tcBorders>
                  <w:noWrap w:val="0"/>
                  <w:vAlign w:val="center"/>
                </w:tcPr>
                <w:p>
                  <w:pPr>
                    <w:pStyle w:val="15"/>
                    <w:bidi w:val="0"/>
                    <w:jc w:val="center"/>
                    <w:rPr>
                      <w:lang w:val="en-US" w:eastAsia="zh-CN"/>
                    </w:rPr>
                  </w:pPr>
                  <w:r>
                    <w:rPr>
                      <w:rFonts w:hint="eastAsia"/>
                      <w:lang w:val="en-US" w:eastAsia="zh-CN"/>
                    </w:rPr>
                    <w:t>环境风险防控</w:t>
                  </w:r>
                </w:p>
              </w:tc>
              <w:tc>
                <w:tcPr>
                  <w:tcW w:w="1336" w:type="pct"/>
                  <w:vMerge w:val="restart"/>
                  <w:tcBorders>
                    <w:tl2br w:val="nil"/>
                    <w:tr2bl w:val="nil"/>
                  </w:tcBorders>
                  <w:noWrap w:val="0"/>
                  <w:vAlign w:val="center"/>
                </w:tcPr>
                <w:p>
                  <w:pPr>
                    <w:pStyle w:val="15"/>
                    <w:bidi w:val="0"/>
                    <w:jc w:val="center"/>
                    <w:rPr>
                      <w:lang w:val="en-US" w:eastAsia="zh-CN"/>
                    </w:rPr>
                  </w:pPr>
                  <w:r>
                    <w:rPr>
                      <w:rFonts w:hint="eastAsia"/>
                      <w:lang w:val="en-US" w:eastAsia="zh-CN"/>
                    </w:rPr>
                    <w:t>/</w:t>
                  </w:r>
                </w:p>
              </w:tc>
              <w:tc>
                <w:tcPr>
                  <w:tcW w:w="870" w:type="pct"/>
                  <w:tcBorders>
                    <w:tl2br w:val="nil"/>
                    <w:tr2bl w:val="nil"/>
                  </w:tcBorders>
                  <w:noWrap w:val="0"/>
                  <w:vAlign w:val="center"/>
                </w:tcPr>
                <w:p>
                  <w:pPr>
                    <w:pStyle w:val="15"/>
                    <w:bidi w:val="0"/>
                    <w:jc w:val="center"/>
                    <w:rPr>
                      <w:rFonts w:hint="default"/>
                      <w:lang w:val="en-US" w:eastAsia="zh-CN"/>
                    </w:rPr>
                  </w:pPr>
                  <w:r>
                    <w:rPr>
                      <w:rFonts w:hint="eastAsia"/>
                      <w:lang w:val="en-US" w:eastAsia="zh-CN"/>
                    </w:rPr>
                    <w:t>/</w:t>
                  </w:r>
                </w:p>
              </w:tc>
              <w:tc>
                <w:tcPr>
                  <w:tcW w:w="312" w:type="pct"/>
                  <w:tcBorders>
                    <w:tl2br w:val="nil"/>
                    <w:tr2bl w:val="nil"/>
                  </w:tcBorders>
                  <w:noWrap w:val="0"/>
                  <w:vAlign w:val="center"/>
                </w:tcPr>
                <w:p>
                  <w:pPr>
                    <w:pStyle w:val="15"/>
                    <w:bidi w:val="0"/>
                    <w:jc w:val="center"/>
                    <w:rPr>
                      <w:rFonts w:hint="default"/>
                      <w:lang w:val="en-US" w:eastAsia="zh-CN"/>
                    </w:rPr>
                  </w:pPr>
                  <w:r>
                    <w:rPr>
                      <w:rFonts w:hint="eastAsia"/>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5" w:type="pct"/>
                  <w:vMerge w:val="continue"/>
                  <w:tcBorders>
                    <w:tl2br w:val="nil"/>
                    <w:tr2bl w:val="nil"/>
                  </w:tcBorders>
                  <w:noWrap w:val="0"/>
                  <w:vAlign w:val="center"/>
                </w:tcPr>
                <w:p>
                  <w:pPr>
                    <w:pStyle w:val="15"/>
                    <w:bidi w:val="0"/>
                    <w:jc w:val="center"/>
                    <w:rPr>
                      <w:lang w:val="en-US" w:eastAsia="zh-CN"/>
                    </w:rPr>
                  </w:pPr>
                  <w:r>
                    <w:rPr>
                      <w:rFonts w:hint="eastAsia"/>
                      <w:lang w:val="en-US" w:eastAsia="zh-CN"/>
                    </w:rPr>
                    <w:t>YS5117223310001</w:t>
                  </w:r>
                </w:p>
              </w:tc>
              <w:tc>
                <w:tcPr>
                  <w:tcW w:w="308" w:type="pct"/>
                  <w:vMerge w:val="continue"/>
                  <w:tcBorders>
                    <w:tl2br w:val="nil"/>
                    <w:tr2bl w:val="nil"/>
                  </w:tcBorders>
                  <w:noWrap w:val="0"/>
                  <w:vAlign w:val="center"/>
                </w:tcPr>
                <w:p>
                  <w:pPr>
                    <w:pStyle w:val="15"/>
                    <w:bidi w:val="0"/>
                    <w:jc w:val="center"/>
                    <w:rPr>
                      <w:lang w:val="en-US" w:eastAsia="zh-CN"/>
                    </w:rPr>
                  </w:pPr>
                  <w:r>
                    <w:rPr>
                      <w:rFonts w:hint="eastAsia"/>
                      <w:lang w:val="en-US" w:eastAsia="zh-CN"/>
                    </w:rPr>
                    <w:t>宣汉县大气环境一般管控区</w:t>
                  </w:r>
                </w:p>
              </w:tc>
              <w:tc>
                <w:tcPr>
                  <w:tcW w:w="1254" w:type="pct"/>
                  <w:vMerge w:val="continue"/>
                  <w:tcBorders>
                    <w:tl2br w:val="nil"/>
                    <w:tr2bl w:val="nil"/>
                  </w:tcBorders>
                  <w:noWrap w:val="0"/>
                  <w:vAlign w:val="center"/>
                </w:tcPr>
                <w:p>
                  <w:pPr>
                    <w:pStyle w:val="15"/>
                    <w:bidi w:val="0"/>
                    <w:jc w:val="center"/>
                    <w:rPr>
                      <w:lang w:val="en-US" w:eastAsia="zh-CN"/>
                    </w:rPr>
                  </w:pPr>
                  <w:r>
                    <w:rPr>
                      <w:rFonts w:hint="eastAsia"/>
                      <w:lang w:val="en-US" w:eastAsia="zh-CN"/>
                    </w:rPr>
                    <w:t>空间布局约束：</w:t>
                  </w:r>
                </w:p>
                <w:p>
                  <w:pPr>
                    <w:pStyle w:val="15"/>
                    <w:bidi w:val="0"/>
                    <w:jc w:val="center"/>
                    <w:rPr>
                      <w:rFonts w:hint="eastAsia"/>
                      <w:lang w:val="en-US" w:eastAsia="zh-CN"/>
                    </w:rPr>
                  </w:pPr>
                  <w:r>
                    <w:rPr>
                      <w:rFonts w:hint="eastAsia"/>
                      <w:lang w:val="en-US" w:eastAsia="zh-CN"/>
                    </w:rPr>
                    <w:t>禁止开发建设活动的要求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限制开发建设活动的要求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不符合空间布局要求活动的退出要求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其他空间布局约束要求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污染物排放管控：</w:t>
                  </w:r>
                </w:p>
                <w:p>
                  <w:pPr>
                    <w:pStyle w:val="15"/>
                    <w:bidi w:val="0"/>
                    <w:jc w:val="center"/>
                    <w:rPr>
                      <w:rFonts w:hint="eastAsia"/>
                      <w:lang w:val="en-US" w:eastAsia="zh-CN"/>
                    </w:rPr>
                  </w:pPr>
                  <w:r>
                    <w:rPr>
                      <w:rFonts w:hint="eastAsia"/>
                      <w:lang w:val="en-US" w:eastAsia="zh-CN"/>
                    </w:rPr>
                    <w:t>允许排放量要求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现有源提标升级改造</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其他污染物排放管控要求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环境风险防控：</w:t>
                  </w:r>
                </w:p>
                <w:p>
                  <w:pPr>
                    <w:pStyle w:val="15"/>
                    <w:bidi w:val="0"/>
                    <w:jc w:val="center"/>
                    <w:rPr>
                      <w:rFonts w:hint="eastAsia"/>
                      <w:lang w:val="en-US" w:eastAsia="zh-CN"/>
                    </w:rPr>
                  </w:pPr>
                  <w:r>
                    <w:rPr>
                      <w:rFonts w:hint="eastAsia"/>
                      <w:lang w:val="en-US" w:eastAsia="zh-CN"/>
                    </w:rPr>
                    <w:t>联防联控要求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其他环境风险防控要求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资源开发利用效率要求：</w:t>
                  </w:r>
                </w:p>
                <w:p>
                  <w:pPr>
                    <w:pStyle w:val="15"/>
                    <w:bidi w:val="0"/>
                    <w:jc w:val="center"/>
                    <w:rPr>
                      <w:rFonts w:hint="eastAsia"/>
                      <w:lang w:val="en-US" w:eastAsia="zh-CN"/>
                    </w:rPr>
                  </w:pPr>
                  <w:r>
                    <w:rPr>
                      <w:rFonts w:hint="eastAsia"/>
                      <w:lang w:val="en-US" w:eastAsia="zh-CN"/>
                    </w:rPr>
                    <w:t>水资源利用总量要求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地下水开采要求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能源利用总量及效率要求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禁燃区要求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其他资源利用效率要求</w:t>
                  </w:r>
                </w:p>
                <w:p>
                  <w:pPr>
                    <w:pStyle w:val="15"/>
                    <w:bidi w:val="0"/>
                    <w:jc w:val="center"/>
                    <w:rPr>
                      <w:rFonts w:hint="eastAsia"/>
                      <w:lang w:val="en-US" w:eastAsia="zh-CN"/>
                    </w:rPr>
                  </w:pPr>
                  <w:r>
                    <w:rPr>
                      <w:rFonts w:hint="eastAsia"/>
                      <w:lang w:val="en-US" w:eastAsia="zh-CN"/>
                    </w:rPr>
                    <w:t>暂无</w:t>
                  </w:r>
                </w:p>
              </w:tc>
              <w:tc>
                <w:tcPr>
                  <w:tcW w:w="262" w:type="pct"/>
                  <w:tcBorders>
                    <w:tl2br w:val="nil"/>
                    <w:tr2bl w:val="nil"/>
                  </w:tcBorders>
                  <w:noWrap w:val="0"/>
                  <w:vAlign w:val="center"/>
                </w:tcPr>
                <w:p>
                  <w:pPr>
                    <w:pStyle w:val="15"/>
                    <w:bidi w:val="0"/>
                    <w:jc w:val="center"/>
                    <w:rPr>
                      <w:lang w:val="en-US" w:eastAsia="zh-CN"/>
                    </w:rPr>
                  </w:pPr>
                  <w:r>
                    <w:rPr>
                      <w:rFonts w:hint="eastAsia"/>
                      <w:lang w:val="en-US" w:eastAsia="zh-CN"/>
                    </w:rPr>
                    <w:t>资源开发效率要求</w:t>
                  </w:r>
                </w:p>
              </w:tc>
              <w:tc>
                <w:tcPr>
                  <w:tcW w:w="1336" w:type="pct"/>
                  <w:vMerge w:val="continue"/>
                  <w:tcBorders>
                    <w:tl2br w:val="nil"/>
                    <w:tr2bl w:val="nil"/>
                  </w:tcBorders>
                  <w:noWrap w:val="0"/>
                  <w:vAlign w:val="center"/>
                </w:tcPr>
                <w:p>
                  <w:pPr>
                    <w:pStyle w:val="15"/>
                    <w:bidi w:val="0"/>
                    <w:jc w:val="center"/>
                    <w:rPr>
                      <w:lang w:val="en-US" w:eastAsia="zh-CN"/>
                    </w:rPr>
                  </w:pPr>
                  <w:r>
                    <w:rPr>
                      <w:rFonts w:hint="eastAsia"/>
                      <w:lang w:val="en-US" w:eastAsia="zh-CN"/>
                    </w:rPr>
                    <w:t>/</w:t>
                  </w:r>
                </w:p>
              </w:tc>
              <w:tc>
                <w:tcPr>
                  <w:tcW w:w="870" w:type="pct"/>
                  <w:tcBorders>
                    <w:tl2br w:val="nil"/>
                    <w:tr2bl w:val="nil"/>
                  </w:tcBorders>
                  <w:noWrap w:val="0"/>
                  <w:vAlign w:val="center"/>
                </w:tcPr>
                <w:p>
                  <w:pPr>
                    <w:pStyle w:val="15"/>
                    <w:bidi w:val="0"/>
                    <w:jc w:val="center"/>
                    <w:rPr>
                      <w:rFonts w:hint="default"/>
                      <w:lang w:val="en-US" w:eastAsia="zh-CN"/>
                    </w:rPr>
                  </w:pPr>
                  <w:r>
                    <w:rPr>
                      <w:rFonts w:hint="eastAsia"/>
                      <w:lang w:val="en-US" w:eastAsia="zh-CN"/>
                    </w:rPr>
                    <w:t>/</w:t>
                  </w:r>
                </w:p>
              </w:tc>
              <w:tc>
                <w:tcPr>
                  <w:tcW w:w="312" w:type="pct"/>
                  <w:tcBorders>
                    <w:tl2br w:val="nil"/>
                    <w:tr2bl w:val="nil"/>
                  </w:tcBorders>
                  <w:noWrap w:val="0"/>
                  <w:vAlign w:val="center"/>
                </w:tcPr>
                <w:p>
                  <w:pPr>
                    <w:pStyle w:val="15"/>
                    <w:bidi w:val="0"/>
                    <w:jc w:val="center"/>
                    <w:rPr>
                      <w:rFonts w:hint="default"/>
                      <w:lang w:val="en-US" w:eastAsia="zh-CN"/>
                    </w:rPr>
                  </w:pPr>
                  <w:r>
                    <w:rPr>
                      <w:rFonts w:hint="eastAsia"/>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5" w:type="pct"/>
                  <w:vMerge w:val="restart"/>
                  <w:tcBorders>
                    <w:tl2br w:val="nil"/>
                    <w:tr2bl w:val="nil"/>
                  </w:tcBorders>
                  <w:noWrap w:val="0"/>
                  <w:vAlign w:val="center"/>
                </w:tcPr>
                <w:p>
                  <w:pPr>
                    <w:pStyle w:val="15"/>
                    <w:bidi w:val="0"/>
                    <w:jc w:val="center"/>
                    <w:rPr>
                      <w:lang w:val="en-US" w:eastAsia="zh-CN"/>
                    </w:rPr>
                  </w:pPr>
                  <w:r>
                    <w:rPr>
                      <w:rFonts w:hint="eastAsia"/>
                      <w:lang w:val="en-US" w:eastAsia="zh-CN"/>
                    </w:rPr>
                    <w:t>YS5117221410003</w:t>
                  </w:r>
                </w:p>
              </w:tc>
              <w:tc>
                <w:tcPr>
                  <w:tcW w:w="308" w:type="pct"/>
                  <w:vMerge w:val="restart"/>
                  <w:tcBorders>
                    <w:tl2br w:val="nil"/>
                    <w:tr2bl w:val="nil"/>
                  </w:tcBorders>
                  <w:noWrap w:val="0"/>
                  <w:vAlign w:val="center"/>
                </w:tcPr>
                <w:p>
                  <w:pPr>
                    <w:pStyle w:val="15"/>
                    <w:bidi w:val="0"/>
                    <w:jc w:val="center"/>
                    <w:rPr>
                      <w:lang w:val="en-US" w:eastAsia="zh-CN"/>
                    </w:rPr>
                  </w:pPr>
                  <w:r>
                    <w:rPr>
                      <w:rFonts w:hint="eastAsia"/>
                      <w:lang w:val="en-US" w:eastAsia="zh-CN"/>
                    </w:rPr>
                    <w:t>宣汉县土壤优先保护区</w:t>
                  </w:r>
                </w:p>
              </w:tc>
              <w:tc>
                <w:tcPr>
                  <w:tcW w:w="1254" w:type="pct"/>
                  <w:vMerge w:val="continue"/>
                  <w:tcBorders>
                    <w:tl2br w:val="nil"/>
                    <w:tr2bl w:val="nil"/>
                  </w:tcBorders>
                  <w:noWrap w:val="0"/>
                  <w:vAlign w:val="center"/>
                </w:tcPr>
                <w:p>
                  <w:pPr>
                    <w:pStyle w:val="15"/>
                    <w:bidi w:val="0"/>
                    <w:jc w:val="center"/>
                    <w:rPr>
                      <w:lang w:val="en-US" w:eastAsia="zh-CN"/>
                    </w:rPr>
                  </w:pPr>
                  <w:r>
                    <w:rPr>
                      <w:rFonts w:hint="eastAsia"/>
                      <w:lang w:val="en-US" w:eastAsia="zh-CN"/>
                    </w:rPr>
                    <w:t>空间布局约束：</w:t>
                  </w:r>
                </w:p>
                <w:p>
                  <w:pPr>
                    <w:pStyle w:val="15"/>
                    <w:bidi w:val="0"/>
                    <w:jc w:val="center"/>
                    <w:rPr>
                      <w:rFonts w:hint="eastAsia"/>
                      <w:lang w:val="en-US" w:eastAsia="zh-CN"/>
                    </w:rPr>
                  </w:pPr>
                  <w:r>
                    <w:rPr>
                      <w:rFonts w:hint="eastAsia"/>
                      <w:lang w:val="en-US" w:eastAsia="zh-CN"/>
                    </w:rPr>
                    <w:t>禁止开发建设活动的要求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限制开发建设活动的要求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不符合空间布局要求活动的退出要求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其他空间布局约束要求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污染物排放管控：</w:t>
                  </w:r>
                </w:p>
                <w:p>
                  <w:pPr>
                    <w:pStyle w:val="15"/>
                    <w:bidi w:val="0"/>
                    <w:jc w:val="center"/>
                    <w:rPr>
                      <w:rFonts w:hint="eastAsia"/>
                      <w:lang w:val="en-US" w:eastAsia="zh-CN"/>
                    </w:rPr>
                  </w:pPr>
                  <w:r>
                    <w:rPr>
                      <w:rFonts w:hint="eastAsia"/>
                      <w:lang w:val="en-US" w:eastAsia="zh-CN"/>
                    </w:rPr>
                    <w:t>允许排放量要求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现有源提标升级改造</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其他污染物排放管控要求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环境风险防控：</w:t>
                  </w:r>
                </w:p>
                <w:p>
                  <w:pPr>
                    <w:pStyle w:val="15"/>
                    <w:bidi w:val="0"/>
                    <w:jc w:val="center"/>
                    <w:rPr>
                      <w:rFonts w:hint="eastAsia"/>
                      <w:lang w:val="en-US" w:eastAsia="zh-CN"/>
                    </w:rPr>
                  </w:pPr>
                  <w:r>
                    <w:rPr>
                      <w:rFonts w:hint="eastAsia"/>
                      <w:lang w:val="en-US" w:eastAsia="zh-CN"/>
                    </w:rPr>
                    <w:t>联防联控要求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其他环境风险防控要求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资源开发利用效率要求：</w:t>
                  </w:r>
                </w:p>
                <w:p>
                  <w:pPr>
                    <w:pStyle w:val="15"/>
                    <w:bidi w:val="0"/>
                    <w:jc w:val="center"/>
                    <w:rPr>
                      <w:rFonts w:hint="eastAsia"/>
                      <w:lang w:val="en-US" w:eastAsia="zh-CN"/>
                    </w:rPr>
                  </w:pPr>
                  <w:r>
                    <w:rPr>
                      <w:rFonts w:hint="eastAsia"/>
                      <w:lang w:val="en-US" w:eastAsia="zh-CN"/>
                    </w:rPr>
                    <w:t>水资源利用总量要求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地下水开采要求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能源利用总量及效率要求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禁燃区要求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其他资源利用效率要求</w:t>
                  </w:r>
                </w:p>
                <w:p>
                  <w:pPr>
                    <w:pStyle w:val="15"/>
                    <w:bidi w:val="0"/>
                    <w:jc w:val="center"/>
                    <w:rPr>
                      <w:rFonts w:hint="eastAsia"/>
                      <w:lang w:val="en-US" w:eastAsia="zh-CN"/>
                    </w:rPr>
                  </w:pPr>
                  <w:r>
                    <w:rPr>
                      <w:rFonts w:hint="eastAsia"/>
                      <w:lang w:val="en-US" w:eastAsia="zh-CN"/>
                    </w:rPr>
                    <w:t>暂无</w:t>
                  </w:r>
                </w:p>
              </w:tc>
              <w:tc>
                <w:tcPr>
                  <w:tcW w:w="262" w:type="pct"/>
                  <w:tcBorders>
                    <w:tl2br w:val="nil"/>
                    <w:tr2bl w:val="nil"/>
                  </w:tcBorders>
                  <w:noWrap w:val="0"/>
                  <w:vAlign w:val="center"/>
                </w:tcPr>
                <w:p>
                  <w:pPr>
                    <w:pStyle w:val="15"/>
                    <w:bidi w:val="0"/>
                    <w:jc w:val="center"/>
                    <w:rPr>
                      <w:lang w:val="en-US" w:eastAsia="zh-CN"/>
                    </w:rPr>
                  </w:pPr>
                  <w:r>
                    <w:rPr>
                      <w:rFonts w:hint="eastAsia"/>
                      <w:lang w:val="en-US" w:eastAsia="zh-CN"/>
                    </w:rPr>
                    <w:t>空间布局约束</w:t>
                  </w:r>
                </w:p>
              </w:tc>
              <w:tc>
                <w:tcPr>
                  <w:tcW w:w="1336" w:type="pct"/>
                  <w:tcBorders>
                    <w:tl2br w:val="nil"/>
                    <w:tr2bl w:val="nil"/>
                  </w:tcBorders>
                  <w:noWrap w:val="0"/>
                  <w:vAlign w:val="center"/>
                </w:tcPr>
                <w:p>
                  <w:pPr>
                    <w:pStyle w:val="15"/>
                    <w:bidi w:val="0"/>
                    <w:jc w:val="center"/>
                    <w:rPr>
                      <w:lang w:val="en-US" w:eastAsia="zh-CN"/>
                    </w:rPr>
                  </w:pPr>
                  <w:r>
                    <w:rPr>
                      <w:rFonts w:hint="eastAsia"/>
                      <w:lang w:val="en-US" w:eastAsia="zh-CN"/>
                    </w:rPr>
                    <w:t>禁止开发建设活动的要求</w:t>
                  </w:r>
                </w:p>
                <w:p>
                  <w:pPr>
                    <w:pStyle w:val="15"/>
                    <w:bidi w:val="0"/>
                    <w:jc w:val="center"/>
                    <w:rPr>
                      <w:rFonts w:hint="eastAsia"/>
                      <w:lang w:val="en-US" w:eastAsia="zh-CN"/>
                    </w:rPr>
                  </w:pPr>
                  <w:r>
                    <w:rPr>
                      <w:rFonts w:hint="eastAsia"/>
                      <w:lang w:val="en-US" w:eastAsia="zh-CN"/>
                    </w:rPr>
                    <w:t>限制开发建设活动的要求</w:t>
                  </w:r>
                </w:p>
                <w:p>
                  <w:pPr>
                    <w:pStyle w:val="15"/>
                    <w:bidi w:val="0"/>
                    <w:jc w:val="center"/>
                    <w:rPr>
                      <w:rFonts w:hint="eastAsia"/>
                      <w:lang w:val="en-US" w:eastAsia="zh-CN"/>
                    </w:rPr>
                  </w:pPr>
                  <w:r>
                    <w:rPr>
                      <w:rFonts w:hint="eastAsia"/>
                      <w:lang w:val="en-US" w:eastAsia="zh-CN"/>
                    </w:rPr>
                    <w:t>允许开发建设活动的要求</w:t>
                  </w:r>
                </w:p>
                <w:p>
                  <w:pPr>
                    <w:pStyle w:val="15"/>
                    <w:bidi w:val="0"/>
                    <w:jc w:val="center"/>
                    <w:rPr>
                      <w:rFonts w:hint="eastAsia"/>
                      <w:lang w:val="en-US" w:eastAsia="zh-CN"/>
                    </w:rPr>
                  </w:pPr>
                  <w:r>
                    <w:rPr>
                      <w:rFonts w:hint="eastAsia"/>
                      <w:lang w:val="en-US" w:eastAsia="zh-CN"/>
                    </w:rPr>
                    <w:t>不符合空间布局要求活动的退出要求</w:t>
                  </w:r>
                </w:p>
                <w:p>
                  <w:pPr>
                    <w:pStyle w:val="15"/>
                    <w:bidi w:val="0"/>
                    <w:jc w:val="center"/>
                    <w:rPr>
                      <w:rFonts w:hint="eastAsia"/>
                      <w:lang w:val="en-US" w:eastAsia="zh-CN"/>
                    </w:rPr>
                  </w:pPr>
                  <w:r>
                    <w:rPr>
                      <w:rFonts w:hint="eastAsia"/>
                      <w:lang w:val="en-US" w:eastAsia="zh-CN"/>
                    </w:rPr>
                    <w:t>其他空间布局约束要求</w:t>
                  </w:r>
                </w:p>
              </w:tc>
              <w:tc>
                <w:tcPr>
                  <w:tcW w:w="870" w:type="pct"/>
                  <w:tcBorders>
                    <w:tl2br w:val="nil"/>
                    <w:tr2bl w:val="nil"/>
                  </w:tcBorders>
                  <w:noWrap w:val="0"/>
                  <w:vAlign w:val="center"/>
                </w:tcPr>
                <w:p>
                  <w:pPr>
                    <w:pStyle w:val="15"/>
                    <w:bidi w:val="0"/>
                    <w:ind w:firstLine="0" w:firstLineChars="0"/>
                    <w:rPr>
                      <w:rFonts w:hint="eastAsia" w:ascii="Times New Roman" w:hAnsi="Times New Roman" w:eastAsia="宋体" w:cstheme="minorBidi"/>
                      <w:color w:val="auto"/>
                      <w:kern w:val="2"/>
                      <w:sz w:val="21"/>
                      <w:szCs w:val="21"/>
                      <w:lang w:val="en-US" w:eastAsia="zh-CN" w:bidi="ar-SA"/>
                    </w:rPr>
                  </w:pPr>
                  <w:r>
                    <w:rPr>
                      <w:rFonts w:hint="eastAsia"/>
                      <w:color w:val="auto"/>
                      <w:lang w:val="en-US" w:eastAsia="zh-CN"/>
                    </w:rPr>
                    <w:t>本项目属于防洪治理工程，不属于相关管控类型</w:t>
                  </w:r>
                </w:p>
              </w:tc>
              <w:tc>
                <w:tcPr>
                  <w:tcW w:w="312" w:type="pct"/>
                  <w:tcBorders>
                    <w:tl2br w:val="nil"/>
                    <w:tr2bl w:val="nil"/>
                  </w:tcBorders>
                  <w:noWrap w:val="0"/>
                  <w:vAlign w:val="center"/>
                </w:tcPr>
                <w:p>
                  <w:pPr>
                    <w:pStyle w:val="15"/>
                    <w:bidi w:val="0"/>
                    <w:ind w:firstLine="0" w:firstLineChars="0"/>
                    <w:rPr>
                      <w:rFonts w:hint="eastAsia" w:ascii="Times New Roman" w:hAnsi="Times New Roman" w:eastAsia="宋体" w:cstheme="minorBidi"/>
                      <w:color w:val="auto"/>
                      <w:kern w:val="2"/>
                      <w:sz w:val="21"/>
                      <w:szCs w:val="21"/>
                      <w:lang w:val="en-US" w:eastAsia="zh-CN" w:bidi="ar-SA"/>
                    </w:rPr>
                  </w:pPr>
                  <w:r>
                    <w:rPr>
                      <w:rFonts w:hint="eastAsia"/>
                      <w:color w:val="auto"/>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5" w:type="pct"/>
                  <w:vMerge w:val="continue"/>
                  <w:tcBorders>
                    <w:tl2br w:val="nil"/>
                    <w:tr2bl w:val="nil"/>
                  </w:tcBorders>
                  <w:noWrap w:val="0"/>
                  <w:vAlign w:val="center"/>
                </w:tcPr>
                <w:p>
                  <w:pPr>
                    <w:pStyle w:val="15"/>
                    <w:bidi w:val="0"/>
                    <w:jc w:val="center"/>
                    <w:rPr>
                      <w:lang w:val="en-US" w:eastAsia="zh-CN"/>
                    </w:rPr>
                  </w:pPr>
                  <w:r>
                    <w:rPr>
                      <w:rFonts w:hint="eastAsia"/>
                      <w:lang w:val="en-US" w:eastAsia="zh-CN"/>
                    </w:rPr>
                    <w:t>YS5117221410003</w:t>
                  </w:r>
                </w:p>
              </w:tc>
              <w:tc>
                <w:tcPr>
                  <w:tcW w:w="308" w:type="pct"/>
                  <w:vMerge w:val="continue"/>
                  <w:tcBorders>
                    <w:tl2br w:val="nil"/>
                    <w:tr2bl w:val="nil"/>
                  </w:tcBorders>
                  <w:noWrap w:val="0"/>
                  <w:vAlign w:val="center"/>
                </w:tcPr>
                <w:p>
                  <w:pPr>
                    <w:pStyle w:val="15"/>
                    <w:bidi w:val="0"/>
                    <w:jc w:val="center"/>
                    <w:rPr>
                      <w:lang w:val="en-US" w:eastAsia="zh-CN"/>
                    </w:rPr>
                  </w:pPr>
                  <w:r>
                    <w:rPr>
                      <w:rFonts w:hint="eastAsia"/>
                      <w:lang w:val="en-US" w:eastAsia="zh-CN"/>
                    </w:rPr>
                    <w:t>宣汉县土壤优先保护区</w:t>
                  </w:r>
                </w:p>
              </w:tc>
              <w:tc>
                <w:tcPr>
                  <w:tcW w:w="1254" w:type="pct"/>
                  <w:vMerge w:val="continue"/>
                  <w:tcBorders>
                    <w:tl2br w:val="nil"/>
                    <w:tr2bl w:val="nil"/>
                  </w:tcBorders>
                  <w:noWrap w:val="0"/>
                  <w:vAlign w:val="center"/>
                </w:tcPr>
                <w:p>
                  <w:pPr>
                    <w:pStyle w:val="15"/>
                    <w:bidi w:val="0"/>
                    <w:jc w:val="center"/>
                    <w:rPr>
                      <w:lang w:val="en-US" w:eastAsia="zh-CN"/>
                    </w:rPr>
                  </w:pPr>
                  <w:r>
                    <w:rPr>
                      <w:rFonts w:hint="eastAsia"/>
                      <w:lang w:val="en-US" w:eastAsia="zh-CN"/>
                    </w:rPr>
                    <w:t>空间布局约束：</w:t>
                  </w:r>
                </w:p>
                <w:p>
                  <w:pPr>
                    <w:pStyle w:val="15"/>
                    <w:bidi w:val="0"/>
                    <w:jc w:val="center"/>
                    <w:rPr>
                      <w:rFonts w:hint="eastAsia"/>
                      <w:lang w:val="en-US" w:eastAsia="zh-CN"/>
                    </w:rPr>
                  </w:pPr>
                  <w:r>
                    <w:rPr>
                      <w:rFonts w:hint="eastAsia"/>
                      <w:lang w:val="en-US" w:eastAsia="zh-CN"/>
                    </w:rPr>
                    <w:t>禁止开发建设活动的要求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限制开发建设活动的要求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不符合空间布局要求活动的退出要求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其他空间布局约束要求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污染物排放管控：</w:t>
                  </w:r>
                </w:p>
                <w:p>
                  <w:pPr>
                    <w:pStyle w:val="15"/>
                    <w:bidi w:val="0"/>
                    <w:jc w:val="center"/>
                    <w:rPr>
                      <w:rFonts w:hint="eastAsia"/>
                      <w:lang w:val="en-US" w:eastAsia="zh-CN"/>
                    </w:rPr>
                  </w:pPr>
                  <w:r>
                    <w:rPr>
                      <w:rFonts w:hint="eastAsia"/>
                      <w:lang w:val="en-US" w:eastAsia="zh-CN"/>
                    </w:rPr>
                    <w:t>允许排放量要求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现有源提标升级改造</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其他污染物排放管控要求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环境风险防控：</w:t>
                  </w:r>
                </w:p>
                <w:p>
                  <w:pPr>
                    <w:pStyle w:val="15"/>
                    <w:bidi w:val="0"/>
                    <w:jc w:val="center"/>
                    <w:rPr>
                      <w:rFonts w:hint="eastAsia"/>
                      <w:lang w:val="en-US" w:eastAsia="zh-CN"/>
                    </w:rPr>
                  </w:pPr>
                  <w:r>
                    <w:rPr>
                      <w:rFonts w:hint="eastAsia"/>
                      <w:lang w:val="en-US" w:eastAsia="zh-CN"/>
                    </w:rPr>
                    <w:t>联防联控要求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其他环境风险防控要求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资源开发利用效率要求：</w:t>
                  </w:r>
                </w:p>
                <w:p>
                  <w:pPr>
                    <w:pStyle w:val="15"/>
                    <w:bidi w:val="0"/>
                    <w:jc w:val="center"/>
                    <w:rPr>
                      <w:rFonts w:hint="eastAsia"/>
                      <w:lang w:val="en-US" w:eastAsia="zh-CN"/>
                    </w:rPr>
                  </w:pPr>
                  <w:r>
                    <w:rPr>
                      <w:rFonts w:hint="eastAsia"/>
                      <w:lang w:val="en-US" w:eastAsia="zh-CN"/>
                    </w:rPr>
                    <w:t>水资源利用总量要求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地下水开采要求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能源利用总量及效率要求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禁燃区要求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其他资源利用效率要求</w:t>
                  </w:r>
                </w:p>
                <w:p>
                  <w:pPr>
                    <w:pStyle w:val="15"/>
                    <w:bidi w:val="0"/>
                    <w:jc w:val="center"/>
                    <w:rPr>
                      <w:rFonts w:hint="eastAsia"/>
                      <w:lang w:val="en-US" w:eastAsia="zh-CN"/>
                    </w:rPr>
                  </w:pPr>
                  <w:r>
                    <w:rPr>
                      <w:rFonts w:hint="eastAsia"/>
                      <w:lang w:val="en-US" w:eastAsia="zh-CN"/>
                    </w:rPr>
                    <w:t>暂无</w:t>
                  </w:r>
                </w:p>
              </w:tc>
              <w:tc>
                <w:tcPr>
                  <w:tcW w:w="262" w:type="pct"/>
                  <w:tcBorders>
                    <w:tl2br w:val="nil"/>
                    <w:tr2bl w:val="nil"/>
                  </w:tcBorders>
                  <w:noWrap w:val="0"/>
                  <w:vAlign w:val="center"/>
                </w:tcPr>
                <w:p>
                  <w:pPr>
                    <w:pStyle w:val="15"/>
                    <w:bidi w:val="0"/>
                    <w:jc w:val="center"/>
                    <w:rPr>
                      <w:lang w:val="en-US" w:eastAsia="zh-CN"/>
                    </w:rPr>
                  </w:pPr>
                  <w:r>
                    <w:rPr>
                      <w:rFonts w:hint="eastAsia"/>
                      <w:lang w:val="en-US" w:eastAsia="zh-CN"/>
                    </w:rPr>
                    <w:t>污染物排放管控</w:t>
                  </w:r>
                </w:p>
              </w:tc>
              <w:tc>
                <w:tcPr>
                  <w:tcW w:w="1336" w:type="pct"/>
                  <w:vMerge w:val="restart"/>
                  <w:tcBorders>
                    <w:tl2br w:val="nil"/>
                    <w:tr2bl w:val="nil"/>
                  </w:tcBorders>
                  <w:noWrap w:val="0"/>
                  <w:vAlign w:val="center"/>
                </w:tcPr>
                <w:p>
                  <w:pPr>
                    <w:pStyle w:val="15"/>
                    <w:bidi w:val="0"/>
                    <w:jc w:val="center"/>
                    <w:rPr>
                      <w:lang w:val="en-US" w:eastAsia="zh-CN"/>
                    </w:rPr>
                  </w:pPr>
                  <w:r>
                    <w:rPr>
                      <w:rFonts w:hint="eastAsia"/>
                      <w:lang w:val="en-US" w:eastAsia="zh-CN"/>
                    </w:rPr>
                    <w:t>/</w:t>
                  </w:r>
                </w:p>
              </w:tc>
              <w:tc>
                <w:tcPr>
                  <w:tcW w:w="870" w:type="pct"/>
                  <w:tcBorders>
                    <w:tl2br w:val="nil"/>
                    <w:tr2bl w:val="nil"/>
                  </w:tcBorders>
                  <w:noWrap w:val="0"/>
                  <w:vAlign w:val="center"/>
                </w:tcPr>
                <w:p>
                  <w:pPr>
                    <w:pStyle w:val="15"/>
                    <w:bidi w:val="0"/>
                    <w:jc w:val="center"/>
                    <w:rPr>
                      <w:rFonts w:hint="default"/>
                      <w:lang w:val="en-US" w:eastAsia="zh-CN"/>
                    </w:rPr>
                  </w:pPr>
                  <w:r>
                    <w:rPr>
                      <w:rFonts w:hint="eastAsia"/>
                      <w:lang w:val="en-US" w:eastAsia="zh-CN"/>
                    </w:rPr>
                    <w:t>/</w:t>
                  </w:r>
                </w:p>
              </w:tc>
              <w:tc>
                <w:tcPr>
                  <w:tcW w:w="312" w:type="pct"/>
                  <w:tcBorders>
                    <w:tl2br w:val="nil"/>
                    <w:tr2bl w:val="nil"/>
                  </w:tcBorders>
                  <w:noWrap w:val="0"/>
                  <w:vAlign w:val="center"/>
                </w:tcPr>
                <w:p>
                  <w:pPr>
                    <w:pStyle w:val="15"/>
                    <w:bidi w:val="0"/>
                    <w:jc w:val="center"/>
                    <w:rPr>
                      <w:rFonts w:hint="default"/>
                      <w:lang w:val="en-US" w:eastAsia="zh-CN"/>
                    </w:rPr>
                  </w:pPr>
                  <w:r>
                    <w:rPr>
                      <w:rFonts w:hint="eastAsia"/>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5" w:type="pct"/>
                  <w:vMerge w:val="continue"/>
                  <w:tcBorders>
                    <w:tl2br w:val="nil"/>
                    <w:tr2bl w:val="nil"/>
                  </w:tcBorders>
                  <w:noWrap w:val="0"/>
                  <w:vAlign w:val="center"/>
                </w:tcPr>
                <w:p>
                  <w:pPr>
                    <w:pStyle w:val="15"/>
                    <w:bidi w:val="0"/>
                    <w:jc w:val="center"/>
                    <w:rPr>
                      <w:lang w:val="en-US" w:eastAsia="zh-CN"/>
                    </w:rPr>
                  </w:pPr>
                  <w:r>
                    <w:rPr>
                      <w:rFonts w:hint="eastAsia"/>
                      <w:lang w:val="en-US" w:eastAsia="zh-CN"/>
                    </w:rPr>
                    <w:t>YS5117221410003</w:t>
                  </w:r>
                </w:p>
              </w:tc>
              <w:tc>
                <w:tcPr>
                  <w:tcW w:w="308" w:type="pct"/>
                  <w:vMerge w:val="continue"/>
                  <w:tcBorders>
                    <w:tl2br w:val="nil"/>
                    <w:tr2bl w:val="nil"/>
                  </w:tcBorders>
                  <w:noWrap w:val="0"/>
                  <w:vAlign w:val="center"/>
                </w:tcPr>
                <w:p>
                  <w:pPr>
                    <w:pStyle w:val="15"/>
                    <w:bidi w:val="0"/>
                    <w:jc w:val="center"/>
                    <w:rPr>
                      <w:lang w:val="en-US" w:eastAsia="zh-CN"/>
                    </w:rPr>
                  </w:pPr>
                  <w:r>
                    <w:rPr>
                      <w:rFonts w:hint="eastAsia"/>
                      <w:lang w:val="en-US" w:eastAsia="zh-CN"/>
                    </w:rPr>
                    <w:t>宣汉县土壤优先保护区</w:t>
                  </w:r>
                </w:p>
              </w:tc>
              <w:tc>
                <w:tcPr>
                  <w:tcW w:w="1254" w:type="pct"/>
                  <w:vMerge w:val="continue"/>
                  <w:tcBorders>
                    <w:tl2br w:val="nil"/>
                    <w:tr2bl w:val="nil"/>
                  </w:tcBorders>
                  <w:noWrap w:val="0"/>
                  <w:vAlign w:val="center"/>
                </w:tcPr>
                <w:p>
                  <w:pPr>
                    <w:pStyle w:val="15"/>
                    <w:bidi w:val="0"/>
                    <w:jc w:val="center"/>
                    <w:rPr>
                      <w:lang w:val="en-US" w:eastAsia="zh-CN"/>
                    </w:rPr>
                  </w:pPr>
                  <w:r>
                    <w:rPr>
                      <w:rFonts w:hint="eastAsia"/>
                      <w:lang w:val="en-US" w:eastAsia="zh-CN"/>
                    </w:rPr>
                    <w:t>空间布局约束：</w:t>
                  </w:r>
                </w:p>
                <w:p>
                  <w:pPr>
                    <w:pStyle w:val="15"/>
                    <w:bidi w:val="0"/>
                    <w:jc w:val="center"/>
                    <w:rPr>
                      <w:rFonts w:hint="eastAsia"/>
                      <w:lang w:val="en-US" w:eastAsia="zh-CN"/>
                    </w:rPr>
                  </w:pPr>
                  <w:r>
                    <w:rPr>
                      <w:rFonts w:hint="eastAsia"/>
                      <w:lang w:val="en-US" w:eastAsia="zh-CN"/>
                    </w:rPr>
                    <w:t>禁止开发建设活动的要求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限制开发建设活动的要求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不符合空间布局要求活动的退出要求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其他空间布局约束要求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污染物排放管控：</w:t>
                  </w:r>
                </w:p>
                <w:p>
                  <w:pPr>
                    <w:pStyle w:val="15"/>
                    <w:bidi w:val="0"/>
                    <w:jc w:val="center"/>
                    <w:rPr>
                      <w:rFonts w:hint="eastAsia"/>
                      <w:lang w:val="en-US" w:eastAsia="zh-CN"/>
                    </w:rPr>
                  </w:pPr>
                  <w:r>
                    <w:rPr>
                      <w:rFonts w:hint="eastAsia"/>
                      <w:lang w:val="en-US" w:eastAsia="zh-CN"/>
                    </w:rPr>
                    <w:t>允许排放量要求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现有源提标升级改造</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其他污染物排放管控要求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环境风险防控：</w:t>
                  </w:r>
                </w:p>
                <w:p>
                  <w:pPr>
                    <w:pStyle w:val="15"/>
                    <w:bidi w:val="0"/>
                    <w:jc w:val="center"/>
                    <w:rPr>
                      <w:rFonts w:hint="eastAsia"/>
                      <w:lang w:val="en-US" w:eastAsia="zh-CN"/>
                    </w:rPr>
                  </w:pPr>
                  <w:r>
                    <w:rPr>
                      <w:rFonts w:hint="eastAsia"/>
                      <w:lang w:val="en-US" w:eastAsia="zh-CN"/>
                    </w:rPr>
                    <w:t>联防联控要求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其他环境风险防控要求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资源开发利用效率要求：</w:t>
                  </w:r>
                </w:p>
                <w:p>
                  <w:pPr>
                    <w:pStyle w:val="15"/>
                    <w:bidi w:val="0"/>
                    <w:jc w:val="center"/>
                    <w:rPr>
                      <w:rFonts w:hint="eastAsia"/>
                      <w:lang w:val="en-US" w:eastAsia="zh-CN"/>
                    </w:rPr>
                  </w:pPr>
                  <w:r>
                    <w:rPr>
                      <w:rFonts w:hint="eastAsia"/>
                      <w:lang w:val="en-US" w:eastAsia="zh-CN"/>
                    </w:rPr>
                    <w:t>水资源利用总量要求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地下水开采要求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能源利用总量及效率要求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禁燃区要求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其他资源利用效率要求</w:t>
                  </w:r>
                </w:p>
                <w:p>
                  <w:pPr>
                    <w:pStyle w:val="15"/>
                    <w:bidi w:val="0"/>
                    <w:jc w:val="center"/>
                    <w:rPr>
                      <w:rFonts w:hint="eastAsia"/>
                      <w:lang w:val="en-US" w:eastAsia="zh-CN"/>
                    </w:rPr>
                  </w:pPr>
                  <w:r>
                    <w:rPr>
                      <w:rFonts w:hint="eastAsia"/>
                      <w:lang w:val="en-US" w:eastAsia="zh-CN"/>
                    </w:rPr>
                    <w:t>暂无</w:t>
                  </w:r>
                </w:p>
              </w:tc>
              <w:tc>
                <w:tcPr>
                  <w:tcW w:w="262" w:type="pct"/>
                  <w:tcBorders>
                    <w:tl2br w:val="nil"/>
                    <w:tr2bl w:val="nil"/>
                  </w:tcBorders>
                  <w:noWrap w:val="0"/>
                  <w:vAlign w:val="center"/>
                </w:tcPr>
                <w:p>
                  <w:pPr>
                    <w:pStyle w:val="15"/>
                    <w:bidi w:val="0"/>
                    <w:jc w:val="center"/>
                    <w:rPr>
                      <w:lang w:val="en-US" w:eastAsia="zh-CN"/>
                    </w:rPr>
                  </w:pPr>
                  <w:r>
                    <w:rPr>
                      <w:rFonts w:hint="eastAsia"/>
                      <w:lang w:val="en-US" w:eastAsia="zh-CN"/>
                    </w:rPr>
                    <w:t>环境风险防控</w:t>
                  </w:r>
                </w:p>
              </w:tc>
              <w:tc>
                <w:tcPr>
                  <w:tcW w:w="1336" w:type="pct"/>
                  <w:vMerge w:val="continue"/>
                  <w:tcBorders>
                    <w:tl2br w:val="nil"/>
                    <w:tr2bl w:val="nil"/>
                  </w:tcBorders>
                  <w:noWrap w:val="0"/>
                  <w:vAlign w:val="center"/>
                </w:tcPr>
                <w:p>
                  <w:pPr>
                    <w:pStyle w:val="15"/>
                    <w:bidi w:val="0"/>
                    <w:jc w:val="center"/>
                    <w:rPr>
                      <w:lang w:val="en-US" w:eastAsia="zh-CN"/>
                    </w:rPr>
                  </w:pPr>
                  <w:r>
                    <w:rPr>
                      <w:rFonts w:hint="eastAsia"/>
                      <w:lang w:val="en-US" w:eastAsia="zh-CN"/>
                    </w:rPr>
                    <w:t>/</w:t>
                  </w:r>
                </w:p>
              </w:tc>
              <w:tc>
                <w:tcPr>
                  <w:tcW w:w="870" w:type="pct"/>
                  <w:tcBorders>
                    <w:tl2br w:val="nil"/>
                    <w:tr2bl w:val="nil"/>
                  </w:tcBorders>
                  <w:noWrap w:val="0"/>
                  <w:vAlign w:val="center"/>
                </w:tcPr>
                <w:p>
                  <w:pPr>
                    <w:pStyle w:val="15"/>
                    <w:bidi w:val="0"/>
                    <w:jc w:val="center"/>
                    <w:rPr>
                      <w:rFonts w:hint="default"/>
                      <w:lang w:val="en-US" w:eastAsia="zh-CN"/>
                    </w:rPr>
                  </w:pPr>
                  <w:r>
                    <w:rPr>
                      <w:rFonts w:hint="eastAsia"/>
                      <w:lang w:val="en-US" w:eastAsia="zh-CN"/>
                    </w:rPr>
                    <w:t>/</w:t>
                  </w:r>
                </w:p>
              </w:tc>
              <w:tc>
                <w:tcPr>
                  <w:tcW w:w="312" w:type="pct"/>
                  <w:tcBorders>
                    <w:tl2br w:val="nil"/>
                    <w:tr2bl w:val="nil"/>
                  </w:tcBorders>
                  <w:noWrap w:val="0"/>
                  <w:vAlign w:val="center"/>
                </w:tcPr>
                <w:p>
                  <w:pPr>
                    <w:pStyle w:val="15"/>
                    <w:bidi w:val="0"/>
                    <w:jc w:val="center"/>
                    <w:rPr>
                      <w:rFonts w:hint="default"/>
                      <w:lang w:val="en-US" w:eastAsia="zh-CN"/>
                    </w:rPr>
                  </w:pPr>
                  <w:r>
                    <w:rPr>
                      <w:rFonts w:hint="eastAsia"/>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55" w:type="pct"/>
                  <w:vMerge w:val="continue"/>
                  <w:tcBorders>
                    <w:tl2br w:val="nil"/>
                    <w:tr2bl w:val="nil"/>
                  </w:tcBorders>
                  <w:noWrap w:val="0"/>
                  <w:vAlign w:val="center"/>
                </w:tcPr>
                <w:p>
                  <w:pPr>
                    <w:pStyle w:val="15"/>
                    <w:bidi w:val="0"/>
                    <w:jc w:val="center"/>
                    <w:rPr>
                      <w:lang w:val="en-US" w:eastAsia="zh-CN"/>
                    </w:rPr>
                  </w:pPr>
                  <w:r>
                    <w:rPr>
                      <w:rFonts w:hint="eastAsia"/>
                      <w:lang w:val="en-US" w:eastAsia="zh-CN"/>
                    </w:rPr>
                    <w:t>YS5117221410003</w:t>
                  </w:r>
                </w:p>
              </w:tc>
              <w:tc>
                <w:tcPr>
                  <w:tcW w:w="308" w:type="pct"/>
                  <w:vMerge w:val="continue"/>
                  <w:tcBorders>
                    <w:tl2br w:val="nil"/>
                    <w:tr2bl w:val="nil"/>
                  </w:tcBorders>
                  <w:noWrap w:val="0"/>
                  <w:vAlign w:val="center"/>
                </w:tcPr>
                <w:p>
                  <w:pPr>
                    <w:pStyle w:val="15"/>
                    <w:bidi w:val="0"/>
                    <w:jc w:val="center"/>
                    <w:rPr>
                      <w:lang w:val="en-US" w:eastAsia="zh-CN"/>
                    </w:rPr>
                  </w:pPr>
                  <w:r>
                    <w:rPr>
                      <w:rFonts w:hint="eastAsia"/>
                      <w:lang w:val="en-US" w:eastAsia="zh-CN"/>
                    </w:rPr>
                    <w:t>宣汉县土壤优先保护区</w:t>
                  </w:r>
                </w:p>
              </w:tc>
              <w:tc>
                <w:tcPr>
                  <w:tcW w:w="1254" w:type="pct"/>
                  <w:vMerge w:val="continue"/>
                  <w:tcBorders>
                    <w:tl2br w:val="nil"/>
                    <w:tr2bl w:val="nil"/>
                  </w:tcBorders>
                  <w:noWrap w:val="0"/>
                  <w:vAlign w:val="center"/>
                </w:tcPr>
                <w:p>
                  <w:pPr>
                    <w:pStyle w:val="15"/>
                    <w:bidi w:val="0"/>
                    <w:jc w:val="center"/>
                    <w:rPr>
                      <w:lang w:val="en-US" w:eastAsia="zh-CN"/>
                    </w:rPr>
                  </w:pPr>
                  <w:r>
                    <w:rPr>
                      <w:rFonts w:hint="eastAsia"/>
                      <w:lang w:val="en-US" w:eastAsia="zh-CN"/>
                    </w:rPr>
                    <w:t>空间布局约束：</w:t>
                  </w:r>
                </w:p>
                <w:p>
                  <w:pPr>
                    <w:pStyle w:val="15"/>
                    <w:bidi w:val="0"/>
                    <w:jc w:val="center"/>
                    <w:rPr>
                      <w:rFonts w:hint="eastAsia"/>
                      <w:lang w:val="en-US" w:eastAsia="zh-CN"/>
                    </w:rPr>
                  </w:pPr>
                  <w:r>
                    <w:rPr>
                      <w:rFonts w:hint="eastAsia"/>
                      <w:lang w:val="en-US" w:eastAsia="zh-CN"/>
                    </w:rPr>
                    <w:t>禁止开发建设活动的要求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限制开发建设活动的要求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不符合空间布局要求活动的退出要求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其他空间布局约束要求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污染物排放管控：</w:t>
                  </w:r>
                </w:p>
                <w:p>
                  <w:pPr>
                    <w:pStyle w:val="15"/>
                    <w:bidi w:val="0"/>
                    <w:jc w:val="center"/>
                    <w:rPr>
                      <w:rFonts w:hint="eastAsia"/>
                      <w:lang w:val="en-US" w:eastAsia="zh-CN"/>
                    </w:rPr>
                  </w:pPr>
                  <w:r>
                    <w:rPr>
                      <w:rFonts w:hint="eastAsia"/>
                      <w:lang w:val="en-US" w:eastAsia="zh-CN"/>
                    </w:rPr>
                    <w:t>允许排放量要求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现有源提标升级改造</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其他污染物排放管控要求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环境风险防控：</w:t>
                  </w:r>
                </w:p>
                <w:p>
                  <w:pPr>
                    <w:pStyle w:val="15"/>
                    <w:bidi w:val="0"/>
                    <w:jc w:val="center"/>
                    <w:rPr>
                      <w:rFonts w:hint="eastAsia"/>
                      <w:lang w:val="en-US" w:eastAsia="zh-CN"/>
                    </w:rPr>
                  </w:pPr>
                  <w:r>
                    <w:rPr>
                      <w:rFonts w:hint="eastAsia"/>
                      <w:lang w:val="en-US" w:eastAsia="zh-CN"/>
                    </w:rPr>
                    <w:t>联防联控要求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其他环境风险防控要求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资源开发利用效率要求：</w:t>
                  </w:r>
                </w:p>
                <w:p>
                  <w:pPr>
                    <w:pStyle w:val="15"/>
                    <w:bidi w:val="0"/>
                    <w:jc w:val="center"/>
                    <w:rPr>
                      <w:rFonts w:hint="eastAsia"/>
                      <w:lang w:val="en-US" w:eastAsia="zh-CN"/>
                    </w:rPr>
                  </w:pPr>
                  <w:r>
                    <w:rPr>
                      <w:rFonts w:hint="eastAsia"/>
                      <w:lang w:val="en-US" w:eastAsia="zh-CN"/>
                    </w:rPr>
                    <w:t>水资源利用总量要求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地下水开采要求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能源利用总量及效率要求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禁燃区要求</w:t>
                  </w:r>
                </w:p>
                <w:p>
                  <w:pPr>
                    <w:pStyle w:val="15"/>
                    <w:bidi w:val="0"/>
                    <w:jc w:val="center"/>
                    <w:rPr>
                      <w:rFonts w:hint="eastAsia"/>
                      <w:lang w:val="en-US" w:eastAsia="zh-CN"/>
                    </w:rPr>
                  </w:pPr>
                  <w:r>
                    <w:rPr>
                      <w:rFonts w:hint="eastAsia"/>
                      <w:lang w:val="en-US" w:eastAsia="zh-CN"/>
                    </w:rPr>
                    <w:t>暂无</w:t>
                  </w:r>
                </w:p>
                <w:p>
                  <w:pPr>
                    <w:pStyle w:val="15"/>
                    <w:bidi w:val="0"/>
                    <w:jc w:val="center"/>
                    <w:rPr>
                      <w:rFonts w:hint="eastAsia"/>
                      <w:lang w:val="en-US" w:eastAsia="zh-CN"/>
                    </w:rPr>
                  </w:pPr>
                  <w:r>
                    <w:rPr>
                      <w:rFonts w:hint="eastAsia"/>
                      <w:lang w:val="en-US" w:eastAsia="zh-CN"/>
                    </w:rPr>
                    <w:t>其他资源利用效率要求</w:t>
                  </w:r>
                </w:p>
                <w:p>
                  <w:pPr>
                    <w:pStyle w:val="15"/>
                    <w:bidi w:val="0"/>
                    <w:jc w:val="center"/>
                    <w:rPr>
                      <w:rFonts w:hint="eastAsia"/>
                      <w:lang w:val="en-US" w:eastAsia="zh-CN"/>
                    </w:rPr>
                  </w:pPr>
                  <w:r>
                    <w:rPr>
                      <w:rFonts w:hint="eastAsia"/>
                      <w:lang w:val="en-US" w:eastAsia="zh-CN"/>
                    </w:rPr>
                    <w:t>暂无</w:t>
                  </w:r>
                </w:p>
              </w:tc>
              <w:tc>
                <w:tcPr>
                  <w:tcW w:w="262" w:type="pct"/>
                  <w:tcBorders>
                    <w:tl2br w:val="nil"/>
                    <w:tr2bl w:val="nil"/>
                  </w:tcBorders>
                  <w:noWrap w:val="0"/>
                  <w:vAlign w:val="center"/>
                </w:tcPr>
                <w:p>
                  <w:pPr>
                    <w:pStyle w:val="15"/>
                    <w:bidi w:val="0"/>
                    <w:jc w:val="center"/>
                    <w:rPr>
                      <w:lang w:val="en-US" w:eastAsia="zh-CN"/>
                    </w:rPr>
                  </w:pPr>
                  <w:r>
                    <w:rPr>
                      <w:rFonts w:hint="eastAsia"/>
                      <w:lang w:val="en-US" w:eastAsia="zh-CN"/>
                    </w:rPr>
                    <w:t>资源开发效率要求</w:t>
                  </w:r>
                </w:p>
              </w:tc>
              <w:tc>
                <w:tcPr>
                  <w:tcW w:w="1336" w:type="pct"/>
                  <w:vMerge w:val="continue"/>
                  <w:tcBorders>
                    <w:tl2br w:val="nil"/>
                    <w:tr2bl w:val="nil"/>
                  </w:tcBorders>
                  <w:noWrap w:val="0"/>
                  <w:vAlign w:val="center"/>
                </w:tcPr>
                <w:p>
                  <w:pPr>
                    <w:pStyle w:val="15"/>
                    <w:bidi w:val="0"/>
                    <w:jc w:val="center"/>
                    <w:rPr>
                      <w:lang w:val="en-US" w:eastAsia="zh-CN"/>
                    </w:rPr>
                  </w:pPr>
                  <w:r>
                    <w:rPr>
                      <w:rFonts w:hint="eastAsia"/>
                      <w:lang w:val="en-US" w:eastAsia="zh-CN"/>
                    </w:rPr>
                    <w:t>/</w:t>
                  </w:r>
                </w:p>
              </w:tc>
              <w:tc>
                <w:tcPr>
                  <w:tcW w:w="870" w:type="pct"/>
                  <w:tcBorders>
                    <w:tl2br w:val="nil"/>
                    <w:tr2bl w:val="nil"/>
                  </w:tcBorders>
                  <w:noWrap w:val="0"/>
                  <w:vAlign w:val="center"/>
                </w:tcPr>
                <w:p>
                  <w:pPr>
                    <w:pStyle w:val="15"/>
                    <w:bidi w:val="0"/>
                    <w:jc w:val="center"/>
                    <w:rPr>
                      <w:rFonts w:hint="default"/>
                      <w:lang w:val="en-US" w:eastAsia="zh-CN"/>
                    </w:rPr>
                  </w:pPr>
                  <w:r>
                    <w:rPr>
                      <w:rFonts w:hint="eastAsia"/>
                      <w:lang w:val="en-US" w:eastAsia="zh-CN"/>
                    </w:rPr>
                    <w:t>/</w:t>
                  </w:r>
                </w:p>
              </w:tc>
              <w:tc>
                <w:tcPr>
                  <w:tcW w:w="312" w:type="pct"/>
                  <w:tcBorders>
                    <w:tl2br w:val="nil"/>
                    <w:tr2bl w:val="nil"/>
                  </w:tcBorders>
                  <w:noWrap w:val="0"/>
                  <w:vAlign w:val="center"/>
                </w:tcPr>
                <w:p>
                  <w:pPr>
                    <w:pStyle w:val="15"/>
                    <w:bidi w:val="0"/>
                    <w:jc w:val="center"/>
                    <w:rPr>
                      <w:rFonts w:hint="default"/>
                      <w:lang w:val="en-US" w:eastAsia="zh-CN"/>
                    </w:rPr>
                  </w:pPr>
                  <w:r>
                    <w:rPr>
                      <w:rFonts w:hint="eastAsia"/>
                      <w:lang w:val="en-US" w:eastAsia="zh-CN"/>
                    </w:rPr>
                    <w:t>/</w:t>
                  </w:r>
                </w:p>
              </w:tc>
            </w:tr>
          </w:tbl>
          <w:p>
            <w:pPr>
              <w:rPr>
                <w:rFonts w:hint="default"/>
                <w:lang w:val="en-US" w:eastAsia="zh-CN"/>
              </w:rPr>
            </w:pPr>
          </w:p>
        </w:tc>
      </w:tr>
    </w:tbl>
    <w:p>
      <w:pPr>
        <w:ind w:left="0" w:leftChars="0" w:firstLine="0" w:firstLineChars="0"/>
        <w:rPr>
          <w:rFonts w:hint="default" w:ascii="宋体" w:hAnsi="宋体" w:eastAsia="宋体"/>
          <w:b/>
          <w:bCs/>
          <w:sz w:val="28"/>
          <w:szCs w:val="28"/>
          <w:lang w:val="en-US"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p>
    <w:tbl>
      <w:tblPr>
        <w:tblStyle w:val="12"/>
        <w:tblW w:w="9014" w:type="dxa"/>
        <w:tblInd w:w="-232" w:type="dxa"/>
        <w:tblBorders>
          <w:top w:val="single" w:color="auto" w:sz="12" w:space="0"/>
          <w:left w:val="single" w:color="auto" w:sz="12" w:space="0"/>
          <w:bottom w:val="single" w:color="auto" w:sz="12" w:space="0"/>
          <w:right w:val="single" w:color="auto" w:sz="12" w:space="0"/>
          <w:insideH w:val="single" w:color="auto" w:sz="12" w:space="0"/>
          <w:insideV w:val="single" w:color="auto" w:sz="4" w:space="0"/>
        </w:tblBorders>
        <w:tblLayout w:type="fixed"/>
        <w:tblCellMar>
          <w:top w:w="0" w:type="dxa"/>
          <w:left w:w="108" w:type="dxa"/>
          <w:bottom w:w="0" w:type="dxa"/>
          <w:right w:w="108" w:type="dxa"/>
        </w:tblCellMar>
      </w:tblPr>
      <w:tblGrid>
        <w:gridCol w:w="450"/>
        <w:gridCol w:w="8564"/>
      </w:tblGrid>
      <w:tr>
        <w:tblPrEx>
          <w:tblBorders>
            <w:top w:val="single" w:color="auto" w:sz="12" w:space="0"/>
            <w:left w:val="single" w:color="auto" w:sz="12" w:space="0"/>
            <w:bottom w:val="single" w:color="auto" w:sz="12" w:space="0"/>
            <w:right w:val="single" w:color="auto" w:sz="12" w:space="0"/>
            <w:insideH w:val="single" w:color="auto" w:sz="12" w:space="0"/>
            <w:insideV w:val="single" w:color="auto" w:sz="4" w:space="0"/>
          </w:tblBorders>
          <w:tblCellMar>
            <w:top w:w="0" w:type="dxa"/>
            <w:left w:w="108" w:type="dxa"/>
            <w:bottom w:w="0" w:type="dxa"/>
            <w:right w:w="108" w:type="dxa"/>
          </w:tblCellMar>
        </w:tblPrEx>
        <w:tc>
          <w:tcPr>
            <w:tcW w:w="450" w:type="dxa"/>
            <w:tcBorders>
              <w:tl2br w:val="nil"/>
              <w:tr2bl w:val="nil"/>
            </w:tcBorders>
          </w:tcPr>
          <w:p>
            <w:pPr>
              <w:ind w:left="0" w:leftChars="0" w:firstLine="0" w:firstLineChars="0"/>
              <w:rPr>
                <w:rFonts w:hint="default"/>
                <w:vertAlign w:val="baseline"/>
                <w:lang w:val="en-US" w:eastAsia="zh-CN"/>
              </w:rPr>
            </w:pPr>
          </w:p>
        </w:tc>
        <w:tc>
          <w:tcPr>
            <w:tcW w:w="8564" w:type="dxa"/>
            <w:tcBorders>
              <w:tl2br w:val="nil"/>
              <w:tr2bl w:val="nil"/>
            </w:tcBorders>
          </w:tcPr>
          <w:p>
            <w:pPr>
              <w:bidi w:val="0"/>
              <w:rPr>
                <w:rFonts w:hint="default"/>
              </w:rPr>
            </w:pPr>
            <w:r>
              <w:rPr>
                <w:rFonts w:hint="default"/>
              </w:rPr>
              <w:t>宣汉县胡家镇胡家河山洪沟防洪治理工程项目位于达州市宣汉县环境综合管控单元一般管控单元（管控单元名称：宣汉县一般管控单元，管控单元编号：ZH51172230001）</w:t>
            </w:r>
            <w:r>
              <w:rPr>
                <w:rFonts w:hint="eastAsia"/>
                <w:lang w:eastAsia="zh-CN"/>
              </w:rPr>
              <w:t>。</w:t>
            </w:r>
            <w:r>
              <w:rPr>
                <w:rFonts w:hint="eastAsia"/>
                <w:lang w:val="en-US" w:eastAsia="zh-CN"/>
              </w:rPr>
              <w:t>本</w:t>
            </w:r>
            <w:r>
              <w:rPr>
                <w:rFonts w:hint="default"/>
              </w:rPr>
              <w:t>项目与管控单元相对位置如下图所示：（图中▼表示项目位置）</w:t>
            </w:r>
          </w:p>
          <w:p>
            <w:pPr>
              <w:bidi w:val="0"/>
              <w:ind w:left="0" w:leftChars="0" w:firstLine="0" w:firstLineChars="0"/>
              <w:rPr>
                <w:rFonts w:hint="eastAsia"/>
                <w:lang w:eastAsia="zh-CN"/>
              </w:rPr>
            </w:pPr>
            <w:r>
              <w:rPr>
                <w:rFonts w:hint="eastAsia"/>
                <w:lang w:eastAsia="zh-CN"/>
              </w:rPr>
              <w:drawing>
                <wp:inline distT="0" distB="0" distL="114300" distR="114300">
                  <wp:extent cx="5328285" cy="4032250"/>
                  <wp:effectExtent l="0" t="0" r="5715" b="6350"/>
                  <wp:docPr id="10" name="图片 10" descr="图片2(1)"/>
                  <wp:cNvGraphicFramePr/>
                  <a:graphic xmlns:a="http://schemas.openxmlformats.org/drawingml/2006/main">
                    <a:graphicData uri="http://schemas.openxmlformats.org/drawingml/2006/picture">
                      <pic:pic xmlns:pic="http://schemas.openxmlformats.org/drawingml/2006/picture">
                        <pic:nvPicPr>
                          <pic:cNvPr id="10" name="图片 10" descr="图片2(1)"/>
                          <pic:cNvPicPr/>
                        </pic:nvPicPr>
                        <pic:blipFill>
                          <a:blip r:embed="rId18"/>
                          <a:stretch>
                            <a:fillRect/>
                          </a:stretch>
                        </pic:blipFill>
                        <pic:spPr>
                          <a:xfrm>
                            <a:off x="0" y="0"/>
                            <a:ext cx="5328285" cy="4032250"/>
                          </a:xfrm>
                          <a:prstGeom prst="rect">
                            <a:avLst/>
                          </a:prstGeom>
                        </pic:spPr>
                      </pic:pic>
                    </a:graphicData>
                  </a:graphic>
                </wp:inline>
              </w:drawing>
            </w:r>
          </w:p>
          <w:p>
            <w:pPr>
              <w:pStyle w:val="18"/>
              <w:bidi w:val="0"/>
              <w:rPr>
                <w:rFonts w:hint="eastAsia"/>
                <w:lang w:eastAsia="zh-CN"/>
              </w:rPr>
            </w:pPr>
            <w:r>
              <w:rPr>
                <w:rFonts w:hint="eastAsia"/>
                <w:lang w:eastAsia="zh-CN"/>
              </w:rPr>
              <w:t>图1-</w:t>
            </w:r>
            <w:r>
              <w:rPr>
                <w:rFonts w:hint="eastAsia"/>
                <w:lang w:val="en-US" w:eastAsia="zh-CN"/>
              </w:rPr>
              <w:t xml:space="preserve">3  </w:t>
            </w:r>
            <w:r>
              <w:rPr>
                <w:rFonts w:hint="eastAsia"/>
                <w:lang w:eastAsia="zh-CN"/>
              </w:rPr>
              <w:t>项目与环境综合管控单元的位置关系图</w:t>
            </w:r>
          </w:p>
          <w:p>
            <w:pPr>
              <w:keepNext w:val="0"/>
              <w:keepLines w:val="0"/>
              <w:suppressLineNumbers w:val="0"/>
              <w:bidi w:val="0"/>
              <w:spacing w:before="0" w:beforeAutospacing="0" w:after="0" w:afterAutospacing="0"/>
              <w:ind w:left="0" w:right="0"/>
              <w:rPr>
                <w:rFonts w:hint="eastAsia"/>
                <w:lang w:eastAsia="zh-CN"/>
              </w:rPr>
            </w:pPr>
            <w:r>
              <w:rPr>
                <w:rFonts w:hint="eastAsia"/>
                <w:lang w:eastAsia="zh-CN"/>
              </w:rPr>
              <w:t>综上，本项目在空间布局约束、污染物排放管控、环境风险防控、资源开发效率等方面均符合项目所在区域“三线一单”要求。</w:t>
            </w:r>
          </w:p>
          <w:p>
            <w:pPr>
              <w:bidi w:val="0"/>
              <w:rPr>
                <w:rFonts w:hint="default"/>
                <w:b/>
                <w:bCs/>
                <w:highlight w:val="none"/>
                <w:lang w:val="en-US" w:eastAsia="zh-CN"/>
              </w:rPr>
            </w:pPr>
            <w:r>
              <w:rPr>
                <w:rFonts w:hint="default"/>
                <w:b/>
                <w:bCs/>
                <w:highlight w:val="none"/>
                <w:lang w:val="en-US" w:eastAsia="zh-CN"/>
              </w:rPr>
              <w:t>9、本项目与当地饮用水源地位置关系</w:t>
            </w:r>
          </w:p>
          <w:p>
            <w:pPr>
              <w:bidi w:val="0"/>
              <w:rPr>
                <w:rFonts w:hint="default"/>
              </w:rPr>
            </w:pPr>
            <w:r>
              <w:rPr>
                <w:rFonts w:hint="default"/>
              </w:rPr>
              <w:t>根据《达州市人民政府&lt;关于划定万源市、宣汉县和大竹县乡镇及以下集中式饮用水水源地保护区的批复&gt;》（达市府函</w:t>
            </w:r>
            <w:r>
              <w:rPr>
                <w:rFonts w:hint="eastAsia"/>
                <w:lang w:eastAsia="zh-CN"/>
              </w:rPr>
              <w:t>〔2020〕</w:t>
            </w:r>
            <w:r>
              <w:rPr>
                <w:rFonts w:hint="default"/>
              </w:rPr>
              <w:t>124号）文件可知：</w:t>
            </w:r>
          </w:p>
          <w:p>
            <w:pPr>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rPr>
              <w:t>宣汉县</w:t>
            </w:r>
            <w:r>
              <w:rPr>
                <w:rFonts w:hint="eastAsia" w:cs="Times New Roman"/>
                <w:color w:val="auto"/>
                <w:lang w:val="en-US" w:eastAsia="zh-CN"/>
              </w:rPr>
              <w:t>胡家镇</w:t>
            </w:r>
            <w:r>
              <w:rPr>
                <w:rFonts w:hint="default" w:ascii="Times New Roman" w:hAnsi="Times New Roman" w:cs="Times New Roman"/>
                <w:color w:val="auto"/>
              </w:rPr>
              <w:t>集中饮用水源地共计</w:t>
            </w:r>
            <w:r>
              <w:rPr>
                <w:rFonts w:hint="eastAsia" w:cs="Times New Roman"/>
                <w:color w:val="auto"/>
                <w:lang w:val="en-US" w:eastAsia="zh-CN"/>
              </w:rPr>
              <w:t>4</w:t>
            </w:r>
            <w:r>
              <w:rPr>
                <w:rFonts w:hint="default" w:ascii="Times New Roman" w:hAnsi="Times New Roman" w:cs="Times New Roman"/>
                <w:color w:val="auto"/>
              </w:rPr>
              <w:t>处，为</w:t>
            </w:r>
            <w:r>
              <w:rPr>
                <w:rFonts w:hint="eastAsia" w:cs="Times New Roman"/>
                <w:color w:val="auto"/>
                <w:lang w:val="en-US" w:eastAsia="zh-CN"/>
              </w:rPr>
              <w:t>宣汉县胡家镇河塘水库（村级）</w:t>
            </w:r>
            <w:r>
              <w:rPr>
                <w:rFonts w:hint="default" w:ascii="Times New Roman" w:hAnsi="Times New Roman" w:cs="Times New Roman"/>
                <w:color w:val="auto"/>
                <w:lang w:val="en-US" w:eastAsia="zh-CN"/>
              </w:rPr>
              <w:t>集中式饮用水水源地</w:t>
            </w:r>
            <w:r>
              <w:rPr>
                <w:rFonts w:hint="eastAsia" w:cs="Times New Roman"/>
                <w:color w:val="auto"/>
                <w:lang w:val="en-US" w:eastAsia="zh-CN"/>
              </w:rPr>
              <w:t>、宣汉县胡家镇李寺沟水库（村级）</w:t>
            </w:r>
            <w:r>
              <w:rPr>
                <w:rFonts w:hint="default" w:ascii="Times New Roman" w:hAnsi="Times New Roman" w:cs="Times New Roman"/>
                <w:color w:val="auto"/>
                <w:lang w:val="en-US" w:eastAsia="zh-CN"/>
              </w:rPr>
              <w:t>集中式饮用水水源地</w:t>
            </w:r>
            <w:r>
              <w:rPr>
                <w:rFonts w:hint="eastAsia" w:cs="Times New Roman"/>
                <w:color w:val="auto"/>
                <w:lang w:val="en-US" w:eastAsia="zh-CN"/>
              </w:rPr>
              <w:t>、宣汉县胡家镇新桥河黑滩</w:t>
            </w:r>
            <w:r>
              <w:rPr>
                <w:rFonts w:hint="default" w:ascii="Times New Roman" w:hAnsi="Times New Roman" w:cs="Times New Roman"/>
                <w:color w:val="auto"/>
                <w:lang w:val="en-US" w:eastAsia="zh-CN"/>
              </w:rPr>
              <w:t>集中式饮用水水源地</w:t>
            </w:r>
            <w:r>
              <w:rPr>
                <w:rFonts w:hint="eastAsia" w:cs="Times New Roman"/>
                <w:color w:val="auto"/>
                <w:lang w:val="en-US" w:eastAsia="zh-CN"/>
              </w:rPr>
              <w:t>和宣汉县胡家镇花池河河塘沟（村级）</w:t>
            </w:r>
            <w:r>
              <w:rPr>
                <w:rFonts w:hint="default" w:ascii="Times New Roman" w:hAnsi="Times New Roman" w:cs="Times New Roman"/>
                <w:color w:val="auto"/>
                <w:lang w:val="en-US" w:eastAsia="zh-CN"/>
              </w:rPr>
              <w:t>中式饮用水水源地</w:t>
            </w:r>
            <w:r>
              <w:rPr>
                <w:rFonts w:hint="default" w:ascii="Times New Roman" w:hAnsi="Times New Roman" w:cs="Times New Roman"/>
                <w:color w:val="auto"/>
              </w:rPr>
              <w:t>，详见表1-</w:t>
            </w:r>
            <w:r>
              <w:rPr>
                <w:rFonts w:hint="default" w:ascii="Times New Roman" w:hAnsi="Times New Roman" w:cs="Times New Roman"/>
                <w:color w:val="auto"/>
                <w:lang w:val="en-US" w:eastAsia="zh-CN"/>
              </w:rPr>
              <w:t>10。</w:t>
            </w:r>
            <w:r>
              <w:rPr>
                <w:rFonts w:hint="eastAsia"/>
                <w:highlight w:val="none"/>
                <w:lang w:val="en-US" w:eastAsia="zh-CN"/>
              </w:rPr>
              <w:t>位置关系详见附图7。</w:t>
            </w:r>
          </w:p>
          <w:p>
            <w:pPr>
              <w:pStyle w:val="16"/>
              <w:keepNext w:val="0"/>
              <w:keepLines w:val="0"/>
              <w:suppressLineNumbers w:val="0"/>
              <w:bidi w:val="0"/>
              <w:spacing w:beforeAutospacing="0" w:after="0" w:afterAutospacing="0"/>
              <w:ind w:left="0" w:right="0"/>
              <w:rPr>
                <w:rFonts w:hint="default" w:ascii="Times New Roman" w:hAnsi="Times New Roman" w:cs="Times New Roman"/>
                <w:color w:val="auto"/>
                <w:lang w:val="en-US" w:eastAsia="zh-CN"/>
              </w:rPr>
            </w:pPr>
          </w:p>
          <w:p>
            <w:pPr>
              <w:pStyle w:val="16"/>
              <w:keepNext w:val="0"/>
              <w:keepLines w:val="0"/>
              <w:suppressLineNumbers w:val="0"/>
              <w:bidi w:val="0"/>
              <w:spacing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表1-10  本项目与当地水源关系位置关系一览表</w:t>
            </w:r>
          </w:p>
          <w:tbl>
            <w:tblPr>
              <w:tblStyle w:val="12"/>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05"/>
              <w:gridCol w:w="477"/>
              <w:gridCol w:w="1290"/>
              <w:gridCol w:w="849"/>
              <w:gridCol w:w="1579"/>
              <w:gridCol w:w="1504"/>
              <w:gridCol w:w="566"/>
              <w:gridCol w:w="77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81" w:type="pct"/>
                  <w:vMerge w:val="restart"/>
                  <w:tcBorders>
                    <w:tl2br w:val="nil"/>
                    <w:tr2bl w:val="nil"/>
                  </w:tcBorders>
                  <w:vAlign w:val="center"/>
                </w:tcPr>
                <w:p>
                  <w:pPr>
                    <w:pStyle w:val="15"/>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宋体" w:cs="Times New Roman"/>
                      <w:b/>
                      <w:bCs/>
                      <w:color w:val="auto"/>
                      <w:sz w:val="21"/>
                      <w:szCs w:val="21"/>
                      <w:u w:val="none"/>
                      <w:lang w:val="en-US" w:eastAsia="zh-CN" w:bidi="ar-SA"/>
                    </w:rPr>
                  </w:pPr>
                  <w:r>
                    <w:rPr>
                      <w:rFonts w:hint="default" w:ascii="Times New Roman" w:hAnsi="Times New Roman" w:eastAsia="宋体" w:cs="Times New Roman"/>
                      <w:b/>
                      <w:bCs/>
                      <w:color w:val="auto"/>
                      <w:sz w:val="21"/>
                      <w:szCs w:val="21"/>
                      <w:u w:val="none"/>
                      <w:lang w:val="en-US" w:eastAsia="zh-CN" w:bidi="ar-SA"/>
                    </w:rPr>
                    <w:t>水源地名称</w:t>
                  </w:r>
                </w:p>
              </w:tc>
              <w:tc>
                <w:tcPr>
                  <w:tcW w:w="285" w:type="pct"/>
                  <w:vMerge w:val="restart"/>
                  <w:tcBorders>
                    <w:tl2br w:val="nil"/>
                    <w:tr2bl w:val="nil"/>
                  </w:tcBorders>
                  <w:vAlign w:val="center"/>
                </w:tcPr>
                <w:p>
                  <w:pPr>
                    <w:pStyle w:val="15"/>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宋体" w:cs="Times New Roman"/>
                      <w:b/>
                      <w:bCs/>
                      <w:color w:val="auto"/>
                      <w:sz w:val="21"/>
                      <w:szCs w:val="21"/>
                      <w:u w:val="none"/>
                      <w:lang w:val="en-US" w:eastAsia="zh-CN" w:bidi="ar-SA"/>
                    </w:rPr>
                  </w:pPr>
                  <w:r>
                    <w:rPr>
                      <w:rFonts w:hint="eastAsia" w:eastAsia="宋体" w:cs="Times New Roman"/>
                      <w:b/>
                      <w:bCs/>
                      <w:color w:val="auto"/>
                      <w:sz w:val="21"/>
                      <w:szCs w:val="21"/>
                      <w:u w:val="none"/>
                      <w:lang w:val="en-US" w:eastAsia="zh-CN" w:bidi="ar-SA"/>
                    </w:rPr>
                    <w:t>水源类型</w:t>
                  </w:r>
                </w:p>
              </w:tc>
              <w:tc>
                <w:tcPr>
                  <w:tcW w:w="772" w:type="pct"/>
                  <w:vMerge w:val="restart"/>
                  <w:tcBorders>
                    <w:tl2br w:val="nil"/>
                    <w:tr2bl w:val="nil"/>
                  </w:tcBorders>
                  <w:vAlign w:val="center"/>
                </w:tcPr>
                <w:p>
                  <w:pPr>
                    <w:pStyle w:val="15"/>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宋体" w:cs="Times New Roman"/>
                      <w:b/>
                      <w:bCs/>
                      <w:color w:val="auto"/>
                      <w:sz w:val="21"/>
                      <w:szCs w:val="21"/>
                      <w:u w:val="none"/>
                      <w:lang w:val="en-US" w:eastAsia="zh-CN" w:bidi="ar-SA"/>
                    </w:rPr>
                  </w:pPr>
                  <w:r>
                    <w:rPr>
                      <w:rFonts w:hint="default" w:ascii="Times New Roman" w:hAnsi="Times New Roman" w:eastAsia="宋体" w:cs="Times New Roman"/>
                      <w:b/>
                      <w:bCs/>
                      <w:color w:val="auto"/>
                      <w:sz w:val="21"/>
                      <w:szCs w:val="21"/>
                      <w:u w:val="none"/>
                      <w:lang w:val="en-US" w:eastAsia="zh-CN" w:bidi="ar-SA"/>
                    </w:rPr>
                    <w:t>服务范围</w:t>
                  </w:r>
                </w:p>
              </w:tc>
              <w:tc>
                <w:tcPr>
                  <w:tcW w:w="2355" w:type="pct"/>
                  <w:gridSpan w:val="3"/>
                  <w:tcBorders>
                    <w:tl2br w:val="nil"/>
                    <w:tr2bl w:val="nil"/>
                  </w:tcBorders>
                  <w:vAlign w:val="center"/>
                </w:tcPr>
                <w:p>
                  <w:pPr>
                    <w:pStyle w:val="15"/>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宋体" w:cs="Times New Roman"/>
                      <w:b/>
                      <w:bCs/>
                      <w:color w:val="auto"/>
                      <w:sz w:val="21"/>
                      <w:szCs w:val="21"/>
                      <w:u w:val="none"/>
                      <w:lang w:val="en-US" w:eastAsia="zh-CN" w:bidi="ar-SA"/>
                    </w:rPr>
                  </w:pPr>
                  <w:r>
                    <w:rPr>
                      <w:rFonts w:hint="default" w:ascii="Times New Roman" w:hAnsi="Times New Roman" w:eastAsia="宋体" w:cs="Times New Roman"/>
                      <w:b/>
                      <w:bCs/>
                      <w:color w:val="auto"/>
                      <w:sz w:val="21"/>
                      <w:szCs w:val="21"/>
                      <w:u w:val="none"/>
                      <w:lang w:val="en-US" w:eastAsia="zh-CN" w:bidi="ar-SA"/>
                    </w:rPr>
                    <w:t>取水口信息</w:t>
                  </w:r>
                </w:p>
              </w:tc>
              <w:tc>
                <w:tcPr>
                  <w:tcW w:w="803" w:type="pct"/>
                  <w:gridSpan w:val="2"/>
                  <w:tcBorders>
                    <w:tl2br w:val="nil"/>
                    <w:tr2bl w:val="nil"/>
                  </w:tcBorders>
                  <w:vAlign w:val="center"/>
                </w:tcPr>
                <w:p>
                  <w:pPr>
                    <w:pStyle w:val="15"/>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宋体" w:cs="Times New Roman"/>
                      <w:b/>
                      <w:bCs/>
                      <w:color w:val="auto"/>
                      <w:sz w:val="21"/>
                      <w:szCs w:val="21"/>
                      <w:u w:val="none"/>
                      <w:lang w:val="en-US" w:eastAsia="zh-CN" w:bidi="ar-SA"/>
                    </w:rPr>
                  </w:pPr>
                  <w:r>
                    <w:rPr>
                      <w:rFonts w:hint="default" w:ascii="Times New Roman" w:hAnsi="Times New Roman" w:eastAsia="宋体" w:cs="Times New Roman"/>
                      <w:b/>
                      <w:bCs/>
                      <w:color w:val="auto"/>
                      <w:sz w:val="21"/>
                      <w:szCs w:val="21"/>
                      <w:u w:val="none"/>
                      <w:lang w:val="en-US" w:eastAsia="zh-CN" w:bidi="ar-SA"/>
                    </w:rPr>
                    <w:t>与项目位置关系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9" w:hRule="atLeast"/>
              </w:trPr>
              <w:tc>
                <w:tcPr>
                  <w:tcW w:w="781" w:type="pct"/>
                  <w:vMerge w:val="continue"/>
                  <w:tcBorders>
                    <w:tl2br w:val="nil"/>
                    <w:tr2bl w:val="nil"/>
                  </w:tcBorders>
                  <w:vAlign w:val="center"/>
                </w:tcPr>
                <w:p>
                  <w:pPr>
                    <w:pStyle w:val="15"/>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宋体" w:cs="Times New Roman"/>
                      <w:b/>
                      <w:bCs/>
                      <w:color w:val="auto"/>
                      <w:sz w:val="21"/>
                      <w:szCs w:val="21"/>
                      <w:u w:val="none"/>
                      <w:lang w:val="en-US" w:eastAsia="zh-CN" w:bidi="ar-SA"/>
                    </w:rPr>
                  </w:pPr>
                </w:p>
              </w:tc>
              <w:tc>
                <w:tcPr>
                  <w:tcW w:w="285" w:type="pct"/>
                  <w:vMerge w:val="continue"/>
                  <w:tcBorders>
                    <w:tl2br w:val="nil"/>
                    <w:tr2bl w:val="nil"/>
                  </w:tcBorders>
                  <w:vAlign w:val="center"/>
                </w:tcPr>
                <w:p>
                  <w:pPr>
                    <w:pStyle w:val="15"/>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宋体" w:cs="Times New Roman"/>
                      <w:b/>
                      <w:bCs/>
                      <w:color w:val="auto"/>
                      <w:sz w:val="21"/>
                      <w:szCs w:val="21"/>
                      <w:u w:val="none"/>
                      <w:lang w:val="en-US" w:eastAsia="zh-CN" w:bidi="ar-SA"/>
                    </w:rPr>
                  </w:pPr>
                </w:p>
              </w:tc>
              <w:tc>
                <w:tcPr>
                  <w:tcW w:w="772" w:type="pct"/>
                  <w:vMerge w:val="continue"/>
                  <w:tcBorders>
                    <w:tl2br w:val="nil"/>
                    <w:tr2bl w:val="nil"/>
                  </w:tcBorders>
                  <w:vAlign w:val="center"/>
                </w:tcPr>
                <w:p>
                  <w:pPr>
                    <w:pStyle w:val="15"/>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宋体" w:cs="Times New Roman"/>
                      <w:b/>
                      <w:bCs/>
                      <w:color w:val="auto"/>
                      <w:sz w:val="21"/>
                      <w:szCs w:val="21"/>
                      <w:u w:val="none"/>
                      <w:lang w:val="en-US" w:eastAsia="zh-CN" w:bidi="ar-SA"/>
                    </w:rPr>
                  </w:pPr>
                </w:p>
              </w:tc>
              <w:tc>
                <w:tcPr>
                  <w:tcW w:w="508" w:type="pct"/>
                  <w:tcBorders>
                    <w:tl2br w:val="nil"/>
                    <w:tr2bl w:val="nil"/>
                  </w:tcBorders>
                  <w:vAlign w:val="center"/>
                </w:tcPr>
                <w:p>
                  <w:pPr>
                    <w:pStyle w:val="15"/>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宋体" w:cs="Times New Roman"/>
                      <w:b/>
                      <w:bCs/>
                      <w:color w:val="auto"/>
                      <w:sz w:val="21"/>
                      <w:szCs w:val="21"/>
                      <w:u w:val="none"/>
                      <w:lang w:val="en-US" w:eastAsia="zh-CN" w:bidi="ar-SA"/>
                    </w:rPr>
                  </w:pPr>
                  <w:r>
                    <w:rPr>
                      <w:rFonts w:hint="default" w:ascii="Times New Roman" w:hAnsi="Times New Roman" w:eastAsia="宋体" w:cs="Times New Roman"/>
                      <w:b/>
                      <w:bCs/>
                      <w:color w:val="auto"/>
                      <w:sz w:val="21"/>
                      <w:szCs w:val="21"/>
                      <w:u w:val="none"/>
                      <w:lang w:val="en-US" w:eastAsia="zh-CN" w:bidi="ar-SA"/>
                    </w:rPr>
                    <w:t>取水口</w:t>
                  </w:r>
                  <w:r>
                    <w:rPr>
                      <w:rFonts w:hint="eastAsia" w:eastAsia="宋体" w:cs="Times New Roman"/>
                      <w:b/>
                      <w:bCs/>
                      <w:color w:val="auto"/>
                      <w:sz w:val="21"/>
                      <w:szCs w:val="21"/>
                      <w:u w:val="none"/>
                      <w:lang w:val="en-US" w:eastAsia="zh-CN" w:bidi="ar-SA"/>
                    </w:rPr>
                    <w:t>地名</w:t>
                  </w:r>
                </w:p>
              </w:tc>
              <w:tc>
                <w:tcPr>
                  <w:tcW w:w="946" w:type="pct"/>
                  <w:tcBorders>
                    <w:tl2br w:val="nil"/>
                    <w:tr2bl w:val="nil"/>
                  </w:tcBorders>
                  <w:vAlign w:val="center"/>
                </w:tcPr>
                <w:p>
                  <w:pPr>
                    <w:pStyle w:val="15"/>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宋体" w:cs="Times New Roman"/>
                      <w:b/>
                      <w:bCs/>
                      <w:color w:val="auto"/>
                      <w:sz w:val="21"/>
                      <w:szCs w:val="21"/>
                      <w:u w:val="none"/>
                      <w:lang w:val="en-US" w:eastAsia="zh-CN" w:bidi="ar-SA"/>
                    </w:rPr>
                  </w:pPr>
                  <w:r>
                    <w:rPr>
                      <w:rFonts w:hint="default" w:ascii="Times New Roman" w:hAnsi="Times New Roman" w:eastAsia="宋体" w:cs="Times New Roman"/>
                      <w:b/>
                      <w:bCs/>
                      <w:color w:val="auto"/>
                      <w:sz w:val="21"/>
                      <w:szCs w:val="21"/>
                      <w:u w:val="none"/>
                      <w:lang w:val="en-US" w:eastAsia="zh-CN" w:bidi="ar-SA"/>
                    </w:rPr>
                    <w:t>经度</w:t>
                  </w:r>
                </w:p>
              </w:tc>
              <w:tc>
                <w:tcPr>
                  <w:tcW w:w="901" w:type="pct"/>
                  <w:tcBorders>
                    <w:tl2br w:val="nil"/>
                    <w:tr2bl w:val="nil"/>
                  </w:tcBorders>
                  <w:vAlign w:val="center"/>
                </w:tcPr>
                <w:p>
                  <w:pPr>
                    <w:pStyle w:val="15"/>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宋体" w:cs="Times New Roman"/>
                      <w:b/>
                      <w:bCs/>
                      <w:color w:val="auto"/>
                      <w:sz w:val="21"/>
                      <w:szCs w:val="21"/>
                      <w:u w:val="none"/>
                      <w:lang w:val="en-US" w:eastAsia="zh-CN" w:bidi="ar-SA"/>
                    </w:rPr>
                  </w:pPr>
                  <w:r>
                    <w:rPr>
                      <w:rFonts w:hint="eastAsia" w:eastAsia="宋体" w:cs="Times New Roman"/>
                      <w:b/>
                      <w:bCs/>
                      <w:color w:val="auto"/>
                      <w:sz w:val="21"/>
                      <w:szCs w:val="21"/>
                      <w:u w:val="none"/>
                      <w:lang w:val="en-US" w:eastAsia="zh-CN" w:bidi="ar-SA"/>
                    </w:rPr>
                    <w:t>纬度</w:t>
                  </w:r>
                </w:p>
              </w:tc>
              <w:tc>
                <w:tcPr>
                  <w:tcW w:w="339" w:type="pct"/>
                  <w:tcBorders>
                    <w:tl2br w:val="nil"/>
                    <w:tr2bl w:val="nil"/>
                  </w:tcBorders>
                  <w:vAlign w:val="center"/>
                </w:tcPr>
                <w:p>
                  <w:pPr>
                    <w:pStyle w:val="15"/>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宋体" w:cs="Times New Roman"/>
                      <w:b/>
                      <w:bCs/>
                      <w:color w:val="auto"/>
                      <w:sz w:val="21"/>
                      <w:szCs w:val="21"/>
                      <w:u w:val="none"/>
                      <w:lang w:val="en-US" w:eastAsia="zh-CN" w:bidi="ar-SA"/>
                    </w:rPr>
                  </w:pPr>
                  <w:r>
                    <w:rPr>
                      <w:rFonts w:hint="default" w:ascii="Times New Roman" w:hAnsi="Times New Roman" w:cs="Times New Roman"/>
                      <w:b/>
                      <w:bCs/>
                      <w:color w:val="auto"/>
                      <w:sz w:val="21"/>
                      <w:szCs w:val="21"/>
                      <w:u w:val="none"/>
                      <w:lang w:val="en-US" w:eastAsia="zh-CN" w:bidi="ar-SA"/>
                    </w:rPr>
                    <w:t>上下游</w:t>
                  </w:r>
                </w:p>
              </w:tc>
              <w:tc>
                <w:tcPr>
                  <w:tcW w:w="464" w:type="pct"/>
                  <w:tcBorders>
                    <w:tl2br w:val="nil"/>
                    <w:tr2bl w:val="nil"/>
                  </w:tcBorders>
                  <w:vAlign w:val="center"/>
                </w:tcPr>
                <w:p>
                  <w:pPr>
                    <w:pStyle w:val="15"/>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宋体" w:cs="Times New Roman"/>
                      <w:b/>
                      <w:bCs/>
                      <w:color w:val="auto"/>
                      <w:sz w:val="21"/>
                      <w:szCs w:val="21"/>
                      <w:u w:val="none"/>
                      <w:lang w:val="en-US" w:eastAsia="zh-CN" w:bidi="ar-SA"/>
                    </w:rPr>
                  </w:pPr>
                  <w:r>
                    <w:rPr>
                      <w:rFonts w:hint="default" w:ascii="Times New Roman" w:hAnsi="Times New Roman" w:eastAsia="宋体" w:cs="Times New Roman"/>
                      <w:b/>
                      <w:bCs/>
                      <w:color w:val="auto"/>
                      <w:sz w:val="21"/>
                      <w:szCs w:val="21"/>
                      <w:u w:val="none"/>
                      <w:lang w:val="en-US" w:eastAsia="zh-CN" w:bidi="ar-SA"/>
                    </w:rPr>
                    <w:t>最近距离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81" w:type="pct"/>
                  <w:tcBorders>
                    <w:tl2br w:val="nil"/>
                    <w:tr2bl w:val="nil"/>
                  </w:tcBorders>
                  <w:vAlign w:val="center"/>
                </w:tcPr>
                <w:p>
                  <w:pPr>
                    <w:pStyle w:val="15"/>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宋体" w:cs="Times New Roman"/>
                      <w:color w:val="auto"/>
                      <w:sz w:val="21"/>
                      <w:szCs w:val="21"/>
                      <w:u w:val="none"/>
                      <w:lang w:val="en-US" w:eastAsia="zh-CN" w:bidi="ar-SA"/>
                    </w:rPr>
                  </w:pPr>
                  <w:r>
                    <w:rPr>
                      <w:rFonts w:hint="eastAsia" w:cs="Times New Roman"/>
                      <w:color w:val="auto"/>
                      <w:lang w:val="en-US" w:eastAsia="zh-CN"/>
                    </w:rPr>
                    <w:t>宣汉县胡家镇河塘水库（村级）</w:t>
                  </w:r>
                  <w:r>
                    <w:rPr>
                      <w:rFonts w:hint="default" w:ascii="Times New Roman" w:hAnsi="Times New Roman" w:cs="Times New Roman"/>
                      <w:color w:val="auto"/>
                      <w:lang w:val="en-US" w:eastAsia="zh-CN"/>
                    </w:rPr>
                    <w:t>集中式饮用水水源地</w:t>
                  </w:r>
                </w:p>
              </w:tc>
              <w:tc>
                <w:tcPr>
                  <w:tcW w:w="285" w:type="pct"/>
                  <w:tcBorders>
                    <w:tl2br w:val="nil"/>
                    <w:tr2bl w:val="nil"/>
                  </w:tcBorders>
                  <w:vAlign w:val="center"/>
                </w:tcPr>
                <w:p>
                  <w:pPr>
                    <w:pStyle w:val="15"/>
                    <w:keepNext w:val="0"/>
                    <w:keepLines w:val="0"/>
                    <w:widowControl/>
                    <w:suppressLineNumbers w:val="0"/>
                    <w:spacing w:before="0" w:beforeLines="0" w:beforeAutospacing="0" w:after="0" w:afterLines="0" w:afterAutospacing="0"/>
                    <w:ind w:left="0" w:right="0"/>
                    <w:jc w:val="center"/>
                    <w:rPr>
                      <w:rFonts w:hint="default" w:cs="Times New Roman"/>
                      <w:color w:val="auto"/>
                      <w:lang w:val="en-US" w:eastAsia="zh-CN"/>
                    </w:rPr>
                  </w:pPr>
                  <w:r>
                    <w:rPr>
                      <w:rFonts w:hint="eastAsia" w:cs="Times New Roman"/>
                      <w:color w:val="auto"/>
                      <w:lang w:val="en-US" w:eastAsia="zh-CN"/>
                    </w:rPr>
                    <w:t>湖库型</w:t>
                  </w:r>
                </w:p>
              </w:tc>
              <w:tc>
                <w:tcPr>
                  <w:tcW w:w="772" w:type="pct"/>
                  <w:tcBorders>
                    <w:tl2br w:val="nil"/>
                    <w:tr2bl w:val="nil"/>
                  </w:tcBorders>
                  <w:vAlign w:val="center"/>
                </w:tcPr>
                <w:p>
                  <w:pPr>
                    <w:pStyle w:val="15"/>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宋体" w:cs="Times New Roman"/>
                      <w:color w:val="auto"/>
                      <w:sz w:val="21"/>
                      <w:szCs w:val="21"/>
                      <w:u w:val="none"/>
                      <w:lang w:val="en-US" w:eastAsia="zh-CN" w:bidi="ar-SA"/>
                    </w:rPr>
                  </w:pPr>
                  <w:r>
                    <w:rPr>
                      <w:rFonts w:hint="eastAsia" w:cs="Times New Roman"/>
                      <w:color w:val="auto"/>
                      <w:sz w:val="21"/>
                      <w:szCs w:val="21"/>
                      <w:u w:val="none"/>
                      <w:lang w:val="en-US" w:eastAsia="zh-CN" w:bidi="ar-SA"/>
                    </w:rPr>
                    <w:t>胡家镇锣鼓村、石梁村、思乐村、跳河村等4个村</w:t>
                  </w:r>
                </w:p>
              </w:tc>
              <w:tc>
                <w:tcPr>
                  <w:tcW w:w="508" w:type="pct"/>
                  <w:tcBorders>
                    <w:tl2br w:val="nil"/>
                    <w:tr2bl w:val="nil"/>
                  </w:tcBorders>
                  <w:vAlign w:val="center"/>
                </w:tcPr>
                <w:p>
                  <w:pPr>
                    <w:pStyle w:val="15"/>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宋体" w:cs="Times New Roman"/>
                      <w:color w:val="auto"/>
                      <w:sz w:val="21"/>
                      <w:szCs w:val="21"/>
                      <w:u w:val="none"/>
                      <w:lang w:val="en-US" w:eastAsia="zh-CN" w:bidi="ar-SA"/>
                    </w:rPr>
                  </w:pPr>
                  <w:r>
                    <w:rPr>
                      <w:rFonts w:hint="eastAsia" w:cs="Times New Roman"/>
                      <w:color w:val="auto"/>
                      <w:sz w:val="21"/>
                      <w:szCs w:val="21"/>
                      <w:u w:val="none"/>
                      <w:lang w:val="en-US" w:eastAsia="zh-CN" w:bidi="ar-SA"/>
                    </w:rPr>
                    <w:t>胡家镇锣鼓村7组</w:t>
                  </w:r>
                </w:p>
              </w:tc>
              <w:tc>
                <w:tcPr>
                  <w:tcW w:w="946" w:type="pct"/>
                  <w:tcBorders>
                    <w:tl2br w:val="nil"/>
                    <w:tr2bl w:val="nil"/>
                  </w:tcBorders>
                  <w:vAlign w:val="center"/>
                </w:tcPr>
                <w:p>
                  <w:pPr>
                    <w:pStyle w:val="15"/>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宋体" w:cs="Times New Roman"/>
                      <w:color w:val="auto"/>
                      <w:sz w:val="21"/>
                      <w:szCs w:val="21"/>
                      <w:u w:val="none"/>
                      <w:lang w:val="en-US" w:eastAsia="zh-CN" w:bidi="ar-SA"/>
                    </w:rPr>
                  </w:pPr>
                  <w:r>
                    <w:rPr>
                      <w:rFonts w:hint="default" w:ascii="Times New Roman" w:hAnsi="Times New Roman" w:eastAsia="宋体" w:cs="Times New Roman"/>
                      <w:color w:val="auto"/>
                      <w:sz w:val="21"/>
                      <w:szCs w:val="21"/>
                      <w:u w:val="none"/>
                      <w:lang w:val="en-US" w:eastAsia="zh-CN" w:bidi="ar-SA"/>
                    </w:rPr>
                    <w:t>10</w:t>
                  </w:r>
                  <w:r>
                    <w:rPr>
                      <w:rFonts w:hint="eastAsia" w:eastAsia="宋体" w:cs="Times New Roman"/>
                      <w:color w:val="auto"/>
                      <w:sz w:val="21"/>
                      <w:szCs w:val="21"/>
                      <w:u w:val="none"/>
                      <w:lang w:val="en-US" w:eastAsia="zh-CN" w:bidi="ar-SA"/>
                    </w:rPr>
                    <w:t>7</w:t>
                  </w:r>
                  <w:r>
                    <w:rPr>
                      <w:rFonts w:hint="default" w:ascii="Times New Roman" w:hAnsi="Times New Roman" w:eastAsia="宋体" w:cs="Times New Roman"/>
                      <w:color w:val="auto"/>
                      <w:sz w:val="21"/>
                      <w:szCs w:val="21"/>
                      <w:u w:val="none"/>
                      <w:lang w:val="en-US" w:eastAsia="zh-CN" w:bidi="ar-SA"/>
                    </w:rPr>
                    <w:t>°</w:t>
                  </w:r>
                  <w:r>
                    <w:rPr>
                      <w:rFonts w:hint="eastAsia" w:cs="Times New Roman"/>
                      <w:color w:val="auto"/>
                      <w:sz w:val="21"/>
                      <w:szCs w:val="21"/>
                      <w:u w:val="none"/>
                      <w:lang w:val="en-US" w:eastAsia="zh-CN" w:bidi="ar-SA"/>
                    </w:rPr>
                    <w:t>40</w:t>
                  </w:r>
                  <w:r>
                    <w:rPr>
                      <w:rFonts w:hint="default" w:ascii="Times New Roman" w:hAnsi="Times New Roman" w:eastAsia="宋体" w:cs="Times New Roman"/>
                      <w:color w:val="auto"/>
                      <w:sz w:val="21"/>
                      <w:szCs w:val="21"/>
                      <w:u w:val="none"/>
                      <w:lang w:val="en-US" w:eastAsia="zh-CN" w:bidi="ar-SA"/>
                    </w:rPr>
                    <w:t>′</w:t>
                  </w:r>
                  <w:r>
                    <w:rPr>
                      <w:rFonts w:hint="eastAsia" w:cs="Times New Roman"/>
                      <w:color w:val="auto"/>
                      <w:sz w:val="21"/>
                      <w:szCs w:val="21"/>
                      <w:u w:val="none"/>
                      <w:lang w:val="en-US" w:eastAsia="zh-CN" w:bidi="ar-SA"/>
                    </w:rPr>
                    <w:t>11.737</w:t>
                  </w:r>
                  <w:r>
                    <w:rPr>
                      <w:rFonts w:hint="default" w:ascii="Times New Roman" w:hAnsi="Times New Roman" w:eastAsia="宋体" w:cs="Times New Roman"/>
                      <w:color w:val="auto"/>
                      <w:sz w:val="21"/>
                      <w:szCs w:val="21"/>
                      <w:u w:val="none"/>
                      <w:lang w:val="en-US" w:eastAsia="zh-CN" w:bidi="ar-SA"/>
                    </w:rPr>
                    <w:t>″</w:t>
                  </w:r>
                </w:p>
              </w:tc>
              <w:tc>
                <w:tcPr>
                  <w:tcW w:w="901" w:type="pct"/>
                  <w:tcBorders>
                    <w:tl2br w:val="nil"/>
                    <w:tr2bl w:val="nil"/>
                  </w:tcBorders>
                  <w:vAlign w:val="center"/>
                </w:tcPr>
                <w:p>
                  <w:pPr>
                    <w:pStyle w:val="15"/>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宋体" w:cs="Times New Roman"/>
                      <w:color w:val="auto"/>
                      <w:sz w:val="21"/>
                      <w:szCs w:val="21"/>
                      <w:u w:val="none"/>
                      <w:lang w:val="en-US" w:eastAsia="zh-CN" w:bidi="ar-SA"/>
                    </w:rPr>
                  </w:pPr>
                  <w:r>
                    <w:rPr>
                      <w:rFonts w:hint="default" w:ascii="Times New Roman" w:hAnsi="Times New Roman" w:eastAsia="宋体" w:cs="Times New Roman"/>
                      <w:color w:val="auto"/>
                      <w:sz w:val="21"/>
                      <w:szCs w:val="21"/>
                      <w:u w:val="none"/>
                      <w:lang w:val="en-US" w:eastAsia="zh-CN" w:bidi="ar-SA"/>
                    </w:rPr>
                    <w:t>31°3</w:t>
                  </w:r>
                  <w:r>
                    <w:rPr>
                      <w:rFonts w:hint="eastAsia" w:cs="Times New Roman"/>
                      <w:color w:val="auto"/>
                      <w:sz w:val="21"/>
                      <w:szCs w:val="21"/>
                      <w:u w:val="none"/>
                      <w:lang w:val="en-US" w:eastAsia="zh-CN" w:bidi="ar-SA"/>
                    </w:rPr>
                    <w:t>7</w:t>
                  </w:r>
                  <w:r>
                    <w:rPr>
                      <w:rFonts w:hint="default" w:ascii="Times New Roman" w:hAnsi="Times New Roman" w:eastAsia="宋体" w:cs="Times New Roman"/>
                      <w:color w:val="auto"/>
                      <w:sz w:val="21"/>
                      <w:szCs w:val="21"/>
                      <w:u w:val="none"/>
                      <w:lang w:val="en-US" w:eastAsia="zh-CN" w:bidi="ar-SA"/>
                    </w:rPr>
                    <w:t>′</w:t>
                  </w:r>
                  <w:r>
                    <w:rPr>
                      <w:rFonts w:hint="eastAsia" w:cs="Times New Roman"/>
                      <w:color w:val="auto"/>
                      <w:sz w:val="21"/>
                      <w:szCs w:val="21"/>
                      <w:u w:val="none"/>
                      <w:lang w:val="en-US" w:eastAsia="zh-CN" w:bidi="ar-SA"/>
                    </w:rPr>
                    <w:t>16.555</w:t>
                  </w:r>
                  <w:r>
                    <w:rPr>
                      <w:rFonts w:hint="default" w:ascii="Times New Roman" w:hAnsi="Times New Roman" w:eastAsia="宋体" w:cs="Times New Roman"/>
                      <w:color w:val="auto"/>
                      <w:sz w:val="21"/>
                      <w:szCs w:val="21"/>
                      <w:u w:val="none"/>
                      <w:lang w:val="en-US" w:eastAsia="zh-CN" w:bidi="ar-SA"/>
                    </w:rPr>
                    <w:t>″</w:t>
                  </w:r>
                </w:p>
              </w:tc>
              <w:tc>
                <w:tcPr>
                  <w:tcW w:w="339" w:type="pct"/>
                  <w:tcBorders>
                    <w:tl2br w:val="nil"/>
                    <w:tr2bl w:val="nil"/>
                  </w:tcBorders>
                  <w:vAlign w:val="center"/>
                </w:tcPr>
                <w:p>
                  <w:pPr>
                    <w:pStyle w:val="15"/>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宋体" w:cs="Times New Roman"/>
                      <w:color w:val="auto"/>
                      <w:sz w:val="21"/>
                      <w:szCs w:val="21"/>
                      <w:u w:val="none"/>
                      <w:lang w:val="en-US" w:eastAsia="zh-CN" w:bidi="ar-SA"/>
                    </w:rPr>
                  </w:pPr>
                  <w:r>
                    <w:rPr>
                      <w:rFonts w:hint="eastAsia" w:cs="Times New Roman"/>
                      <w:color w:val="auto"/>
                      <w:sz w:val="21"/>
                      <w:szCs w:val="21"/>
                      <w:u w:val="none"/>
                      <w:lang w:val="en-US" w:eastAsia="zh-CN" w:bidi="ar-SA"/>
                    </w:rPr>
                    <w:t>上</w:t>
                  </w:r>
                  <w:r>
                    <w:rPr>
                      <w:rFonts w:hint="default" w:ascii="Times New Roman" w:hAnsi="Times New Roman" w:cs="Times New Roman"/>
                      <w:color w:val="auto"/>
                      <w:sz w:val="21"/>
                      <w:szCs w:val="21"/>
                      <w:u w:val="none"/>
                      <w:lang w:val="en-US" w:eastAsia="zh-CN" w:bidi="ar-SA"/>
                    </w:rPr>
                    <w:t>游</w:t>
                  </w:r>
                </w:p>
              </w:tc>
              <w:tc>
                <w:tcPr>
                  <w:tcW w:w="464" w:type="pct"/>
                  <w:tcBorders>
                    <w:tl2br w:val="nil"/>
                    <w:tr2bl w:val="nil"/>
                  </w:tcBorders>
                  <w:vAlign w:val="center"/>
                </w:tcPr>
                <w:p>
                  <w:pPr>
                    <w:pStyle w:val="15"/>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宋体" w:cs="Times New Roman"/>
                      <w:b w:val="0"/>
                      <w:bCs w:val="0"/>
                      <w:color w:val="auto"/>
                      <w:sz w:val="21"/>
                      <w:szCs w:val="21"/>
                      <w:u w:val="none"/>
                      <w:lang w:val="en-US" w:eastAsia="zh-CN" w:bidi="ar-SA"/>
                    </w:rPr>
                  </w:pPr>
                  <w:r>
                    <w:rPr>
                      <w:rFonts w:hint="eastAsia" w:cs="Times New Roman"/>
                      <w:b w:val="0"/>
                      <w:bCs w:val="0"/>
                      <w:color w:val="auto"/>
                      <w:sz w:val="21"/>
                      <w:szCs w:val="21"/>
                      <w:u w:val="none"/>
                      <w:lang w:val="en-US" w:eastAsia="zh-CN" w:bidi="ar-SA"/>
                    </w:rPr>
                    <w:t>5.3</w:t>
                  </w:r>
                  <w:r>
                    <w:rPr>
                      <w:rFonts w:hint="default" w:ascii="Times New Roman" w:hAnsi="Times New Roman" w:eastAsia="宋体" w:cs="Times New Roman"/>
                      <w:b w:val="0"/>
                      <w:bCs w:val="0"/>
                      <w:color w:val="auto"/>
                      <w:sz w:val="21"/>
                      <w:szCs w:val="21"/>
                      <w:u w:val="none"/>
                      <w:lang w:val="en-US" w:eastAsia="zh-CN" w:bidi="ar-SA"/>
                    </w:rPr>
                    <w:t>km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81" w:type="pct"/>
                  <w:tcBorders>
                    <w:tl2br w:val="nil"/>
                    <w:tr2bl w:val="nil"/>
                  </w:tcBorders>
                  <w:vAlign w:val="center"/>
                </w:tcPr>
                <w:p>
                  <w:pPr>
                    <w:pStyle w:val="15"/>
                    <w:keepNext w:val="0"/>
                    <w:keepLines w:val="0"/>
                    <w:widowControl/>
                    <w:suppressLineNumbers w:val="0"/>
                    <w:spacing w:before="0" w:beforeLines="0" w:beforeAutospacing="0" w:after="0" w:afterLines="0" w:afterAutospacing="0"/>
                    <w:ind w:left="0" w:right="0"/>
                    <w:jc w:val="center"/>
                    <w:rPr>
                      <w:rFonts w:hint="eastAsia" w:cs="Times New Roman"/>
                      <w:color w:val="auto"/>
                      <w:lang w:val="en-US" w:eastAsia="zh-CN"/>
                    </w:rPr>
                  </w:pPr>
                  <w:r>
                    <w:rPr>
                      <w:rFonts w:hint="eastAsia" w:cs="Times New Roman"/>
                      <w:color w:val="auto"/>
                      <w:lang w:val="en-US" w:eastAsia="zh-CN"/>
                    </w:rPr>
                    <w:t>宣汉县胡家镇李寺沟水库（村级）</w:t>
                  </w:r>
                  <w:r>
                    <w:rPr>
                      <w:rFonts w:hint="default" w:ascii="Times New Roman" w:hAnsi="Times New Roman" w:cs="Times New Roman"/>
                      <w:color w:val="auto"/>
                      <w:lang w:val="en-US" w:eastAsia="zh-CN"/>
                    </w:rPr>
                    <w:t>集中式饮用水水源地</w:t>
                  </w:r>
                </w:p>
              </w:tc>
              <w:tc>
                <w:tcPr>
                  <w:tcW w:w="285" w:type="pct"/>
                  <w:tcBorders>
                    <w:tl2br w:val="nil"/>
                    <w:tr2bl w:val="nil"/>
                  </w:tcBorders>
                  <w:vAlign w:val="center"/>
                </w:tcPr>
                <w:p>
                  <w:pPr>
                    <w:pStyle w:val="15"/>
                    <w:keepNext w:val="0"/>
                    <w:keepLines w:val="0"/>
                    <w:widowControl/>
                    <w:suppressLineNumbers w:val="0"/>
                    <w:spacing w:before="0" w:beforeLines="0" w:beforeAutospacing="0" w:after="0" w:afterLines="0" w:afterAutospacing="0"/>
                    <w:ind w:left="0" w:right="0"/>
                    <w:jc w:val="center"/>
                    <w:rPr>
                      <w:rFonts w:hint="eastAsia" w:cs="Times New Roman"/>
                      <w:color w:val="auto"/>
                      <w:lang w:val="en-US" w:eastAsia="zh-CN"/>
                    </w:rPr>
                  </w:pPr>
                  <w:r>
                    <w:rPr>
                      <w:rFonts w:hint="eastAsia" w:cs="Times New Roman"/>
                      <w:color w:val="auto"/>
                      <w:lang w:val="en-US" w:eastAsia="zh-CN"/>
                    </w:rPr>
                    <w:t>湖库型</w:t>
                  </w:r>
                </w:p>
              </w:tc>
              <w:tc>
                <w:tcPr>
                  <w:tcW w:w="772" w:type="pct"/>
                  <w:tcBorders>
                    <w:tl2br w:val="nil"/>
                    <w:tr2bl w:val="nil"/>
                  </w:tcBorders>
                  <w:vAlign w:val="center"/>
                </w:tcPr>
                <w:p>
                  <w:pPr>
                    <w:pStyle w:val="15"/>
                    <w:keepNext w:val="0"/>
                    <w:keepLines w:val="0"/>
                    <w:widowControl/>
                    <w:suppressLineNumbers w:val="0"/>
                    <w:spacing w:before="0" w:beforeLines="0" w:beforeAutospacing="0" w:after="0" w:afterLines="0" w:afterAutospacing="0"/>
                    <w:ind w:left="0" w:right="0"/>
                    <w:jc w:val="center"/>
                    <w:rPr>
                      <w:rFonts w:hint="default" w:eastAsia="宋体" w:cs="Times New Roman"/>
                      <w:color w:val="auto"/>
                      <w:sz w:val="21"/>
                      <w:szCs w:val="21"/>
                      <w:u w:val="none"/>
                      <w:lang w:val="en-US" w:eastAsia="zh-CN" w:bidi="ar-SA"/>
                    </w:rPr>
                  </w:pPr>
                  <w:r>
                    <w:rPr>
                      <w:rFonts w:hint="eastAsia" w:cs="Times New Roman"/>
                      <w:color w:val="auto"/>
                      <w:sz w:val="21"/>
                      <w:szCs w:val="21"/>
                      <w:u w:val="none"/>
                      <w:lang w:val="en-US" w:eastAsia="zh-CN" w:bidi="ar-SA"/>
                    </w:rPr>
                    <w:t>胡家镇鸭池村、滑山村等2个村何胡家镇云寨社区部分辖区</w:t>
                  </w:r>
                </w:p>
              </w:tc>
              <w:tc>
                <w:tcPr>
                  <w:tcW w:w="508" w:type="pct"/>
                  <w:tcBorders>
                    <w:tl2br w:val="nil"/>
                    <w:tr2bl w:val="nil"/>
                  </w:tcBorders>
                  <w:vAlign w:val="center"/>
                </w:tcPr>
                <w:p>
                  <w:pPr>
                    <w:pStyle w:val="15"/>
                    <w:keepNext w:val="0"/>
                    <w:keepLines w:val="0"/>
                    <w:widowControl/>
                    <w:suppressLineNumbers w:val="0"/>
                    <w:spacing w:before="0" w:beforeLines="0" w:beforeAutospacing="0" w:after="0" w:afterLines="0" w:afterAutospacing="0"/>
                    <w:ind w:left="0" w:right="0"/>
                    <w:jc w:val="center"/>
                    <w:rPr>
                      <w:rFonts w:hint="eastAsia" w:eastAsia="宋体" w:cs="Times New Roman"/>
                      <w:color w:val="auto"/>
                      <w:sz w:val="21"/>
                      <w:szCs w:val="21"/>
                      <w:u w:val="none"/>
                      <w:lang w:val="en-US" w:eastAsia="zh-CN" w:bidi="ar-SA"/>
                    </w:rPr>
                  </w:pPr>
                  <w:r>
                    <w:rPr>
                      <w:rFonts w:hint="eastAsia" w:cs="Times New Roman"/>
                      <w:color w:val="auto"/>
                      <w:sz w:val="21"/>
                      <w:szCs w:val="21"/>
                      <w:u w:val="none"/>
                      <w:lang w:val="en-US" w:eastAsia="zh-CN" w:bidi="ar-SA"/>
                    </w:rPr>
                    <w:t>胡家镇鸭池村3组</w:t>
                  </w:r>
                </w:p>
              </w:tc>
              <w:tc>
                <w:tcPr>
                  <w:tcW w:w="946" w:type="pct"/>
                  <w:tcBorders>
                    <w:tl2br w:val="nil"/>
                    <w:tr2bl w:val="nil"/>
                  </w:tcBorders>
                  <w:vAlign w:val="center"/>
                </w:tcPr>
                <w:p>
                  <w:pPr>
                    <w:pStyle w:val="15"/>
                    <w:keepNext w:val="0"/>
                    <w:keepLines w:val="0"/>
                    <w:widowControl/>
                    <w:suppressLineNumbers w:val="0"/>
                    <w:spacing w:before="0" w:beforeLines="0" w:beforeAutospacing="0" w:after="0" w:afterLines="0" w:afterAutospacing="0"/>
                    <w:ind w:left="0" w:leftChars="0" w:right="0" w:rightChars="0"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eastAsia="宋体" w:cs="Times New Roman"/>
                      <w:color w:val="auto"/>
                      <w:sz w:val="21"/>
                      <w:szCs w:val="21"/>
                      <w:u w:val="none"/>
                      <w:lang w:val="en-US" w:eastAsia="zh-CN" w:bidi="ar-SA"/>
                    </w:rPr>
                    <w:t>10</w:t>
                  </w:r>
                  <w:r>
                    <w:rPr>
                      <w:rFonts w:hint="eastAsia" w:eastAsia="宋体" w:cs="Times New Roman"/>
                      <w:color w:val="auto"/>
                      <w:sz w:val="21"/>
                      <w:szCs w:val="21"/>
                      <w:u w:val="none"/>
                      <w:lang w:val="en-US" w:eastAsia="zh-CN" w:bidi="ar-SA"/>
                    </w:rPr>
                    <w:t>7</w:t>
                  </w:r>
                  <w:r>
                    <w:rPr>
                      <w:rFonts w:hint="default" w:ascii="Times New Roman" w:hAnsi="Times New Roman" w:eastAsia="宋体" w:cs="Times New Roman"/>
                      <w:color w:val="auto"/>
                      <w:sz w:val="21"/>
                      <w:szCs w:val="21"/>
                      <w:u w:val="none"/>
                      <w:lang w:val="en-US" w:eastAsia="zh-CN" w:bidi="ar-SA"/>
                    </w:rPr>
                    <w:t>°</w:t>
                  </w:r>
                  <w:r>
                    <w:rPr>
                      <w:rFonts w:hint="eastAsia" w:ascii="Times New Roman" w:hAnsi="Times New Roman" w:cs="Times New Roman"/>
                      <w:color w:val="auto"/>
                      <w:sz w:val="21"/>
                      <w:szCs w:val="21"/>
                      <w:u w:val="none"/>
                      <w:lang w:val="en-US" w:eastAsia="zh-CN" w:bidi="ar-SA"/>
                    </w:rPr>
                    <w:t>37</w:t>
                  </w:r>
                  <w:r>
                    <w:rPr>
                      <w:rFonts w:hint="default" w:ascii="Times New Roman" w:hAnsi="Times New Roman" w:eastAsia="宋体" w:cs="Times New Roman"/>
                      <w:color w:val="auto"/>
                      <w:sz w:val="21"/>
                      <w:szCs w:val="21"/>
                      <w:u w:val="none"/>
                      <w:lang w:val="en-US" w:eastAsia="zh-CN" w:bidi="ar-SA"/>
                    </w:rPr>
                    <w:t>′</w:t>
                  </w:r>
                  <w:r>
                    <w:rPr>
                      <w:rFonts w:hint="eastAsia" w:cs="Times New Roman"/>
                      <w:color w:val="auto"/>
                      <w:sz w:val="21"/>
                      <w:szCs w:val="21"/>
                      <w:u w:val="none"/>
                      <w:lang w:val="en-US" w:eastAsia="zh-CN" w:bidi="ar-SA"/>
                    </w:rPr>
                    <w:t>14.519</w:t>
                  </w:r>
                  <w:r>
                    <w:rPr>
                      <w:rFonts w:hint="default" w:ascii="Times New Roman" w:hAnsi="Times New Roman" w:eastAsia="宋体" w:cs="Times New Roman"/>
                      <w:color w:val="auto"/>
                      <w:sz w:val="21"/>
                      <w:szCs w:val="21"/>
                      <w:u w:val="none"/>
                      <w:lang w:val="en-US" w:eastAsia="zh-CN" w:bidi="ar-SA"/>
                    </w:rPr>
                    <w:t>″</w:t>
                  </w:r>
                </w:p>
              </w:tc>
              <w:tc>
                <w:tcPr>
                  <w:tcW w:w="901" w:type="pct"/>
                  <w:tcBorders>
                    <w:tl2br w:val="nil"/>
                    <w:tr2bl w:val="nil"/>
                  </w:tcBorders>
                  <w:vAlign w:val="center"/>
                </w:tcPr>
                <w:p>
                  <w:pPr>
                    <w:pStyle w:val="15"/>
                    <w:keepNext w:val="0"/>
                    <w:keepLines w:val="0"/>
                    <w:widowControl/>
                    <w:suppressLineNumbers w:val="0"/>
                    <w:spacing w:before="0" w:beforeLines="0" w:beforeAutospacing="0" w:after="0" w:afterLines="0" w:afterAutospacing="0"/>
                    <w:ind w:left="0" w:leftChars="0" w:right="0" w:rightChars="0"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eastAsia="宋体" w:cs="Times New Roman"/>
                      <w:color w:val="auto"/>
                      <w:sz w:val="21"/>
                      <w:szCs w:val="21"/>
                      <w:u w:val="none"/>
                      <w:lang w:val="en-US" w:eastAsia="zh-CN" w:bidi="ar-SA"/>
                    </w:rPr>
                    <w:t>31°3</w:t>
                  </w:r>
                  <w:r>
                    <w:rPr>
                      <w:rFonts w:hint="eastAsia" w:ascii="Times New Roman" w:hAnsi="Times New Roman" w:cs="Times New Roman"/>
                      <w:color w:val="auto"/>
                      <w:sz w:val="21"/>
                      <w:szCs w:val="21"/>
                      <w:u w:val="none"/>
                      <w:lang w:val="en-US" w:eastAsia="zh-CN" w:bidi="ar-SA"/>
                    </w:rPr>
                    <w:t>3</w:t>
                  </w:r>
                  <w:r>
                    <w:rPr>
                      <w:rFonts w:hint="default" w:ascii="Times New Roman" w:hAnsi="Times New Roman" w:eastAsia="宋体" w:cs="Times New Roman"/>
                      <w:color w:val="auto"/>
                      <w:sz w:val="21"/>
                      <w:szCs w:val="21"/>
                      <w:u w:val="none"/>
                      <w:lang w:val="en-US" w:eastAsia="zh-CN" w:bidi="ar-SA"/>
                    </w:rPr>
                    <w:t>′</w:t>
                  </w:r>
                  <w:r>
                    <w:rPr>
                      <w:rFonts w:hint="eastAsia" w:ascii="Times New Roman" w:hAnsi="Times New Roman" w:cs="Times New Roman"/>
                      <w:color w:val="auto"/>
                      <w:sz w:val="21"/>
                      <w:szCs w:val="21"/>
                      <w:u w:val="none"/>
                      <w:lang w:val="en-US" w:eastAsia="zh-CN" w:bidi="ar-SA"/>
                    </w:rPr>
                    <w:t>42.548</w:t>
                  </w:r>
                  <w:r>
                    <w:rPr>
                      <w:rFonts w:hint="default" w:ascii="Times New Roman" w:hAnsi="Times New Roman" w:eastAsia="宋体" w:cs="Times New Roman"/>
                      <w:color w:val="auto"/>
                      <w:sz w:val="21"/>
                      <w:szCs w:val="21"/>
                      <w:u w:val="none"/>
                      <w:lang w:val="en-US" w:eastAsia="zh-CN" w:bidi="ar-SA"/>
                    </w:rPr>
                    <w:t>″</w:t>
                  </w:r>
                </w:p>
              </w:tc>
              <w:tc>
                <w:tcPr>
                  <w:tcW w:w="339" w:type="pct"/>
                  <w:tcBorders>
                    <w:tl2br w:val="nil"/>
                    <w:tr2bl w:val="nil"/>
                  </w:tcBorders>
                  <w:vAlign w:val="center"/>
                </w:tcPr>
                <w:p>
                  <w:pPr>
                    <w:pStyle w:val="15"/>
                    <w:keepNext w:val="0"/>
                    <w:keepLines w:val="0"/>
                    <w:widowControl/>
                    <w:suppressLineNumbers w:val="0"/>
                    <w:spacing w:before="0" w:beforeLines="0" w:beforeAutospacing="0" w:after="0" w:afterLines="0" w:afterAutospacing="0"/>
                    <w:ind w:left="0" w:right="0"/>
                    <w:jc w:val="center"/>
                    <w:rPr>
                      <w:rFonts w:hint="default" w:cs="Times New Roman"/>
                      <w:color w:val="auto"/>
                      <w:sz w:val="21"/>
                      <w:szCs w:val="21"/>
                      <w:u w:val="none"/>
                      <w:lang w:val="en-US" w:eastAsia="zh-CN" w:bidi="ar-SA"/>
                    </w:rPr>
                  </w:pPr>
                  <w:r>
                    <w:rPr>
                      <w:rFonts w:hint="eastAsia" w:cs="Times New Roman"/>
                      <w:color w:val="auto"/>
                      <w:sz w:val="21"/>
                      <w:szCs w:val="21"/>
                      <w:u w:val="none"/>
                      <w:lang w:val="en-US" w:eastAsia="zh-CN" w:bidi="ar-SA"/>
                    </w:rPr>
                    <w:t>下游</w:t>
                  </w:r>
                </w:p>
              </w:tc>
              <w:tc>
                <w:tcPr>
                  <w:tcW w:w="464" w:type="pct"/>
                  <w:tcBorders>
                    <w:tl2br w:val="nil"/>
                    <w:tr2bl w:val="nil"/>
                  </w:tcBorders>
                  <w:vAlign w:val="center"/>
                </w:tcPr>
                <w:p>
                  <w:pPr>
                    <w:pStyle w:val="15"/>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b w:val="0"/>
                      <w:bCs w:val="0"/>
                      <w:color w:val="auto"/>
                      <w:sz w:val="21"/>
                      <w:szCs w:val="21"/>
                      <w:u w:val="none"/>
                      <w:lang w:val="en-US" w:eastAsia="zh-CN" w:bidi="ar-SA"/>
                    </w:rPr>
                  </w:pPr>
                  <w:r>
                    <w:rPr>
                      <w:rFonts w:hint="eastAsia" w:cs="Times New Roman"/>
                      <w:b w:val="0"/>
                      <w:bCs w:val="0"/>
                      <w:color w:val="auto"/>
                      <w:sz w:val="21"/>
                      <w:szCs w:val="21"/>
                      <w:u w:val="none"/>
                      <w:lang w:val="en-US" w:eastAsia="zh-CN" w:bidi="ar-SA"/>
                    </w:rPr>
                    <w:t>3.1</w:t>
                  </w:r>
                  <w:r>
                    <w:rPr>
                      <w:rFonts w:hint="default" w:ascii="Times New Roman" w:hAnsi="Times New Roman" w:eastAsia="宋体" w:cs="Times New Roman"/>
                      <w:b w:val="0"/>
                      <w:bCs w:val="0"/>
                      <w:color w:val="auto"/>
                      <w:sz w:val="21"/>
                      <w:szCs w:val="21"/>
                      <w:u w:val="none"/>
                      <w:lang w:val="en-US" w:eastAsia="zh-CN" w:bidi="ar-SA"/>
                    </w:rPr>
                    <w:t>km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81" w:type="pct"/>
                  <w:tcBorders>
                    <w:tl2br w:val="nil"/>
                    <w:tr2bl w:val="nil"/>
                  </w:tcBorders>
                  <w:vAlign w:val="center"/>
                </w:tcPr>
                <w:p>
                  <w:pPr>
                    <w:pStyle w:val="15"/>
                    <w:keepNext w:val="0"/>
                    <w:keepLines w:val="0"/>
                    <w:widowControl/>
                    <w:suppressLineNumbers w:val="0"/>
                    <w:spacing w:before="0" w:beforeLines="0" w:beforeAutospacing="0" w:after="0" w:afterLines="0" w:afterAutospacing="0"/>
                    <w:ind w:left="0" w:right="0"/>
                    <w:jc w:val="center"/>
                    <w:rPr>
                      <w:rFonts w:hint="default" w:cs="Times New Roman"/>
                      <w:color w:val="auto"/>
                      <w:lang w:val="en-US" w:eastAsia="zh-CN"/>
                    </w:rPr>
                  </w:pPr>
                  <w:r>
                    <w:rPr>
                      <w:rFonts w:hint="eastAsia" w:cs="Times New Roman"/>
                      <w:color w:val="auto"/>
                      <w:lang w:val="en-US" w:eastAsia="zh-CN"/>
                    </w:rPr>
                    <w:t>宣汉县胡家镇新桥河黑滩</w:t>
                  </w:r>
                  <w:r>
                    <w:rPr>
                      <w:rFonts w:hint="default" w:ascii="Times New Roman" w:hAnsi="Times New Roman" w:cs="Times New Roman"/>
                      <w:color w:val="auto"/>
                      <w:lang w:val="en-US" w:eastAsia="zh-CN"/>
                    </w:rPr>
                    <w:t>集中式饮用水水源地</w:t>
                  </w:r>
                </w:p>
              </w:tc>
              <w:tc>
                <w:tcPr>
                  <w:tcW w:w="285" w:type="pct"/>
                  <w:tcBorders>
                    <w:tl2br w:val="nil"/>
                    <w:tr2bl w:val="nil"/>
                  </w:tcBorders>
                  <w:vAlign w:val="center"/>
                </w:tcPr>
                <w:p>
                  <w:pPr>
                    <w:pStyle w:val="15"/>
                    <w:keepNext w:val="0"/>
                    <w:keepLines w:val="0"/>
                    <w:widowControl/>
                    <w:suppressLineNumbers w:val="0"/>
                    <w:spacing w:before="0" w:beforeLines="0" w:beforeAutospacing="0" w:after="0" w:afterLines="0" w:afterAutospacing="0"/>
                    <w:ind w:left="0" w:right="0"/>
                    <w:jc w:val="both"/>
                    <w:rPr>
                      <w:rFonts w:hint="default" w:cs="Times New Roman"/>
                      <w:color w:val="auto"/>
                      <w:lang w:val="en-US" w:eastAsia="zh-CN"/>
                    </w:rPr>
                  </w:pPr>
                  <w:r>
                    <w:rPr>
                      <w:rFonts w:hint="eastAsia" w:cs="Times New Roman"/>
                      <w:color w:val="auto"/>
                      <w:lang w:val="en-US" w:eastAsia="zh-CN"/>
                    </w:rPr>
                    <w:t>河流型</w:t>
                  </w:r>
                </w:p>
              </w:tc>
              <w:tc>
                <w:tcPr>
                  <w:tcW w:w="772" w:type="pct"/>
                  <w:tcBorders>
                    <w:tl2br w:val="nil"/>
                    <w:tr2bl w:val="nil"/>
                  </w:tcBorders>
                  <w:vAlign w:val="center"/>
                </w:tcPr>
                <w:p>
                  <w:pPr>
                    <w:pStyle w:val="15"/>
                    <w:keepNext w:val="0"/>
                    <w:keepLines w:val="0"/>
                    <w:widowControl/>
                    <w:suppressLineNumbers w:val="0"/>
                    <w:spacing w:before="0" w:beforeLines="0" w:beforeAutospacing="0" w:after="0" w:afterLines="0" w:afterAutospacing="0"/>
                    <w:ind w:left="0" w:right="0"/>
                    <w:jc w:val="center"/>
                    <w:rPr>
                      <w:rFonts w:hint="default" w:cs="Times New Roman"/>
                      <w:color w:val="auto"/>
                      <w:sz w:val="21"/>
                      <w:szCs w:val="21"/>
                      <w:u w:val="none"/>
                      <w:lang w:val="en-US" w:eastAsia="zh-CN" w:bidi="ar-SA"/>
                    </w:rPr>
                  </w:pPr>
                  <w:r>
                    <w:rPr>
                      <w:rFonts w:hint="eastAsia" w:cs="Times New Roman"/>
                      <w:color w:val="auto"/>
                      <w:sz w:val="21"/>
                      <w:szCs w:val="21"/>
                      <w:u w:val="none"/>
                      <w:lang w:val="en-US" w:eastAsia="zh-CN" w:bidi="ar-SA"/>
                    </w:rPr>
                    <w:t>胡家镇场镇</w:t>
                  </w:r>
                </w:p>
              </w:tc>
              <w:tc>
                <w:tcPr>
                  <w:tcW w:w="508" w:type="pct"/>
                  <w:tcBorders>
                    <w:tl2br w:val="nil"/>
                    <w:tr2bl w:val="nil"/>
                  </w:tcBorders>
                  <w:vAlign w:val="center"/>
                </w:tcPr>
                <w:p>
                  <w:pPr>
                    <w:pStyle w:val="15"/>
                    <w:keepNext w:val="0"/>
                    <w:keepLines w:val="0"/>
                    <w:widowControl/>
                    <w:suppressLineNumbers w:val="0"/>
                    <w:spacing w:before="0" w:beforeLines="0" w:beforeAutospacing="0" w:after="0" w:afterLines="0" w:afterAutospacing="0"/>
                    <w:ind w:left="0" w:right="0"/>
                    <w:jc w:val="center"/>
                    <w:rPr>
                      <w:rFonts w:hint="default" w:cs="Times New Roman"/>
                      <w:color w:val="auto"/>
                      <w:sz w:val="21"/>
                      <w:szCs w:val="21"/>
                      <w:u w:val="none"/>
                      <w:lang w:val="en-US" w:eastAsia="zh-CN" w:bidi="ar-SA"/>
                    </w:rPr>
                  </w:pPr>
                  <w:r>
                    <w:rPr>
                      <w:rFonts w:hint="eastAsia" w:cs="Times New Roman"/>
                      <w:color w:val="auto"/>
                      <w:sz w:val="21"/>
                      <w:szCs w:val="21"/>
                      <w:u w:val="none"/>
                      <w:lang w:val="en-US" w:eastAsia="zh-CN" w:bidi="ar-SA"/>
                    </w:rPr>
                    <w:t>胡家镇锣鼓村2组</w:t>
                  </w:r>
                </w:p>
              </w:tc>
              <w:tc>
                <w:tcPr>
                  <w:tcW w:w="946" w:type="pct"/>
                  <w:tcBorders>
                    <w:tl2br w:val="nil"/>
                    <w:tr2bl w:val="nil"/>
                  </w:tcBorders>
                  <w:vAlign w:val="center"/>
                </w:tcPr>
                <w:p>
                  <w:pPr>
                    <w:pStyle w:val="15"/>
                    <w:keepNext w:val="0"/>
                    <w:keepLines w:val="0"/>
                    <w:widowControl/>
                    <w:suppressLineNumbers w:val="0"/>
                    <w:spacing w:before="0" w:beforeLines="0" w:beforeAutospacing="0" w:after="0" w:afterLines="0" w:afterAutospacing="0"/>
                    <w:ind w:left="0" w:leftChars="0" w:right="0" w:rightChars="0"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eastAsia="宋体" w:cs="Times New Roman"/>
                      <w:color w:val="auto"/>
                      <w:sz w:val="21"/>
                      <w:szCs w:val="21"/>
                      <w:u w:val="none"/>
                      <w:lang w:val="en-US" w:eastAsia="zh-CN" w:bidi="ar-SA"/>
                    </w:rPr>
                    <w:t>10</w:t>
                  </w:r>
                  <w:r>
                    <w:rPr>
                      <w:rFonts w:hint="eastAsia" w:eastAsia="宋体" w:cs="Times New Roman"/>
                      <w:color w:val="auto"/>
                      <w:sz w:val="21"/>
                      <w:szCs w:val="21"/>
                      <w:u w:val="none"/>
                      <w:lang w:val="en-US" w:eastAsia="zh-CN" w:bidi="ar-SA"/>
                    </w:rPr>
                    <w:t>7</w:t>
                  </w:r>
                  <w:r>
                    <w:rPr>
                      <w:rFonts w:hint="default" w:ascii="Times New Roman" w:hAnsi="Times New Roman" w:eastAsia="宋体" w:cs="Times New Roman"/>
                      <w:color w:val="auto"/>
                      <w:sz w:val="21"/>
                      <w:szCs w:val="21"/>
                      <w:u w:val="none"/>
                      <w:lang w:val="en-US" w:eastAsia="zh-CN" w:bidi="ar-SA"/>
                    </w:rPr>
                    <w:t>°</w:t>
                  </w:r>
                  <w:r>
                    <w:rPr>
                      <w:rFonts w:hint="eastAsia" w:ascii="Times New Roman" w:hAnsi="Times New Roman" w:cs="Times New Roman"/>
                      <w:color w:val="auto"/>
                      <w:sz w:val="21"/>
                      <w:szCs w:val="21"/>
                      <w:u w:val="none"/>
                      <w:lang w:val="en-US" w:eastAsia="zh-CN" w:bidi="ar-SA"/>
                    </w:rPr>
                    <w:t>3</w:t>
                  </w:r>
                  <w:r>
                    <w:rPr>
                      <w:rFonts w:hint="eastAsia" w:cs="Times New Roman"/>
                      <w:color w:val="auto"/>
                      <w:sz w:val="21"/>
                      <w:szCs w:val="21"/>
                      <w:u w:val="none"/>
                      <w:lang w:val="en-US" w:eastAsia="zh-CN" w:bidi="ar-SA"/>
                    </w:rPr>
                    <w:t>9</w:t>
                  </w:r>
                  <w:r>
                    <w:rPr>
                      <w:rFonts w:hint="default" w:ascii="Times New Roman" w:hAnsi="Times New Roman" w:eastAsia="宋体" w:cs="Times New Roman"/>
                      <w:color w:val="auto"/>
                      <w:sz w:val="21"/>
                      <w:szCs w:val="21"/>
                      <w:u w:val="none"/>
                      <w:lang w:val="en-US" w:eastAsia="zh-CN" w:bidi="ar-SA"/>
                    </w:rPr>
                    <w:t>′</w:t>
                  </w:r>
                  <w:r>
                    <w:rPr>
                      <w:rFonts w:hint="eastAsia" w:cs="Times New Roman"/>
                      <w:color w:val="auto"/>
                      <w:sz w:val="21"/>
                      <w:szCs w:val="21"/>
                      <w:u w:val="none"/>
                      <w:lang w:val="en-US" w:eastAsia="zh-CN" w:bidi="ar-SA"/>
                    </w:rPr>
                    <w:t>57.514</w:t>
                  </w:r>
                  <w:r>
                    <w:rPr>
                      <w:rFonts w:hint="default" w:ascii="Times New Roman" w:hAnsi="Times New Roman" w:eastAsia="宋体" w:cs="Times New Roman"/>
                      <w:color w:val="auto"/>
                      <w:sz w:val="21"/>
                      <w:szCs w:val="21"/>
                      <w:u w:val="none"/>
                      <w:lang w:val="en-US" w:eastAsia="zh-CN" w:bidi="ar-SA"/>
                    </w:rPr>
                    <w:t>″</w:t>
                  </w:r>
                </w:p>
              </w:tc>
              <w:tc>
                <w:tcPr>
                  <w:tcW w:w="901" w:type="pct"/>
                  <w:tcBorders>
                    <w:tl2br w:val="nil"/>
                    <w:tr2bl w:val="nil"/>
                  </w:tcBorders>
                  <w:vAlign w:val="center"/>
                </w:tcPr>
                <w:p>
                  <w:pPr>
                    <w:pStyle w:val="15"/>
                    <w:keepNext w:val="0"/>
                    <w:keepLines w:val="0"/>
                    <w:widowControl/>
                    <w:suppressLineNumbers w:val="0"/>
                    <w:spacing w:before="0" w:beforeLines="0" w:beforeAutospacing="0" w:after="0" w:afterLines="0" w:afterAutospacing="0"/>
                    <w:ind w:left="0" w:leftChars="0" w:right="0" w:rightChars="0"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eastAsia="宋体" w:cs="Times New Roman"/>
                      <w:color w:val="auto"/>
                      <w:sz w:val="21"/>
                      <w:szCs w:val="21"/>
                      <w:u w:val="none"/>
                      <w:lang w:val="en-US" w:eastAsia="zh-CN" w:bidi="ar-SA"/>
                    </w:rPr>
                    <w:t>31°3</w:t>
                  </w:r>
                  <w:r>
                    <w:rPr>
                      <w:rFonts w:hint="eastAsia" w:cs="Times New Roman"/>
                      <w:color w:val="auto"/>
                      <w:sz w:val="21"/>
                      <w:szCs w:val="21"/>
                      <w:u w:val="none"/>
                      <w:lang w:val="en-US" w:eastAsia="zh-CN" w:bidi="ar-SA"/>
                    </w:rPr>
                    <w:t>5</w:t>
                  </w:r>
                  <w:r>
                    <w:rPr>
                      <w:rFonts w:hint="default" w:ascii="Times New Roman" w:hAnsi="Times New Roman" w:eastAsia="宋体" w:cs="Times New Roman"/>
                      <w:color w:val="auto"/>
                      <w:sz w:val="21"/>
                      <w:szCs w:val="21"/>
                      <w:u w:val="none"/>
                      <w:lang w:val="en-US" w:eastAsia="zh-CN" w:bidi="ar-SA"/>
                    </w:rPr>
                    <w:t>′</w:t>
                  </w:r>
                  <w:r>
                    <w:rPr>
                      <w:rFonts w:hint="eastAsia" w:cs="Times New Roman"/>
                      <w:color w:val="auto"/>
                      <w:sz w:val="21"/>
                      <w:szCs w:val="21"/>
                      <w:u w:val="none"/>
                      <w:lang w:val="en-US" w:eastAsia="zh-CN" w:bidi="ar-SA"/>
                    </w:rPr>
                    <w:t>13.917</w:t>
                  </w:r>
                  <w:r>
                    <w:rPr>
                      <w:rFonts w:hint="default" w:ascii="Times New Roman" w:hAnsi="Times New Roman" w:eastAsia="宋体" w:cs="Times New Roman"/>
                      <w:color w:val="auto"/>
                      <w:sz w:val="21"/>
                      <w:szCs w:val="21"/>
                      <w:u w:val="none"/>
                      <w:lang w:val="en-US" w:eastAsia="zh-CN" w:bidi="ar-SA"/>
                    </w:rPr>
                    <w:t>″</w:t>
                  </w:r>
                </w:p>
              </w:tc>
              <w:tc>
                <w:tcPr>
                  <w:tcW w:w="339" w:type="pct"/>
                  <w:tcBorders>
                    <w:tl2br w:val="nil"/>
                    <w:tr2bl w:val="nil"/>
                  </w:tcBorders>
                  <w:vAlign w:val="center"/>
                </w:tcPr>
                <w:p>
                  <w:pPr>
                    <w:pStyle w:val="15"/>
                    <w:keepNext w:val="0"/>
                    <w:keepLines w:val="0"/>
                    <w:widowControl/>
                    <w:suppressLineNumbers w:val="0"/>
                    <w:spacing w:before="0" w:beforeLines="0" w:beforeAutospacing="0" w:after="0" w:afterLines="0" w:afterAutospacing="0"/>
                    <w:ind w:left="0" w:right="0"/>
                    <w:jc w:val="center"/>
                    <w:rPr>
                      <w:rFonts w:hint="default" w:cs="Times New Roman"/>
                      <w:color w:val="auto"/>
                      <w:sz w:val="21"/>
                      <w:szCs w:val="21"/>
                      <w:u w:val="none"/>
                      <w:lang w:val="en-US" w:eastAsia="zh-CN" w:bidi="ar-SA"/>
                    </w:rPr>
                  </w:pPr>
                  <w:r>
                    <w:rPr>
                      <w:rFonts w:hint="eastAsia" w:cs="Times New Roman"/>
                      <w:color w:val="auto"/>
                      <w:sz w:val="21"/>
                      <w:szCs w:val="21"/>
                      <w:u w:val="none"/>
                      <w:lang w:val="en-US" w:eastAsia="zh-CN" w:bidi="ar-SA"/>
                    </w:rPr>
                    <w:t>上游</w:t>
                  </w:r>
                </w:p>
              </w:tc>
              <w:tc>
                <w:tcPr>
                  <w:tcW w:w="464" w:type="pct"/>
                  <w:tcBorders>
                    <w:tl2br w:val="nil"/>
                    <w:tr2bl w:val="nil"/>
                  </w:tcBorders>
                  <w:vAlign w:val="center"/>
                </w:tcPr>
                <w:p>
                  <w:pPr>
                    <w:pStyle w:val="15"/>
                    <w:keepNext w:val="0"/>
                    <w:keepLines w:val="0"/>
                    <w:widowControl/>
                    <w:suppressLineNumbers w:val="0"/>
                    <w:spacing w:before="0" w:beforeLines="0" w:beforeAutospacing="0" w:after="0" w:afterLines="0" w:afterAutospacing="0"/>
                    <w:ind w:left="0" w:right="0"/>
                    <w:jc w:val="center"/>
                    <w:rPr>
                      <w:rFonts w:hint="default" w:cs="Times New Roman"/>
                      <w:b w:val="0"/>
                      <w:bCs w:val="0"/>
                      <w:color w:val="auto"/>
                      <w:sz w:val="21"/>
                      <w:szCs w:val="21"/>
                      <w:u w:val="none"/>
                      <w:lang w:val="en-US" w:eastAsia="zh-CN" w:bidi="ar-SA"/>
                    </w:rPr>
                  </w:pPr>
                  <w:r>
                    <w:rPr>
                      <w:rFonts w:hint="eastAsia" w:cs="Times New Roman"/>
                      <w:b w:val="0"/>
                      <w:bCs w:val="0"/>
                      <w:color w:val="auto"/>
                      <w:sz w:val="21"/>
                      <w:szCs w:val="21"/>
                      <w:u w:val="none"/>
                      <w:lang w:val="en-US" w:eastAsia="zh-CN" w:bidi="ar-SA"/>
                    </w:rPr>
                    <w:t>1.5</w:t>
                  </w:r>
                  <w:r>
                    <w:rPr>
                      <w:rFonts w:hint="default" w:ascii="Times New Roman" w:hAnsi="Times New Roman" w:eastAsia="宋体" w:cs="Times New Roman"/>
                      <w:b w:val="0"/>
                      <w:bCs w:val="0"/>
                      <w:color w:val="auto"/>
                      <w:sz w:val="21"/>
                      <w:szCs w:val="21"/>
                      <w:u w:val="none"/>
                      <w:lang w:val="en-US" w:eastAsia="zh-CN" w:bidi="ar-SA"/>
                    </w:rPr>
                    <w:t>km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81" w:type="pct"/>
                  <w:tcBorders>
                    <w:tl2br w:val="nil"/>
                    <w:tr2bl w:val="nil"/>
                  </w:tcBorders>
                  <w:vAlign w:val="center"/>
                </w:tcPr>
                <w:p>
                  <w:pPr>
                    <w:pStyle w:val="15"/>
                    <w:keepNext w:val="0"/>
                    <w:keepLines w:val="0"/>
                    <w:widowControl/>
                    <w:suppressLineNumbers w:val="0"/>
                    <w:spacing w:before="0" w:beforeLines="0" w:beforeAutospacing="0" w:after="0" w:afterLines="0" w:afterAutospacing="0"/>
                    <w:ind w:left="0" w:right="0"/>
                    <w:jc w:val="center"/>
                    <w:rPr>
                      <w:rFonts w:hint="default" w:cs="Times New Roman"/>
                      <w:color w:val="auto"/>
                      <w:lang w:val="en-US" w:eastAsia="zh-CN"/>
                    </w:rPr>
                  </w:pPr>
                  <w:r>
                    <w:rPr>
                      <w:rFonts w:hint="eastAsia" w:cs="Times New Roman"/>
                      <w:color w:val="auto"/>
                      <w:lang w:val="en-US" w:eastAsia="zh-CN"/>
                    </w:rPr>
                    <w:t>宣汉县胡家镇花池河河塘沟（村级）</w:t>
                  </w:r>
                  <w:r>
                    <w:rPr>
                      <w:rFonts w:hint="default" w:ascii="Times New Roman" w:hAnsi="Times New Roman" w:cs="Times New Roman"/>
                      <w:color w:val="auto"/>
                      <w:lang w:val="en-US" w:eastAsia="zh-CN"/>
                    </w:rPr>
                    <w:t>中式饮用水水源地</w:t>
                  </w:r>
                </w:p>
              </w:tc>
              <w:tc>
                <w:tcPr>
                  <w:tcW w:w="285" w:type="pct"/>
                  <w:tcBorders>
                    <w:tl2br w:val="nil"/>
                    <w:tr2bl w:val="nil"/>
                  </w:tcBorders>
                  <w:vAlign w:val="center"/>
                </w:tcPr>
                <w:p>
                  <w:pPr>
                    <w:pStyle w:val="15"/>
                    <w:keepNext w:val="0"/>
                    <w:keepLines w:val="0"/>
                    <w:widowControl/>
                    <w:suppressLineNumbers w:val="0"/>
                    <w:spacing w:before="0" w:beforeLines="0" w:beforeAutospacing="0" w:after="0" w:afterLines="0" w:afterAutospacing="0"/>
                    <w:ind w:left="0" w:right="0"/>
                    <w:jc w:val="center"/>
                    <w:rPr>
                      <w:rFonts w:hint="eastAsia" w:cs="Times New Roman"/>
                      <w:color w:val="auto"/>
                      <w:lang w:val="en-US" w:eastAsia="zh-CN"/>
                    </w:rPr>
                  </w:pPr>
                  <w:r>
                    <w:rPr>
                      <w:rFonts w:hint="eastAsia" w:cs="Times New Roman"/>
                      <w:color w:val="auto"/>
                      <w:lang w:val="en-US" w:eastAsia="zh-CN"/>
                    </w:rPr>
                    <w:t>河流型</w:t>
                  </w:r>
                </w:p>
              </w:tc>
              <w:tc>
                <w:tcPr>
                  <w:tcW w:w="772" w:type="pct"/>
                  <w:tcBorders>
                    <w:tl2br w:val="nil"/>
                    <w:tr2bl w:val="nil"/>
                  </w:tcBorders>
                  <w:vAlign w:val="center"/>
                </w:tcPr>
                <w:p>
                  <w:pPr>
                    <w:pStyle w:val="15"/>
                    <w:keepNext w:val="0"/>
                    <w:keepLines w:val="0"/>
                    <w:widowControl/>
                    <w:suppressLineNumbers w:val="0"/>
                    <w:spacing w:before="0" w:beforeLines="0" w:beforeAutospacing="0" w:after="0" w:afterLines="0" w:afterAutospacing="0"/>
                    <w:ind w:left="0" w:right="0"/>
                    <w:jc w:val="center"/>
                    <w:rPr>
                      <w:rFonts w:hint="default" w:cs="Times New Roman"/>
                      <w:color w:val="auto"/>
                      <w:sz w:val="21"/>
                      <w:szCs w:val="21"/>
                      <w:u w:val="none"/>
                      <w:lang w:val="en-US" w:eastAsia="zh-CN" w:bidi="ar-SA"/>
                    </w:rPr>
                  </w:pPr>
                  <w:r>
                    <w:rPr>
                      <w:rFonts w:hint="eastAsia" w:cs="Times New Roman"/>
                      <w:color w:val="auto"/>
                      <w:sz w:val="21"/>
                      <w:szCs w:val="21"/>
                      <w:u w:val="none"/>
                      <w:lang w:val="en-US" w:eastAsia="zh-CN" w:bidi="ar-SA"/>
                    </w:rPr>
                    <w:t>胡家镇花池社区</w:t>
                  </w:r>
                </w:p>
              </w:tc>
              <w:tc>
                <w:tcPr>
                  <w:tcW w:w="508" w:type="pct"/>
                  <w:tcBorders>
                    <w:tl2br w:val="nil"/>
                    <w:tr2bl w:val="nil"/>
                  </w:tcBorders>
                  <w:vAlign w:val="center"/>
                </w:tcPr>
                <w:p>
                  <w:pPr>
                    <w:pStyle w:val="15"/>
                    <w:keepNext w:val="0"/>
                    <w:keepLines w:val="0"/>
                    <w:widowControl/>
                    <w:suppressLineNumbers w:val="0"/>
                    <w:spacing w:before="0" w:beforeLines="0" w:beforeAutospacing="0" w:after="0" w:afterLines="0" w:afterAutospacing="0"/>
                    <w:ind w:left="0" w:right="0"/>
                    <w:jc w:val="center"/>
                    <w:rPr>
                      <w:rFonts w:hint="default" w:cs="Times New Roman"/>
                      <w:color w:val="auto"/>
                      <w:sz w:val="21"/>
                      <w:szCs w:val="21"/>
                      <w:u w:val="none"/>
                      <w:lang w:val="en-US" w:eastAsia="zh-CN" w:bidi="ar-SA"/>
                    </w:rPr>
                  </w:pPr>
                  <w:r>
                    <w:rPr>
                      <w:rFonts w:hint="eastAsia" w:cs="Times New Roman"/>
                      <w:color w:val="auto"/>
                      <w:sz w:val="21"/>
                      <w:szCs w:val="21"/>
                      <w:u w:val="none"/>
                      <w:lang w:val="en-US" w:eastAsia="zh-CN" w:bidi="ar-SA"/>
                    </w:rPr>
                    <w:t>胡家镇花池社区6组</w:t>
                  </w:r>
                </w:p>
              </w:tc>
              <w:tc>
                <w:tcPr>
                  <w:tcW w:w="1579" w:type="dxa"/>
                  <w:tcBorders>
                    <w:tl2br w:val="nil"/>
                    <w:tr2bl w:val="nil"/>
                  </w:tcBorders>
                  <w:vAlign w:val="center"/>
                </w:tcPr>
                <w:p>
                  <w:pPr>
                    <w:pStyle w:val="15"/>
                    <w:keepNext w:val="0"/>
                    <w:keepLines w:val="0"/>
                    <w:widowControl/>
                    <w:suppressLineNumbers w:val="0"/>
                    <w:spacing w:before="0" w:beforeLines="0" w:beforeAutospacing="0" w:after="0" w:afterLines="0" w:afterAutospacing="0"/>
                    <w:ind w:left="0" w:leftChars="0" w:right="0" w:rightChars="0" w:firstLine="0" w:firstLineChars="0"/>
                    <w:jc w:val="center"/>
                    <w:rPr>
                      <w:rFonts w:hint="default" w:ascii="Times New Roman" w:hAnsi="Times New Roman" w:eastAsia="宋体" w:cs="Times New Roman"/>
                      <w:color w:val="auto"/>
                      <w:sz w:val="21"/>
                      <w:szCs w:val="21"/>
                      <w:u w:val="none"/>
                      <w:lang w:val="en-US" w:eastAsia="zh-CN" w:bidi="ar-SA"/>
                    </w:rPr>
                  </w:pPr>
                  <w:r>
                    <w:rPr>
                      <w:rFonts w:hint="default" w:ascii="Times New Roman" w:hAnsi="Times New Roman" w:eastAsia="宋体" w:cs="Times New Roman"/>
                      <w:color w:val="auto"/>
                      <w:sz w:val="21"/>
                      <w:szCs w:val="21"/>
                      <w:u w:val="none"/>
                      <w:lang w:val="en-US" w:eastAsia="zh-CN" w:bidi="ar-SA"/>
                    </w:rPr>
                    <w:t>10</w:t>
                  </w:r>
                  <w:r>
                    <w:rPr>
                      <w:rFonts w:hint="eastAsia" w:eastAsia="宋体" w:cs="Times New Roman"/>
                      <w:color w:val="auto"/>
                      <w:sz w:val="21"/>
                      <w:szCs w:val="21"/>
                      <w:u w:val="none"/>
                      <w:lang w:val="en-US" w:eastAsia="zh-CN" w:bidi="ar-SA"/>
                    </w:rPr>
                    <w:t>7</w:t>
                  </w:r>
                  <w:r>
                    <w:rPr>
                      <w:rFonts w:hint="default" w:ascii="Times New Roman" w:hAnsi="Times New Roman" w:eastAsia="宋体" w:cs="Times New Roman"/>
                      <w:color w:val="auto"/>
                      <w:sz w:val="21"/>
                      <w:szCs w:val="21"/>
                      <w:u w:val="none"/>
                      <w:lang w:val="en-US" w:eastAsia="zh-CN" w:bidi="ar-SA"/>
                    </w:rPr>
                    <w:t>°</w:t>
                  </w:r>
                  <w:r>
                    <w:rPr>
                      <w:rFonts w:hint="eastAsia" w:ascii="Times New Roman" w:hAnsi="Times New Roman" w:cs="Times New Roman"/>
                      <w:color w:val="auto"/>
                      <w:sz w:val="21"/>
                      <w:szCs w:val="21"/>
                      <w:u w:val="none"/>
                      <w:lang w:val="en-US" w:eastAsia="zh-CN" w:bidi="ar-SA"/>
                    </w:rPr>
                    <w:t>3</w:t>
                  </w:r>
                  <w:r>
                    <w:rPr>
                      <w:rFonts w:hint="eastAsia" w:cs="Times New Roman"/>
                      <w:color w:val="auto"/>
                      <w:sz w:val="21"/>
                      <w:szCs w:val="21"/>
                      <w:u w:val="none"/>
                      <w:lang w:val="en-US" w:eastAsia="zh-CN" w:bidi="ar-SA"/>
                    </w:rPr>
                    <w:t>6</w:t>
                  </w:r>
                  <w:r>
                    <w:rPr>
                      <w:rFonts w:hint="default" w:ascii="Times New Roman" w:hAnsi="Times New Roman" w:eastAsia="宋体" w:cs="Times New Roman"/>
                      <w:color w:val="auto"/>
                      <w:sz w:val="21"/>
                      <w:szCs w:val="21"/>
                      <w:u w:val="none"/>
                      <w:lang w:val="en-US" w:eastAsia="zh-CN" w:bidi="ar-SA"/>
                    </w:rPr>
                    <w:t>′</w:t>
                  </w:r>
                  <w:r>
                    <w:rPr>
                      <w:rFonts w:hint="eastAsia" w:cs="Times New Roman"/>
                      <w:color w:val="auto"/>
                      <w:sz w:val="21"/>
                      <w:szCs w:val="21"/>
                      <w:u w:val="none"/>
                      <w:lang w:val="en-US" w:eastAsia="zh-CN" w:bidi="ar-SA"/>
                    </w:rPr>
                    <w:t>45.841</w:t>
                  </w:r>
                  <w:r>
                    <w:rPr>
                      <w:rFonts w:hint="default" w:ascii="Times New Roman" w:hAnsi="Times New Roman" w:eastAsia="宋体" w:cs="Times New Roman"/>
                      <w:color w:val="auto"/>
                      <w:sz w:val="21"/>
                      <w:szCs w:val="21"/>
                      <w:u w:val="none"/>
                      <w:lang w:val="en-US" w:eastAsia="zh-CN" w:bidi="ar-SA"/>
                    </w:rPr>
                    <w:t>″</w:t>
                  </w:r>
                </w:p>
              </w:tc>
              <w:tc>
                <w:tcPr>
                  <w:tcW w:w="1504" w:type="dxa"/>
                  <w:tcBorders>
                    <w:tl2br w:val="nil"/>
                    <w:tr2bl w:val="nil"/>
                  </w:tcBorders>
                  <w:vAlign w:val="center"/>
                </w:tcPr>
                <w:p>
                  <w:pPr>
                    <w:pStyle w:val="15"/>
                    <w:bidi w:val="0"/>
                    <w:rPr>
                      <w:rFonts w:hint="default" w:ascii="Times New Roman" w:hAnsi="Times New Roman" w:eastAsia="宋体" w:cs="Times New Roman"/>
                      <w:color w:val="auto"/>
                      <w:szCs w:val="21"/>
                      <w:u w:val="none"/>
                      <w:lang w:val="en-US" w:eastAsia="zh-CN" w:bidi="ar-SA"/>
                    </w:rPr>
                  </w:pPr>
                  <w:r>
                    <w:rPr>
                      <w:rFonts w:hint="default" w:ascii="Times New Roman" w:hAnsi="Times New Roman" w:cs="Times New Roman"/>
                      <w:lang w:val="en-US" w:eastAsia="zh-CN"/>
                    </w:rPr>
                    <w:t>31°36′19.847″</w:t>
                  </w:r>
                </w:p>
              </w:tc>
              <w:tc>
                <w:tcPr>
                  <w:tcW w:w="339" w:type="pct"/>
                  <w:tcBorders>
                    <w:tl2br w:val="nil"/>
                    <w:tr2bl w:val="nil"/>
                  </w:tcBorders>
                  <w:vAlign w:val="center"/>
                </w:tcPr>
                <w:p>
                  <w:pPr>
                    <w:pStyle w:val="15"/>
                    <w:keepNext w:val="0"/>
                    <w:keepLines w:val="0"/>
                    <w:widowControl/>
                    <w:suppressLineNumbers w:val="0"/>
                    <w:spacing w:before="0" w:beforeLines="0" w:beforeAutospacing="0" w:after="0" w:afterLines="0" w:afterAutospacing="0"/>
                    <w:ind w:left="0" w:right="0"/>
                    <w:jc w:val="center"/>
                    <w:rPr>
                      <w:rFonts w:hint="default" w:cs="Times New Roman"/>
                      <w:color w:val="auto"/>
                      <w:sz w:val="21"/>
                      <w:szCs w:val="21"/>
                      <w:u w:val="none"/>
                      <w:lang w:val="en-US" w:eastAsia="zh-CN" w:bidi="ar-SA"/>
                    </w:rPr>
                  </w:pPr>
                  <w:r>
                    <w:rPr>
                      <w:rFonts w:hint="eastAsia" w:cs="Times New Roman"/>
                      <w:color w:val="auto"/>
                      <w:sz w:val="21"/>
                      <w:szCs w:val="21"/>
                      <w:u w:val="none"/>
                      <w:lang w:val="en-US" w:eastAsia="zh-CN" w:bidi="ar-SA"/>
                    </w:rPr>
                    <w:t>下游</w:t>
                  </w:r>
                </w:p>
              </w:tc>
              <w:tc>
                <w:tcPr>
                  <w:tcW w:w="464" w:type="pct"/>
                  <w:tcBorders>
                    <w:tl2br w:val="nil"/>
                    <w:tr2bl w:val="nil"/>
                  </w:tcBorders>
                  <w:vAlign w:val="center"/>
                </w:tcPr>
                <w:p>
                  <w:pPr>
                    <w:pStyle w:val="15"/>
                    <w:keepNext w:val="0"/>
                    <w:keepLines w:val="0"/>
                    <w:widowControl/>
                    <w:suppressLineNumbers w:val="0"/>
                    <w:spacing w:before="0" w:beforeLines="0" w:beforeAutospacing="0" w:after="0" w:afterLines="0" w:afterAutospacing="0"/>
                    <w:ind w:left="0" w:right="0"/>
                    <w:jc w:val="center"/>
                    <w:rPr>
                      <w:rFonts w:hint="default" w:cs="Times New Roman"/>
                      <w:b w:val="0"/>
                      <w:bCs w:val="0"/>
                      <w:color w:val="auto"/>
                      <w:sz w:val="21"/>
                      <w:szCs w:val="21"/>
                      <w:u w:val="none"/>
                      <w:lang w:val="en-US" w:eastAsia="zh-CN" w:bidi="ar-SA"/>
                    </w:rPr>
                  </w:pPr>
                  <w:r>
                    <w:rPr>
                      <w:rFonts w:hint="eastAsia" w:cs="Times New Roman"/>
                      <w:b w:val="0"/>
                      <w:bCs w:val="0"/>
                      <w:color w:val="auto"/>
                      <w:sz w:val="21"/>
                      <w:szCs w:val="21"/>
                      <w:u w:val="none"/>
                      <w:lang w:val="en-US" w:eastAsia="zh-CN" w:bidi="ar-SA"/>
                    </w:rPr>
                    <w:t>4.4</w:t>
                  </w:r>
                  <w:r>
                    <w:rPr>
                      <w:rFonts w:hint="default" w:ascii="Times New Roman" w:hAnsi="Times New Roman" w:eastAsia="宋体" w:cs="Times New Roman"/>
                      <w:b w:val="0"/>
                      <w:bCs w:val="0"/>
                      <w:color w:val="auto"/>
                      <w:sz w:val="21"/>
                      <w:szCs w:val="21"/>
                      <w:u w:val="none"/>
                      <w:lang w:val="en-US" w:eastAsia="zh-CN" w:bidi="ar-SA"/>
                    </w:rPr>
                    <w:t>km</w:t>
                  </w:r>
                </w:p>
              </w:tc>
            </w:tr>
          </w:tbl>
          <w:p>
            <w:pPr>
              <w:rPr>
                <w:rFonts w:hint="eastAsia"/>
                <w:lang w:val="en-US" w:eastAsia="zh-CN"/>
              </w:rPr>
            </w:pPr>
            <w:r>
              <w:rPr>
                <w:rFonts w:hint="eastAsia"/>
                <w:highlight w:val="none"/>
                <w:lang w:val="en-US" w:eastAsia="zh-CN"/>
              </w:rPr>
              <w:t>根据附图7所示，</w:t>
            </w:r>
            <w:r>
              <w:rPr>
                <w:rFonts w:hint="eastAsia" w:cs="Times New Roman"/>
                <w:color w:val="auto"/>
                <w:lang w:val="en-US" w:eastAsia="zh-CN"/>
              </w:rPr>
              <w:t>宣汉县胡家镇河塘水库（村级）</w:t>
            </w:r>
            <w:r>
              <w:rPr>
                <w:rFonts w:hint="default" w:ascii="Times New Roman" w:hAnsi="Times New Roman" w:cs="Times New Roman"/>
                <w:color w:val="auto"/>
                <w:lang w:val="en-US" w:eastAsia="zh-CN"/>
              </w:rPr>
              <w:t>集中式饮用水水源地</w:t>
            </w:r>
            <w:r>
              <w:rPr>
                <w:rFonts w:hint="eastAsia" w:ascii="Times New Roman" w:hAnsi="Times New Roman" w:cs="Times New Roman"/>
                <w:color w:val="auto"/>
                <w:lang w:val="en-US" w:eastAsia="zh-CN"/>
              </w:rPr>
              <w:t>位于</w:t>
            </w:r>
            <w:r>
              <w:rPr>
                <w:rFonts w:hint="eastAsia" w:cs="Times New Roman"/>
                <w:color w:val="auto"/>
                <w:lang w:val="en-US" w:eastAsia="zh-CN"/>
              </w:rPr>
              <w:t>油坊沟</w:t>
            </w:r>
            <w:r>
              <w:rPr>
                <w:rFonts w:hint="eastAsia" w:ascii="Times New Roman" w:hAnsi="Times New Roman" w:cs="Times New Roman"/>
                <w:color w:val="auto"/>
                <w:lang w:val="en-US" w:eastAsia="zh-CN"/>
              </w:rPr>
              <w:t>河段上游，</w:t>
            </w:r>
            <w:r>
              <w:rPr>
                <w:rFonts w:hint="eastAsia" w:cs="Times New Roman"/>
                <w:color w:val="auto"/>
                <w:lang w:val="en-US" w:eastAsia="zh-CN"/>
              </w:rPr>
              <w:t>与油坊沟</w:t>
            </w:r>
            <w:r>
              <w:rPr>
                <w:rFonts w:hint="eastAsia" w:ascii="Times New Roman" w:hAnsi="Times New Roman" w:cs="Times New Roman"/>
                <w:color w:val="auto"/>
                <w:lang w:val="en-US" w:eastAsia="zh-CN"/>
              </w:rPr>
              <w:t>河道治理起点最近直线距离约为5.</w:t>
            </w:r>
            <w:r>
              <w:rPr>
                <w:rFonts w:hint="eastAsia" w:cs="Times New Roman"/>
                <w:color w:val="auto"/>
                <w:lang w:val="en-US" w:eastAsia="zh-CN"/>
              </w:rPr>
              <w:t>2</w:t>
            </w:r>
            <w:r>
              <w:rPr>
                <w:rFonts w:hint="eastAsia" w:ascii="Times New Roman" w:hAnsi="Times New Roman" w:cs="Times New Roman"/>
                <w:color w:val="auto"/>
                <w:lang w:val="en-US" w:eastAsia="zh-CN"/>
              </w:rPr>
              <w:t>km，距离较远</w:t>
            </w:r>
            <w:r>
              <w:rPr>
                <w:rFonts w:hint="eastAsia" w:cs="Times New Roman"/>
                <w:color w:val="auto"/>
                <w:lang w:val="en-US" w:eastAsia="zh-CN"/>
              </w:rPr>
              <w:t>；宣汉县胡家镇李寺沟水库（村级）</w:t>
            </w:r>
            <w:r>
              <w:rPr>
                <w:rFonts w:hint="default" w:ascii="Times New Roman" w:hAnsi="Times New Roman" w:cs="Times New Roman"/>
                <w:color w:val="auto"/>
                <w:lang w:val="en-US" w:eastAsia="zh-CN"/>
              </w:rPr>
              <w:t>集中式饮用水水源地</w:t>
            </w:r>
            <w:r>
              <w:rPr>
                <w:rFonts w:hint="eastAsia" w:ascii="Times New Roman" w:hAnsi="Times New Roman" w:cs="Times New Roman"/>
                <w:color w:val="auto"/>
                <w:lang w:val="en-US" w:eastAsia="zh-CN"/>
              </w:rPr>
              <w:t>位于胡家河西南侧靠下游处，与胡家河河道治理起点最近直线距离约为3.1km，距离较远</w:t>
            </w:r>
            <w:r>
              <w:rPr>
                <w:rFonts w:hint="eastAsia" w:cs="Times New Roman"/>
                <w:color w:val="auto"/>
                <w:lang w:val="en-US" w:eastAsia="zh-CN"/>
              </w:rPr>
              <w:t>；宣汉县胡家镇新桥河黑滩</w:t>
            </w:r>
            <w:r>
              <w:rPr>
                <w:rFonts w:hint="default" w:ascii="Times New Roman" w:hAnsi="Times New Roman" w:cs="Times New Roman"/>
                <w:color w:val="auto"/>
                <w:lang w:val="en-US" w:eastAsia="zh-CN"/>
              </w:rPr>
              <w:t>集中式饮用水水源地</w:t>
            </w:r>
            <w:r>
              <w:rPr>
                <w:rFonts w:hint="eastAsia" w:ascii="Times New Roman" w:hAnsi="Times New Roman" w:cs="Times New Roman"/>
                <w:color w:val="auto"/>
                <w:lang w:val="en-US" w:eastAsia="zh-CN"/>
              </w:rPr>
              <w:t>位于</w:t>
            </w:r>
            <w:r>
              <w:rPr>
                <w:rFonts w:hint="eastAsia" w:cs="Times New Roman"/>
                <w:color w:val="auto"/>
                <w:lang w:val="en-US" w:eastAsia="zh-CN"/>
              </w:rPr>
              <w:t>油坊沟</w:t>
            </w:r>
            <w:r>
              <w:rPr>
                <w:rFonts w:hint="eastAsia" w:ascii="Times New Roman" w:hAnsi="Times New Roman" w:cs="Times New Roman"/>
                <w:color w:val="auto"/>
                <w:lang w:val="en-US" w:eastAsia="zh-CN"/>
              </w:rPr>
              <w:t>河段上游，</w:t>
            </w:r>
            <w:r>
              <w:rPr>
                <w:rFonts w:hint="eastAsia" w:cs="Times New Roman"/>
                <w:color w:val="auto"/>
                <w:lang w:val="en-US" w:eastAsia="zh-CN"/>
              </w:rPr>
              <w:t>与油坊沟</w:t>
            </w:r>
            <w:r>
              <w:rPr>
                <w:rFonts w:hint="eastAsia" w:ascii="Times New Roman" w:hAnsi="Times New Roman" w:cs="Times New Roman"/>
                <w:color w:val="auto"/>
                <w:lang w:val="en-US" w:eastAsia="zh-CN"/>
              </w:rPr>
              <w:t>河道治理起点最近直线距离约为</w:t>
            </w:r>
            <w:r>
              <w:rPr>
                <w:rFonts w:hint="eastAsia" w:cs="Times New Roman"/>
                <w:color w:val="auto"/>
                <w:lang w:val="en-US" w:eastAsia="zh-CN"/>
              </w:rPr>
              <w:t>1.5</w:t>
            </w:r>
            <w:r>
              <w:rPr>
                <w:rFonts w:hint="eastAsia" w:ascii="Times New Roman" w:hAnsi="Times New Roman" w:cs="Times New Roman"/>
                <w:color w:val="auto"/>
                <w:lang w:val="en-US" w:eastAsia="zh-CN"/>
              </w:rPr>
              <w:t>km，距离较远</w:t>
            </w:r>
            <w:r>
              <w:rPr>
                <w:rFonts w:hint="eastAsia" w:cs="Times New Roman"/>
                <w:color w:val="auto"/>
                <w:lang w:val="en-US" w:eastAsia="zh-CN"/>
              </w:rPr>
              <w:t>；宣汉县胡家镇花池河河塘沟（村级）</w:t>
            </w:r>
            <w:r>
              <w:rPr>
                <w:rFonts w:hint="default" w:ascii="Times New Roman" w:hAnsi="Times New Roman" w:cs="Times New Roman"/>
                <w:color w:val="auto"/>
                <w:lang w:val="en-US" w:eastAsia="zh-CN"/>
              </w:rPr>
              <w:t>中式饮用水水源地</w:t>
            </w:r>
            <w:r>
              <w:rPr>
                <w:rFonts w:hint="eastAsia" w:ascii="Times New Roman" w:hAnsi="Times New Roman" w:cs="Times New Roman"/>
                <w:color w:val="auto"/>
                <w:lang w:val="en-US" w:eastAsia="zh-CN"/>
              </w:rPr>
              <w:t>位于胡家河</w:t>
            </w:r>
            <w:r>
              <w:rPr>
                <w:rFonts w:hint="eastAsia" w:cs="Times New Roman"/>
                <w:color w:val="auto"/>
                <w:lang w:val="en-US" w:eastAsia="zh-CN"/>
              </w:rPr>
              <w:t>上</w:t>
            </w:r>
            <w:r>
              <w:rPr>
                <w:rFonts w:hint="eastAsia" w:ascii="Times New Roman" w:hAnsi="Times New Roman" w:cs="Times New Roman"/>
                <w:color w:val="auto"/>
                <w:lang w:val="en-US" w:eastAsia="zh-CN"/>
              </w:rPr>
              <w:t>游处，与胡家河河道治理起点最近直线距离约为</w:t>
            </w:r>
            <w:r>
              <w:rPr>
                <w:rFonts w:hint="eastAsia" w:cs="Times New Roman"/>
                <w:color w:val="auto"/>
                <w:lang w:val="en-US" w:eastAsia="zh-CN"/>
              </w:rPr>
              <w:t>4.4</w:t>
            </w:r>
            <w:r>
              <w:rPr>
                <w:rFonts w:hint="eastAsia" w:ascii="Times New Roman" w:hAnsi="Times New Roman" w:cs="Times New Roman"/>
                <w:color w:val="auto"/>
                <w:lang w:val="en-US" w:eastAsia="zh-CN"/>
              </w:rPr>
              <w:t>km，距离较远</w:t>
            </w:r>
            <w:r>
              <w:rPr>
                <w:rFonts w:hint="eastAsia" w:cs="Times New Roman"/>
                <w:color w:val="auto"/>
                <w:lang w:val="en-US" w:eastAsia="zh-CN"/>
              </w:rPr>
              <w:t>。且</w:t>
            </w:r>
            <w:r>
              <w:rPr>
                <w:rFonts w:hint="eastAsia" w:ascii="Times New Roman" w:hAnsi="Times New Roman" w:cs="Times New Roman"/>
                <w:color w:val="auto"/>
                <w:lang w:val="en-US" w:eastAsia="zh-CN"/>
              </w:rPr>
              <w:t>相对于</w:t>
            </w:r>
            <w:r>
              <w:rPr>
                <w:rFonts w:hint="eastAsia" w:cs="Times New Roman"/>
                <w:color w:val="auto"/>
                <w:lang w:val="en-US" w:eastAsia="zh-CN"/>
              </w:rPr>
              <w:t>项目河道</w:t>
            </w:r>
            <w:r>
              <w:rPr>
                <w:rFonts w:hint="eastAsia" w:ascii="Times New Roman" w:hAnsi="Times New Roman" w:cs="Times New Roman"/>
                <w:color w:val="auto"/>
                <w:lang w:val="en-US" w:eastAsia="zh-CN"/>
              </w:rPr>
              <w:t>，</w:t>
            </w:r>
            <w:r>
              <w:rPr>
                <w:rFonts w:hint="eastAsia" w:cs="Times New Roman"/>
                <w:color w:val="auto"/>
                <w:lang w:val="en-US" w:eastAsia="zh-CN"/>
              </w:rPr>
              <w:t>4处</w:t>
            </w:r>
            <w:r>
              <w:rPr>
                <w:rFonts w:hint="default" w:ascii="Times New Roman" w:hAnsi="Times New Roman" w:cs="Times New Roman"/>
                <w:color w:val="auto"/>
                <w:lang w:val="en-US" w:eastAsia="zh-CN"/>
              </w:rPr>
              <w:t>集中式饮用水水源地</w:t>
            </w:r>
            <w:r>
              <w:rPr>
                <w:rFonts w:hint="eastAsia" w:ascii="Times New Roman" w:hAnsi="Times New Roman" w:cs="Times New Roman"/>
                <w:color w:val="auto"/>
                <w:lang w:val="en-US" w:eastAsia="zh-CN"/>
              </w:rPr>
              <w:t>均位于地势较高处，</w:t>
            </w:r>
            <w:r>
              <w:rPr>
                <w:rFonts w:hint="default"/>
                <w:color w:val="auto"/>
                <w:lang w:val="en-US" w:eastAsia="zh-CN"/>
              </w:rPr>
              <w:t>因此，</w:t>
            </w:r>
            <w:r>
              <w:rPr>
                <w:rFonts w:hint="default" w:ascii="Times New Roman" w:hAnsi="Times New Roman" w:cs="Times New Roman"/>
                <w:color w:val="auto"/>
                <w:u w:val="none"/>
                <w:lang w:val="en-US" w:eastAsia="zh-CN"/>
              </w:rPr>
              <w:t>本项目建设不会对当地饮用水水源地造成不利影响</w:t>
            </w:r>
            <w:r>
              <w:rPr>
                <w:rFonts w:hint="default"/>
                <w:color w:val="auto"/>
                <w:lang w:val="en-US" w:eastAsia="zh-CN"/>
              </w:rPr>
              <w:t>。</w:t>
            </w:r>
          </w:p>
          <w:p>
            <w:pPr>
              <w:keepNext w:val="0"/>
              <w:keepLines w:val="0"/>
              <w:suppressLineNumbers w:val="0"/>
              <w:bidi w:val="0"/>
              <w:spacing w:before="0" w:beforeAutospacing="0" w:after="0" w:afterAutospacing="0"/>
              <w:ind w:left="0" w:right="0"/>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10、行洪论证与河势稳定评价</w:t>
            </w:r>
          </w:p>
          <w:p>
            <w:pPr>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（1）行洪论证</w:t>
            </w:r>
          </w:p>
          <w:p>
            <w:pPr>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根据工程初步设计报告</w:t>
            </w:r>
            <w:r>
              <w:rPr>
                <w:rFonts w:hint="eastAsia" w:cs="Times New Roman"/>
                <w:color w:val="auto"/>
                <w:lang w:val="en-US" w:eastAsia="zh-CN"/>
              </w:rPr>
              <w:t>资料</w:t>
            </w:r>
            <w:r>
              <w:rPr>
                <w:rFonts w:hint="default" w:ascii="Times New Roman" w:hAnsi="Times New Roman" w:cs="Times New Roman"/>
                <w:color w:val="auto"/>
                <w:lang w:val="en-US" w:eastAsia="zh-CN"/>
              </w:rPr>
              <w:t>，本次工程建设项目中，新建防洪治理工程不影响河道泄洪，满足10年一遇洪水过流要求。根据水面线计算分析可知，工程修建后河道过流断面相对变大，流速有所减小，上游水位相对减少，比原河道排洪效果更好。本工程施工期间确保河道正常泄流和行洪，开挖产生的</w:t>
            </w:r>
            <w:r>
              <w:rPr>
                <w:rFonts w:hint="default" w:ascii="Times New Roman" w:hAnsi="Times New Roman" w:cs="Times New Roman"/>
                <w:color w:val="auto"/>
                <w:highlight w:val="none"/>
                <w:lang w:val="en-US" w:eastAsia="zh-CN"/>
              </w:rPr>
              <w:t>弃土弃渣定点堆放</w:t>
            </w:r>
            <w:r>
              <w:rPr>
                <w:rFonts w:hint="default" w:ascii="Times New Roman" w:hAnsi="Times New Roman" w:cs="Times New Roman"/>
                <w:color w:val="auto"/>
                <w:lang w:val="en-US" w:eastAsia="zh-CN"/>
              </w:rPr>
              <w:t>，严禁弃置在河道中，以达到施工期本工程对河道泄洪无明显影响。因此，本建设项目对河道行洪无不利影响。</w:t>
            </w:r>
          </w:p>
          <w:p>
            <w:pPr>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（2）河势稳定评价</w:t>
            </w:r>
          </w:p>
          <w:p>
            <w:pPr>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新建防洪治理工程后，河势将产生一定有利影响。新建堤防后降低了河道洪水水面线，保护周边建筑物，对河道岸坡及河床的稳定是有利的。因此，本工程实施后对河道的河势稳定不利影响较小。</w:t>
            </w:r>
          </w:p>
          <w:p>
            <w:pPr>
              <w:keepNext w:val="0"/>
              <w:keepLines w:val="0"/>
              <w:suppressLineNumbers w:val="0"/>
              <w:bidi w:val="0"/>
              <w:spacing w:before="0" w:beforeAutospacing="0" w:after="0" w:afterAutospacing="0"/>
              <w:ind w:left="0" w:right="0"/>
              <w:rPr>
                <w:rFonts w:hint="default" w:ascii="Times New Roman" w:hAnsi="Times New Roman" w:cs="Times New Roman"/>
                <w:b/>
                <w:bCs/>
                <w:color w:val="auto"/>
                <w:u w:val="none"/>
                <w:lang w:val="en-US" w:eastAsia="zh-CN"/>
              </w:rPr>
            </w:pPr>
            <w:r>
              <w:rPr>
                <w:rFonts w:hint="eastAsia" w:cs="Times New Roman"/>
                <w:b/>
                <w:bCs/>
                <w:color w:val="auto"/>
                <w:u w:val="none"/>
                <w:lang w:val="en-US" w:eastAsia="zh-CN"/>
              </w:rPr>
              <w:t>11、用地符合性分析</w:t>
            </w:r>
          </w:p>
          <w:p>
            <w:pPr>
              <w:bidi w:val="0"/>
              <w:rPr>
                <w:rFonts w:hint="default"/>
                <w:color w:val="auto"/>
                <w:u w:val="none"/>
                <w:lang w:val="en-US" w:eastAsia="zh-CN"/>
              </w:rPr>
            </w:pPr>
            <w:r>
              <w:rPr>
                <w:rFonts w:hint="default" w:ascii="Times New Roman" w:hAnsi="Times New Roman" w:cs="Times New Roman"/>
                <w:color w:val="auto"/>
                <w:u w:val="none"/>
                <w:lang w:val="en-US" w:eastAsia="zh-CN"/>
              </w:rPr>
              <w:t>本项目</w:t>
            </w:r>
            <w:r>
              <w:rPr>
                <w:rFonts w:hint="eastAsia" w:cs="Times New Roman"/>
                <w:color w:val="auto"/>
                <w:u w:val="none"/>
                <w:lang w:val="en-US" w:eastAsia="zh-CN"/>
              </w:rPr>
              <w:t>占地分为永久占地和临时占地，</w:t>
            </w:r>
            <w:r>
              <w:rPr>
                <w:rFonts w:hint="default" w:ascii="Times New Roman" w:hAnsi="Times New Roman" w:cs="Times New Roman"/>
                <w:color w:val="auto"/>
                <w:u w:val="none"/>
                <w:lang w:val="en-US" w:eastAsia="zh-CN"/>
              </w:rPr>
              <w:t>永久占用土地主要为</w:t>
            </w:r>
            <w:r>
              <w:rPr>
                <w:rFonts w:hint="eastAsia" w:cs="Times New Roman"/>
                <w:color w:val="auto"/>
                <w:u w:val="none"/>
                <w:lang w:val="en-US" w:eastAsia="zh-CN"/>
              </w:rPr>
              <w:t>防洪堤占地</w:t>
            </w:r>
            <w:r>
              <w:rPr>
                <w:rFonts w:hint="default" w:ascii="Times New Roman" w:hAnsi="Times New Roman" w:cs="Times New Roman"/>
                <w:color w:val="auto"/>
                <w:u w:val="none"/>
                <w:lang w:val="en-US" w:eastAsia="zh-CN"/>
              </w:rPr>
              <w:t>，临时施工占地主要为临时堆渣场、施工</w:t>
            </w:r>
            <w:r>
              <w:rPr>
                <w:rFonts w:hint="eastAsia" w:cs="Times New Roman"/>
                <w:color w:val="auto"/>
                <w:u w:val="none"/>
                <w:lang w:val="en-US" w:eastAsia="zh-CN"/>
              </w:rPr>
              <w:t>工区</w:t>
            </w:r>
            <w:r>
              <w:rPr>
                <w:rFonts w:hint="default" w:ascii="Times New Roman" w:hAnsi="Times New Roman" w:cs="Times New Roman"/>
                <w:color w:val="auto"/>
                <w:u w:val="none"/>
                <w:lang w:val="en-US" w:eastAsia="zh-CN"/>
              </w:rPr>
              <w:t>所占用的土地</w:t>
            </w:r>
            <w:r>
              <w:rPr>
                <w:rFonts w:hint="eastAsia" w:cs="Times New Roman"/>
                <w:color w:val="auto"/>
                <w:u w:val="none"/>
                <w:lang w:val="en-US" w:eastAsia="zh-CN"/>
              </w:rPr>
              <w:t>，</w:t>
            </w:r>
            <w:r>
              <w:rPr>
                <w:rFonts w:hint="default" w:ascii="Times New Roman" w:hAnsi="Times New Roman" w:cs="Times New Roman"/>
                <w:color w:val="auto"/>
                <w:u w:val="none"/>
                <w:lang w:val="en-US" w:eastAsia="zh-CN"/>
              </w:rPr>
              <w:t>土地类型</w:t>
            </w:r>
            <w:r>
              <w:rPr>
                <w:rFonts w:hint="eastAsia" w:cs="Times New Roman"/>
                <w:color w:val="auto"/>
                <w:u w:val="none"/>
                <w:lang w:val="en-US" w:eastAsia="zh-CN"/>
              </w:rPr>
              <w:t>主要为内陆滩涂。根据宣汉县“三区三线”划定成果，工程段不占用基本农田、生态保护红线、城镇开发边界，因此，本项目土地利用类型符合土地利用规划。</w:t>
            </w: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ind w:left="0" w:leftChars="0" w:firstLine="0" w:firstLineChars="0"/>
              <w:rPr>
                <w:rFonts w:hint="default"/>
                <w:lang w:val="en-US" w:eastAsia="zh-CN"/>
              </w:rPr>
            </w:pPr>
          </w:p>
        </w:tc>
      </w:tr>
    </w:tbl>
    <w:p>
      <w:pPr>
        <w:ind w:left="0" w:leftChars="0" w:firstLine="0" w:firstLineChars="0"/>
        <w:rPr>
          <w:rFonts w:hint="default" w:ascii="宋体" w:hAnsi="宋体" w:eastAsia="宋体"/>
          <w:b/>
          <w:bCs/>
          <w:sz w:val="28"/>
          <w:szCs w:val="28"/>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2"/>
        <w:tabs>
          <w:tab w:val="left" w:pos="2819"/>
          <w:tab w:val="center" w:pos="4212"/>
        </w:tabs>
        <w:bidi w:val="0"/>
        <w:jc w:val="center"/>
        <w:rPr>
          <w:color w:val="auto"/>
        </w:rPr>
      </w:pPr>
      <w:bookmarkStart w:id="27" w:name="_Toc27390"/>
      <w:bookmarkStart w:id="28" w:name="_Toc32606"/>
      <w:bookmarkStart w:id="29" w:name="_Toc26121"/>
      <w:bookmarkStart w:id="30" w:name="_Toc13857"/>
      <w:bookmarkStart w:id="31" w:name="_Toc30699"/>
      <w:bookmarkStart w:id="32" w:name="_Toc11388"/>
      <w:bookmarkStart w:id="33" w:name="_Toc27383"/>
      <w:bookmarkStart w:id="34" w:name="_Toc17911"/>
      <w:bookmarkStart w:id="35" w:name="_Toc12670"/>
      <w:bookmarkStart w:id="36" w:name="_Toc31539"/>
      <w:bookmarkStart w:id="37" w:name="_Toc12314"/>
      <w:bookmarkStart w:id="38" w:name="_Toc21310"/>
      <w:bookmarkStart w:id="39" w:name="_Toc5683"/>
      <w:bookmarkStart w:id="40" w:name="_Toc11589"/>
      <w:bookmarkStart w:id="41" w:name="_Toc26309"/>
      <w:bookmarkStart w:id="42" w:name="_Toc13959"/>
      <w:r>
        <w:rPr>
          <w:rFonts w:hint="eastAsia"/>
          <w:color w:val="auto"/>
          <w:lang w:val="en-US" w:eastAsia="zh-CN"/>
        </w:rPr>
        <w:t>二、</w:t>
      </w:r>
      <w:r>
        <w:rPr>
          <w:color w:val="auto"/>
        </w:rPr>
        <w:t>建设内容</w:t>
      </w:r>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p>
    <w:tbl>
      <w:tblPr>
        <w:tblStyle w:val="12"/>
        <w:tblW w:w="9233" w:type="dxa"/>
        <w:tblInd w:w="-262"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57"/>
        <w:gridCol w:w="877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57" w:type="dxa"/>
            <w:tcBorders>
              <w:tl2br w:val="nil"/>
              <w:tr2bl w:val="nil"/>
            </w:tcBorders>
            <w:vAlign w:val="center"/>
          </w:tcPr>
          <w:p>
            <w:pPr>
              <w:ind w:left="0" w:leftChars="0" w:firstLine="0" w:firstLineChars="0"/>
              <w:jc w:val="center"/>
              <w:rPr>
                <w:rFonts w:hint="default" w:ascii="Times New Roman" w:hAnsi="Times New Roman" w:eastAsia="宋体" w:cstheme="minorBidi"/>
                <w:color w:val="auto"/>
                <w:kern w:val="2"/>
                <w:sz w:val="24"/>
                <w:szCs w:val="24"/>
                <w:highlight w:val="none"/>
                <w:vertAlign w:val="baseline"/>
                <w:lang w:val="en-US" w:eastAsia="zh-CN" w:bidi="ar-SA"/>
              </w:rPr>
            </w:pPr>
            <w:r>
              <w:rPr>
                <w:rFonts w:hint="eastAsia"/>
                <w:b/>
                <w:bCs/>
                <w:color w:val="auto"/>
                <w:highlight w:val="none"/>
                <w:vertAlign w:val="baseline"/>
                <w:lang w:val="en-US" w:eastAsia="zh-CN"/>
              </w:rPr>
              <w:t>地理位置</w:t>
            </w:r>
          </w:p>
        </w:tc>
        <w:tc>
          <w:tcPr>
            <w:tcW w:w="8776" w:type="dxa"/>
            <w:tcBorders>
              <w:tl2br w:val="nil"/>
              <w:tr2bl w:val="nil"/>
            </w:tcBorders>
          </w:tcPr>
          <w:p>
            <w:pPr>
              <w:numPr>
                <w:ilvl w:val="0"/>
                <w:numId w:val="3"/>
              </w:numPr>
              <w:bidi w:val="0"/>
              <w:rPr>
                <w:rFonts w:hint="eastAsia" w:ascii="Times New Roman" w:hAnsi="Times New Roman" w:cs="Times New Roman"/>
                <w:b/>
                <w:bCs/>
                <w:highlight w:val="none"/>
                <w:lang w:val="en-US" w:eastAsia="zh-CN"/>
              </w:rPr>
            </w:pPr>
            <w:r>
              <w:rPr>
                <w:rFonts w:hint="eastAsia" w:ascii="Times New Roman" w:hAnsi="Times New Roman" w:cs="Times New Roman"/>
                <w:b/>
                <w:bCs/>
                <w:highlight w:val="none"/>
                <w:lang w:val="en-US" w:eastAsia="zh-CN"/>
              </w:rPr>
              <w:t>地理位置</w:t>
            </w:r>
          </w:p>
          <w:p>
            <w:pPr>
              <w:bidi w:val="0"/>
              <w:rPr>
                <w:rFonts w:hint="eastAsia"/>
                <w:highlight w:val="none"/>
                <w:lang w:val="en-US" w:eastAsia="zh-CN"/>
              </w:rPr>
            </w:pPr>
            <w:r>
              <w:rPr>
                <w:highlight w:val="none"/>
                <w:lang w:val="en-US" w:eastAsia="zh-CN"/>
              </w:rPr>
              <w:t>宣汉县胡家镇胡家河山洪沟防洪治理工程位于宣汉县胡家镇，按河沟分主要</w:t>
            </w:r>
            <w:r>
              <w:rPr>
                <w:rFonts w:hint="eastAsia"/>
                <w:highlight w:val="none"/>
                <w:lang w:val="en-US" w:eastAsia="zh-CN"/>
              </w:rPr>
              <w:t>分布在油坊沟和胡家河两条河上。油坊沟上设计有上下两段堤防，油坊沟右岸上段堤防起点为黄家湾桥（E</w:t>
            </w:r>
            <w:r>
              <w:rPr>
                <w:rFonts w:hint="default" w:ascii="Times New Roman" w:hAnsi="Times New Roman" w:cs="Times New Roman"/>
                <w:highlight w:val="none"/>
                <w:lang w:val="en-US" w:eastAsia="zh-CN"/>
              </w:rPr>
              <w:t>107°39′43.70″</w:t>
            </w:r>
            <w:r>
              <w:rPr>
                <w:rFonts w:hint="eastAsia" w:ascii="Times New Roman" w:hAnsi="Times New Roman" w:cs="Times New Roman"/>
                <w:highlight w:val="none"/>
                <w:lang w:val="en-US" w:eastAsia="zh-CN"/>
              </w:rPr>
              <w:t>，</w:t>
            </w:r>
            <w:r>
              <w:rPr>
                <w:rFonts w:hint="eastAsia" w:cs="Times New Roman"/>
                <w:highlight w:val="none"/>
                <w:lang w:val="en-US" w:eastAsia="zh-CN"/>
              </w:rPr>
              <w:t>N</w:t>
            </w:r>
            <w:r>
              <w:rPr>
                <w:rFonts w:hint="default" w:ascii="Times New Roman" w:hAnsi="Times New Roman" w:cs="Times New Roman"/>
                <w:highlight w:val="none"/>
                <w:lang w:val="en-US" w:eastAsia="zh-CN"/>
              </w:rPr>
              <w:t>31°34′24.10″</w:t>
            </w:r>
            <w:r>
              <w:rPr>
                <w:rFonts w:hint="eastAsia"/>
                <w:highlight w:val="none"/>
                <w:lang w:val="en-US" w:eastAsia="zh-CN"/>
              </w:rPr>
              <w:t>）至下游已成堤防（E</w:t>
            </w:r>
            <w:r>
              <w:rPr>
                <w:rFonts w:hint="default" w:ascii="Times New Roman" w:hAnsi="Times New Roman" w:cs="Times New Roman"/>
                <w:highlight w:val="none"/>
              </w:rPr>
              <w:t>107°39′39.62″</w:t>
            </w:r>
            <w:r>
              <w:rPr>
                <w:rFonts w:hint="eastAsia" w:ascii="Times New Roman" w:hAnsi="Times New Roman" w:cs="Times New Roman"/>
                <w:highlight w:val="none"/>
                <w:lang w:eastAsia="zh-CN"/>
              </w:rPr>
              <w:t>，</w:t>
            </w:r>
            <w:r>
              <w:rPr>
                <w:rFonts w:hint="eastAsia" w:cs="Times New Roman"/>
                <w:highlight w:val="none"/>
                <w:lang w:val="en-US" w:eastAsia="zh-CN"/>
              </w:rPr>
              <w:t>N</w:t>
            </w:r>
            <w:r>
              <w:rPr>
                <w:rFonts w:hint="default" w:ascii="Times New Roman" w:hAnsi="Times New Roman" w:cs="Times New Roman"/>
                <w:highlight w:val="none"/>
              </w:rPr>
              <w:t>31°34′13.19″</w:t>
            </w:r>
            <w:r>
              <w:rPr>
                <w:rFonts w:hint="eastAsia"/>
                <w:highlight w:val="none"/>
                <w:lang w:val="en-US" w:eastAsia="zh-CN"/>
              </w:rPr>
              <w:t>），该段堤防长为</w:t>
            </w:r>
            <w:r>
              <w:rPr>
                <w:rFonts w:hint="default"/>
                <w:highlight w:val="none"/>
                <w:lang w:val="en-US" w:eastAsia="zh-CN"/>
              </w:rPr>
              <w:t>406.16m</w:t>
            </w:r>
            <w:r>
              <w:rPr>
                <w:rFonts w:hint="eastAsia"/>
                <w:highlight w:val="none"/>
                <w:lang w:val="en-US" w:eastAsia="zh-CN"/>
              </w:rPr>
              <w:t>；油坊沟左下段堤防位于冯家坝，起点坐标为E</w:t>
            </w:r>
            <w:r>
              <w:rPr>
                <w:rFonts w:hint="default" w:ascii="Times New Roman" w:hAnsi="Times New Roman" w:cs="Times New Roman"/>
                <w:highlight w:val="none"/>
                <w:lang w:val="en-US" w:eastAsia="zh-CN"/>
              </w:rPr>
              <w:t>107°39′38.16″</w:t>
            </w:r>
            <w:r>
              <w:rPr>
                <w:rFonts w:hint="eastAsia" w:ascii="Times New Roman" w:hAnsi="Times New Roman" w:cs="Times New Roman"/>
                <w:highlight w:val="none"/>
                <w:lang w:val="en-US" w:eastAsia="zh-CN"/>
              </w:rPr>
              <w:t>，</w:t>
            </w:r>
            <w:r>
              <w:rPr>
                <w:rFonts w:hint="eastAsia" w:cs="Times New Roman"/>
                <w:highlight w:val="none"/>
                <w:lang w:val="en-US" w:eastAsia="zh-CN"/>
              </w:rPr>
              <w:t>N</w:t>
            </w:r>
            <w:r>
              <w:rPr>
                <w:rFonts w:hint="default" w:ascii="Times New Roman" w:hAnsi="Times New Roman" w:cs="Times New Roman"/>
                <w:highlight w:val="none"/>
                <w:lang w:val="en-US" w:eastAsia="zh-CN"/>
              </w:rPr>
              <w:t>31°33′58.31″</w:t>
            </w:r>
            <w:r>
              <w:rPr>
                <w:rFonts w:hint="eastAsia" w:cs="Times New Roman"/>
                <w:highlight w:val="none"/>
                <w:lang w:val="en-US" w:eastAsia="zh-CN"/>
              </w:rPr>
              <w:t>，终点坐标为E</w:t>
            </w:r>
            <w:r>
              <w:rPr>
                <w:rFonts w:hint="default" w:ascii="Times New Roman" w:hAnsi="Times New Roman" w:cs="Times New Roman"/>
                <w:highlight w:val="none"/>
              </w:rPr>
              <w:t>107°39′36.19″</w:t>
            </w:r>
            <w:r>
              <w:rPr>
                <w:rFonts w:hint="eastAsia" w:ascii="Times New Roman" w:hAnsi="Times New Roman" w:cs="Times New Roman"/>
                <w:highlight w:val="none"/>
                <w:lang w:eastAsia="zh-CN"/>
              </w:rPr>
              <w:t>，</w:t>
            </w:r>
            <w:r>
              <w:rPr>
                <w:rFonts w:hint="eastAsia" w:cs="Times New Roman"/>
                <w:highlight w:val="none"/>
                <w:lang w:val="en-US" w:eastAsia="zh-CN"/>
              </w:rPr>
              <w:t>N</w:t>
            </w:r>
            <w:r>
              <w:rPr>
                <w:rFonts w:hint="default" w:ascii="Times New Roman" w:hAnsi="Times New Roman" w:cs="Times New Roman"/>
                <w:highlight w:val="none"/>
              </w:rPr>
              <w:t>31°33′53.33″</w:t>
            </w:r>
            <w:r>
              <w:rPr>
                <w:rFonts w:hint="eastAsia" w:cs="Times New Roman"/>
                <w:highlight w:val="none"/>
                <w:lang w:eastAsia="zh-CN"/>
              </w:rPr>
              <w:t>，</w:t>
            </w:r>
            <w:r>
              <w:rPr>
                <w:rFonts w:hint="eastAsia"/>
                <w:highlight w:val="none"/>
                <w:lang w:val="en-US" w:eastAsia="zh-CN"/>
              </w:rPr>
              <w:t>堤防设计长度为</w:t>
            </w:r>
            <w:r>
              <w:rPr>
                <w:rFonts w:hint="default"/>
                <w:highlight w:val="none"/>
                <w:lang w:val="en-US" w:eastAsia="zh-CN"/>
              </w:rPr>
              <w:t>160.65m</w:t>
            </w:r>
            <w:r>
              <w:rPr>
                <w:rFonts w:hint="eastAsia"/>
                <w:highlight w:val="none"/>
                <w:lang w:val="en-US" w:eastAsia="zh-CN"/>
              </w:rPr>
              <w:t>。</w:t>
            </w:r>
          </w:p>
          <w:p>
            <w:pPr>
              <w:bidi w:val="0"/>
              <w:rPr>
                <w:rFonts w:hint="eastAsia"/>
                <w:highlight w:val="none"/>
                <w:lang w:val="en-US" w:eastAsia="zh-CN"/>
              </w:rPr>
            </w:pPr>
            <w:r>
              <w:rPr>
                <w:rFonts w:hint="eastAsia"/>
                <w:highlight w:val="none"/>
                <w:lang w:val="en-US" w:eastAsia="zh-CN"/>
              </w:rPr>
              <w:t>胡家河上设计有上下两段堤防，胡家河左上段堤防起点为花房子公路桥（E</w:t>
            </w:r>
            <w:r>
              <w:rPr>
                <w:rFonts w:hint="default" w:ascii="Times New Roman" w:hAnsi="Times New Roman" w:cs="Times New Roman"/>
                <w:highlight w:val="none"/>
                <w:lang w:val="en-US" w:eastAsia="zh-CN"/>
              </w:rPr>
              <w:t>107°38′49.90″</w:t>
            </w:r>
            <w:r>
              <w:rPr>
                <w:rFonts w:hint="eastAsia" w:ascii="Times New Roman" w:hAnsi="Times New Roman" w:cs="Times New Roman"/>
                <w:highlight w:val="none"/>
                <w:lang w:val="en-US" w:eastAsia="zh-CN"/>
              </w:rPr>
              <w:t>，</w:t>
            </w:r>
            <w:r>
              <w:rPr>
                <w:rFonts w:hint="eastAsia" w:cs="Times New Roman"/>
                <w:highlight w:val="none"/>
                <w:lang w:val="en-US" w:eastAsia="zh-CN"/>
              </w:rPr>
              <w:t>N</w:t>
            </w:r>
            <w:r>
              <w:rPr>
                <w:rFonts w:hint="default" w:ascii="Times New Roman" w:hAnsi="Times New Roman" w:cs="Times New Roman"/>
                <w:highlight w:val="none"/>
                <w:lang w:val="en-US" w:eastAsia="zh-CN"/>
              </w:rPr>
              <w:t>31°34′42.47″</w:t>
            </w:r>
            <w:r>
              <w:rPr>
                <w:rFonts w:hint="eastAsia"/>
                <w:highlight w:val="none"/>
                <w:lang w:val="en-US" w:eastAsia="zh-CN"/>
              </w:rPr>
              <w:t>）至黄花城段堤防（E</w:t>
            </w:r>
            <w:r>
              <w:rPr>
                <w:rFonts w:hint="default" w:ascii="Times New Roman" w:hAnsi="Times New Roman" w:cs="Times New Roman"/>
                <w:highlight w:val="none"/>
              </w:rPr>
              <w:t>107°38′55.34″</w:t>
            </w:r>
            <w:r>
              <w:rPr>
                <w:rFonts w:hint="eastAsia" w:ascii="Times New Roman" w:hAnsi="Times New Roman" w:cs="Times New Roman"/>
                <w:highlight w:val="none"/>
                <w:lang w:eastAsia="zh-CN"/>
              </w:rPr>
              <w:t>，</w:t>
            </w:r>
            <w:r>
              <w:rPr>
                <w:rFonts w:hint="eastAsia" w:cs="Times New Roman"/>
                <w:highlight w:val="none"/>
                <w:lang w:val="en-US" w:eastAsia="zh-CN"/>
              </w:rPr>
              <w:t>N</w:t>
            </w:r>
            <w:r>
              <w:rPr>
                <w:rFonts w:hint="default" w:ascii="Times New Roman" w:hAnsi="Times New Roman" w:cs="Times New Roman"/>
                <w:highlight w:val="none"/>
              </w:rPr>
              <w:t>31°34′25.78″</w:t>
            </w:r>
            <w:r>
              <w:rPr>
                <w:rFonts w:hint="eastAsia"/>
                <w:highlight w:val="none"/>
                <w:lang w:val="en-US" w:eastAsia="zh-CN"/>
              </w:rPr>
              <w:t>），该段堤防长</w:t>
            </w:r>
            <w:r>
              <w:rPr>
                <w:rFonts w:hint="default"/>
                <w:highlight w:val="none"/>
                <w:lang w:val="en-US" w:eastAsia="zh-CN"/>
              </w:rPr>
              <w:t>564.19m</w:t>
            </w:r>
            <w:r>
              <w:rPr>
                <w:rFonts w:hint="eastAsia"/>
                <w:highlight w:val="none"/>
                <w:lang w:val="en-US" w:eastAsia="zh-CN"/>
              </w:rPr>
              <w:t>；胡家河右下段堤防位于后营坝，起点坐标为E</w:t>
            </w:r>
            <w:r>
              <w:rPr>
                <w:rFonts w:hint="default" w:ascii="Times New Roman" w:hAnsi="Times New Roman" w:cs="Times New Roman"/>
                <w:highlight w:val="none"/>
                <w:lang w:val="en-US" w:eastAsia="zh-CN"/>
              </w:rPr>
              <w:t>107°39′12.99″</w:t>
            </w:r>
            <w:r>
              <w:rPr>
                <w:rFonts w:hint="eastAsia" w:ascii="Times New Roman" w:hAnsi="Times New Roman" w:cs="Times New Roman"/>
                <w:highlight w:val="none"/>
                <w:lang w:val="en-US" w:eastAsia="zh-CN"/>
              </w:rPr>
              <w:t>，</w:t>
            </w:r>
            <w:r>
              <w:rPr>
                <w:rFonts w:hint="eastAsia" w:cs="Times New Roman"/>
                <w:highlight w:val="none"/>
                <w:lang w:val="en-US" w:eastAsia="zh-CN"/>
              </w:rPr>
              <w:t>N</w:t>
            </w:r>
            <w:r>
              <w:rPr>
                <w:rFonts w:hint="default" w:ascii="Times New Roman" w:hAnsi="Times New Roman" w:cs="Times New Roman"/>
                <w:highlight w:val="none"/>
                <w:lang w:val="en-US" w:eastAsia="zh-CN"/>
              </w:rPr>
              <w:t>31°34′5.48″</w:t>
            </w:r>
            <w:r>
              <w:rPr>
                <w:rFonts w:hint="eastAsia" w:cs="Times New Roman"/>
                <w:highlight w:val="none"/>
                <w:lang w:val="en-US" w:eastAsia="zh-CN"/>
              </w:rPr>
              <w:t>，终点坐标为E</w:t>
            </w:r>
            <w:r>
              <w:rPr>
                <w:rFonts w:hint="default" w:ascii="Times New Roman" w:hAnsi="Times New Roman" w:cs="Times New Roman"/>
                <w:highlight w:val="none"/>
              </w:rPr>
              <w:t>107°39′19.00″</w:t>
            </w:r>
            <w:r>
              <w:rPr>
                <w:rFonts w:hint="eastAsia" w:ascii="Times New Roman" w:hAnsi="Times New Roman" w:cs="Times New Roman"/>
                <w:highlight w:val="none"/>
                <w:lang w:eastAsia="zh-CN"/>
              </w:rPr>
              <w:t>，</w:t>
            </w:r>
            <w:r>
              <w:rPr>
                <w:rFonts w:hint="eastAsia" w:cs="Times New Roman"/>
                <w:highlight w:val="none"/>
                <w:lang w:val="en-US" w:eastAsia="zh-CN"/>
              </w:rPr>
              <w:t>N</w:t>
            </w:r>
            <w:r>
              <w:rPr>
                <w:rFonts w:hint="default" w:ascii="Times New Roman" w:hAnsi="Times New Roman" w:cs="Times New Roman"/>
                <w:highlight w:val="none"/>
              </w:rPr>
              <w:t>31°34′1.76″</w:t>
            </w:r>
            <w:r>
              <w:rPr>
                <w:rFonts w:hint="eastAsia" w:cs="Times New Roman"/>
                <w:highlight w:val="none"/>
                <w:lang w:eastAsia="zh-CN"/>
              </w:rPr>
              <w:t>，</w:t>
            </w:r>
            <w:r>
              <w:rPr>
                <w:rFonts w:hint="eastAsia"/>
                <w:highlight w:val="none"/>
                <w:lang w:val="en-US" w:eastAsia="zh-CN"/>
              </w:rPr>
              <w:t>堤防设计长度</w:t>
            </w:r>
            <w:r>
              <w:rPr>
                <w:rFonts w:hint="default"/>
                <w:highlight w:val="none"/>
                <w:lang w:val="en-US" w:eastAsia="zh-CN"/>
              </w:rPr>
              <w:t>194.28m</w:t>
            </w:r>
            <w:r>
              <w:rPr>
                <w:rFonts w:hint="eastAsia"/>
                <w:highlight w:val="none"/>
                <w:lang w:val="en-US" w:eastAsia="zh-CN"/>
              </w:rPr>
              <w:t>。胡家镇胡家河山洪沟防洪治理工程四段堤防总长</w:t>
            </w:r>
            <w:r>
              <w:rPr>
                <w:rFonts w:hint="default"/>
                <w:highlight w:val="none"/>
                <w:lang w:val="en-US" w:eastAsia="zh-CN"/>
              </w:rPr>
              <w:t>1325.28m</w:t>
            </w:r>
            <w:r>
              <w:rPr>
                <w:rFonts w:hint="eastAsia"/>
                <w:highlight w:val="none"/>
                <w:lang w:val="en-US" w:eastAsia="zh-CN"/>
              </w:rPr>
              <w:t>，河道治理方式为新建堤防、护坡相结合。</w:t>
            </w:r>
          </w:p>
          <w:p>
            <w:pPr>
              <w:rPr>
                <w:rFonts w:hint="default"/>
                <w:highlight w:val="none"/>
                <w:lang w:val="en-US" w:eastAsia="zh-CN"/>
              </w:rPr>
            </w:pPr>
            <w:r>
              <w:rPr>
                <w:rFonts w:hint="eastAsia" w:cs="Times New Roman"/>
                <w:highlight w:val="none"/>
                <w:lang w:val="en-US" w:eastAsia="zh-CN"/>
              </w:rPr>
              <w:t>项目地理位置图详见附图1。</w:t>
            </w:r>
          </w:p>
          <w:p>
            <w:pPr>
              <w:numPr>
                <w:ilvl w:val="0"/>
                <w:numId w:val="3"/>
              </w:numPr>
              <w:bidi w:val="0"/>
              <w:ind w:left="0" w:leftChars="0" w:firstLine="482" w:firstLineChars="200"/>
              <w:rPr>
                <w:rFonts w:hint="eastAsia" w:ascii="Times New Roman" w:hAnsi="Times New Roman" w:cs="Times New Roman"/>
                <w:b/>
                <w:bCs/>
                <w:highlight w:val="none"/>
                <w:lang w:val="en-US" w:eastAsia="zh-CN"/>
              </w:rPr>
            </w:pPr>
            <w:r>
              <w:rPr>
                <w:rFonts w:hint="eastAsia" w:ascii="Times New Roman" w:hAnsi="Times New Roman" w:cs="Times New Roman"/>
                <w:b/>
                <w:bCs/>
                <w:highlight w:val="none"/>
                <w:lang w:val="en-US" w:eastAsia="zh-CN"/>
              </w:rPr>
              <w:t>流域概况</w:t>
            </w:r>
          </w:p>
          <w:p>
            <w:pPr>
              <w:bidi w:val="0"/>
              <w:rPr>
                <w:highlight w:val="none"/>
              </w:rPr>
            </w:pPr>
            <w:r>
              <w:rPr>
                <w:highlight w:val="none"/>
                <w:lang w:val="en-US" w:eastAsia="zh-CN"/>
              </w:rPr>
              <w:t>胡家河为后河中下游段右岸一级支流，位于宣汉县境内，地处四川盆地宣汉</w:t>
            </w:r>
            <w:r>
              <w:rPr>
                <w:rFonts w:hint="eastAsia"/>
                <w:highlight w:val="none"/>
                <w:lang w:val="en-US" w:eastAsia="zh-CN"/>
              </w:rPr>
              <w:t>县北部，起于宣汉县胡家镇锣鼓村，止于宣汉县胡家镇跳河村，控制集水面积</w:t>
            </w:r>
            <w:r>
              <w:rPr>
                <w:rFonts w:hint="default"/>
                <w:highlight w:val="none"/>
                <w:lang w:val="en-US" w:eastAsia="zh-CN"/>
              </w:rPr>
              <w:t>72.7km²</w:t>
            </w:r>
            <w:r>
              <w:rPr>
                <w:rFonts w:hint="eastAsia"/>
                <w:highlight w:val="none"/>
                <w:lang w:val="en-US" w:eastAsia="zh-CN"/>
              </w:rPr>
              <w:t>，河道全长</w:t>
            </w:r>
            <w:r>
              <w:rPr>
                <w:rFonts w:hint="default"/>
                <w:highlight w:val="none"/>
                <w:lang w:val="en-US" w:eastAsia="zh-CN"/>
              </w:rPr>
              <w:t>17.367km</w:t>
            </w:r>
            <w:r>
              <w:rPr>
                <w:rFonts w:hint="eastAsia"/>
                <w:highlight w:val="none"/>
                <w:lang w:val="en-US" w:eastAsia="zh-CN"/>
              </w:rPr>
              <w:t>，河道平均坡降</w:t>
            </w:r>
            <w:r>
              <w:rPr>
                <w:rFonts w:hint="default"/>
                <w:highlight w:val="none"/>
                <w:lang w:val="en-US" w:eastAsia="zh-CN"/>
              </w:rPr>
              <w:t>15.7‰</w:t>
            </w:r>
            <w:r>
              <w:rPr>
                <w:rFonts w:hint="eastAsia"/>
                <w:highlight w:val="none"/>
                <w:lang w:val="en-US" w:eastAsia="zh-CN"/>
              </w:rPr>
              <w:t>。域内地势西北高东南低，中、上游高山区在流域西北部，并向东南逐渐降低。高山区坡陡流急，流域中部是高山丘陵过渡带，海拔高程在</w:t>
            </w:r>
            <w:r>
              <w:rPr>
                <w:rFonts w:hint="default"/>
                <w:highlight w:val="none"/>
                <w:lang w:val="en-US" w:eastAsia="zh-CN"/>
              </w:rPr>
              <w:t>800</w:t>
            </w:r>
            <w:r>
              <w:rPr>
                <w:rFonts w:hint="eastAsia"/>
                <w:highlight w:val="none"/>
                <w:lang w:val="en-US" w:eastAsia="zh-CN"/>
              </w:rPr>
              <w:t>～</w:t>
            </w:r>
            <w:r>
              <w:rPr>
                <w:rFonts w:hint="default"/>
                <w:highlight w:val="none"/>
                <w:lang w:val="en-US" w:eastAsia="zh-CN"/>
              </w:rPr>
              <w:t>1200m</w:t>
            </w:r>
            <w:r>
              <w:rPr>
                <w:rFonts w:hint="eastAsia"/>
                <w:highlight w:val="none"/>
                <w:lang w:val="en-US" w:eastAsia="zh-CN"/>
              </w:rPr>
              <w:t>之间，下部为丘陵地带，海拔高程在</w:t>
            </w:r>
            <w:r>
              <w:rPr>
                <w:rFonts w:hint="default"/>
                <w:highlight w:val="none"/>
                <w:lang w:val="en-US" w:eastAsia="zh-CN"/>
              </w:rPr>
              <w:t>330</w:t>
            </w:r>
            <w:r>
              <w:rPr>
                <w:rFonts w:hint="eastAsia"/>
                <w:highlight w:val="none"/>
                <w:lang w:val="en-US" w:eastAsia="zh-CN"/>
              </w:rPr>
              <w:t>～</w:t>
            </w:r>
            <w:r>
              <w:rPr>
                <w:rFonts w:hint="default"/>
                <w:highlight w:val="none"/>
                <w:lang w:val="en-US" w:eastAsia="zh-CN"/>
              </w:rPr>
              <w:t>700m</w:t>
            </w:r>
            <w:r>
              <w:rPr>
                <w:rFonts w:hint="eastAsia"/>
                <w:highlight w:val="none"/>
                <w:lang w:val="en-US" w:eastAsia="zh-CN"/>
              </w:rPr>
              <w:t>之间，坡度较平缓，沿河漫滩与阶地相间，植被较差。未发现新断裂构造和活动断裂，工程区属于相对稳定地块，区域构造稳定性较好。</w:t>
            </w:r>
          </w:p>
          <w:p>
            <w:pPr>
              <w:bidi w:val="0"/>
              <w:rPr>
                <w:rFonts w:hint="default"/>
                <w:highlight w:val="none"/>
                <w:lang w:val="en-US" w:eastAsia="zh-CN"/>
              </w:rPr>
            </w:pPr>
            <w:r>
              <w:rPr>
                <w:rFonts w:hint="eastAsia"/>
                <w:highlight w:val="none"/>
                <w:lang w:val="en-US" w:eastAsia="zh-CN"/>
              </w:rPr>
              <w:t>项目流域水系图详见附图2。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57" w:type="dxa"/>
            <w:tcBorders>
              <w:tl2br w:val="nil"/>
              <w:tr2bl w:val="nil"/>
            </w:tcBorders>
          </w:tcPr>
          <w:p>
            <w:pPr>
              <w:bidi w:val="0"/>
              <w:ind w:left="0" w:leftChars="0" w:firstLine="0" w:firstLineChars="0"/>
              <w:rPr>
                <w:rFonts w:hint="default"/>
                <w:highlight w:val="none"/>
                <w:lang w:val="en-US" w:eastAsia="zh-CN"/>
              </w:rPr>
            </w:pPr>
            <w:r>
              <w:rPr>
                <w:rFonts w:hint="eastAsia"/>
                <w:b/>
                <w:bCs/>
                <w:color w:val="auto"/>
                <w:highlight w:val="none"/>
                <w:vertAlign w:val="baseline"/>
                <w:lang w:val="en-US" w:eastAsia="zh-CN"/>
              </w:rPr>
              <w:t>项目组成及规模</w:t>
            </w:r>
          </w:p>
        </w:tc>
        <w:tc>
          <w:tcPr>
            <w:tcW w:w="8776" w:type="dxa"/>
            <w:tcBorders>
              <w:tl2br w:val="nil"/>
              <w:tr2bl w:val="nil"/>
            </w:tcBorders>
          </w:tcPr>
          <w:p>
            <w:pPr>
              <w:bidi w:val="0"/>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一、工程项目由来</w:t>
            </w:r>
          </w:p>
          <w:p>
            <w:pPr>
              <w:keepNext w:val="0"/>
              <w:keepLines w:val="0"/>
              <w:suppressLineNumbers w:val="0"/>
              <w:bidi w:val="0"/>
              <w:spacing w:before="0" w:beforeAutospacing="0" w:after="0" w:afterAutospacing="0"/>
              <w:ind w:left="0" w:right="0"/>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1、编制依据</w:t>
            </w:r>
          </w:p>
          <w:p>
            <w:pPr>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根据《中华人民共和国环境影响评价法》和《建设项目环境保护管理条例》的有关规定，建设项目须履行环境影响评价制度。根据《建设项目环境影响评价分类管理名录（2021年版）》（生态环境部第16号令）的有关规定，本项目堤防</w:t>
            </w:r>
            <w:r>
              <w:rPr>
                <w:rFonts w:hint="eastAsia" w:cs="Times New Roman"/>
                <w:color w:val="auto"/>
                <w:highlight w:val="none"/>
                <w:lang w:val="en-US" w:eastAsia="zh-CN"/>
              </w:rPr>
              <w:t>工程</w:t>
            </w:r>
            <w:r>
              <w:rPr>
                <w:rFonts w:hint="default" w:ascii="Times New Roman" w:hAnsi="Times New Roman" w:cs="Times New Roman"/>
                <w:color w:val="auto"/>
                <w:highlight w:val="none"/>
                <w:lang w:val="en-US" w:eastAsia="zh-CN"/>
              </w:rPr>
              <w:t>属于“五十一、水利、127”中“防洪除涝工程”中“其他（小型沟渠的护坡除外；城镇排涝河流水闸、排涝泵站除外）”，应编制环境影响评价报告表</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为此宣汉县水务局特委托我公司承担该建设项目的环境影响评价工作。</w:t>
            </w:r>
          </w:p>
          <w:p>
            <w:pPr>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val="en-US" w:eastAsia="zh-CN"/>
              </w:rPr>
            </w:pPr>
            <w:r>
              <w:rPr>
                <w:rFonts w:hint="default" w:ascii="Times New Roman" w:hAnsi="Times New Roman" w:cs="Times New Roman"/>
                <w:b/>
                <w:bCs/>
                <w:color w:val="auto"/>
                <w:highlight w:val="none"/>
                <w:lang w:val="en-US" w:eastAsia="zh-CN"/>
              </w:rPr>
              <w:t>2、项目建设的必要性</w:t>
            </w:r>
          </w:p>
          <w:p>
            <w:pPr>
              <w:bidi w:val="0"/>
              <w:rPr>
                <w:highlight w:val="none"/>
              </w:rPr>
            </w:pPr>
            <w:r>
              <w:rPr>
                <w:highlight w:val="none"/>
              </w:rPr>
              <w:t>胡家河为后河中下游段右岸一级支流，位于宣汉县境内</w:t>
            </w:r>
            <w:r>
              <w:rPr>
                <w:rFonts w:hint="eastAsia"/>
                <w:highlight w:val="none"/>
                <w:lang w:eastAsia="zh-CN"/>
              </w:rPr>
              <w:t>，</w:t>
            </w:r>
            <w:r>
              <w:rPr>
                <w:highlight w:val="none"/>
              </w:rPr>
              <w:t>目前该段段无防洪工程，且原有行洪能力不足，后又经历2020年“7.16”洪灾，导致水利设施严重受损，河道淤积严重，防洪能力大幅度降低，堤岸两侧数千居民、耕地、公路的安全受到严重威胁。特别是胡家场镇农贸市场段过水断面不足且淤积严重，严重影响两岸居民的生命安全。</w:t>
            </w:r>
          </w:p>
          <w:p>
            <w:pPr>
              <w:bidi w:val="0"/>
              <w:rPr>
                <w:highlight w:val="none"/>
              </w:rPr>
            </w:pPr>
            <w:r>
              <w:rPr>
                <w:highlight w:val="none"/>
              </w:rPr>
              <w:t>根据宣汉县政府的规划，胡家镇按照</w:t>
            </w:r>
            <w:r>
              <w:rPr>
                <w:rFonts w:hint="eastAsia"/>
                <w:highlight w:val="none"/>
                <w:lang w:eastAsia="zh-CN"/>
              </w:rPr>
              <w:t>“</w:t>
            </w:r>
            <w:r>
              <w:rPr>
                <w:highlight w:val="none"/>
              </w:rPr>
              <w:t>规划先导、构建框架、市场运作、分步实施、完善功能、突出特色</w:t>
            </w:r>
            <w:r>
              <w:rPr>
                <w:rFonts w:hint="eastAsia"/>
                <w:highlight w:val="none"/>
                <w:lang w:eastAsia="zh-CN"/>
              </w:rPr>
              <w:t>”</w:t>
            </w:r>
            <w:r>
              <w:rPr>
                <w:highlight w:val="none"/>
              </w:rPr>
              <w:t>的思路，加快了集镇建设的步伐，打开了新局面。结合新农村建设，打造新的生态旅游区，蔬菜、林果园区，必须加快实施胡家沟山洪治理工程。为了给胡家镇的建设及胡家沟和油坊沟两岸农田生产创造安全条件</w:t>
            </w:r>
            <w:r>
              <w:rPr>
                <w:rFonts w:hint="eastAsia"/>
                <w:highlight w:val="none"/>
                <w:lang w:eastAsia="zh-CN"/>
              </w:rPr>
              <w:t>，</w:t>
            </w:r>
            <w:r>
              <w:rPr>
                <w:highlight w:val="none"/>
              </w:rPr>
              <w:t>为最大限度降低洪涝灾害和损失，保障人民群众生命财产安全，促进国民经济的快速发展，迫切需要有一个保证防洪安全的生产和生活环境，以确保地方社会、经济、环境可持续发展，因此需要尽快实施宣汉县</w:t>
            </w:r>
            <w:r>
              <w:rPr>
                <w:rFonts w:hint="eastAsia"/>
                <w:highlight w:val="none"/>
                <w:lang w:val="en-US" w:eastAsia="zh-CN"/>
              </w:rPr>
              <w:t>胡家镇</w:t>
            </w:r>
            <w:r>
              <w:rPr>
                <w:highlight w:val="none"/>
              </w:rPr>
              <w:t>胡家河山洪</w:t>
            </w:r>
            <w:r>
              <w:rPr>
                <w:rFonts w:hint="eastAsia"/>
                <w:highlight w:val="none"/>
                <w:lang w:val="en-US" w:eastAsia="zh-CN"/>
              </w:rPr>
              <w:t>沟防洪</w:t>
            </w:r>
            <w:r>
              <w:rPr>
                <w:highlight w:val="none"/>
              </w:rPr>
              <w:t>治理工程的修建。</w:t>
            </w:r>
            <w:r>
              <w:rPr>
                <w:rFonts w:hint="eastAsia"/>
                <w:highlight w:val="none"/>
                <w:lang w:val="en-US" w:eastAsia="zh-CN"/>
              </w:rPr>
              <w:t>且本项目</w:t>
            </w:r>
            <w:r>
              <w:rPr>
                <w:highlight w:val="none"/>
                <w:lang w:val="zh-CN"/>
              </w:rPr>
              <w:t>洪标准采用</w:t>
            </w:r>
            <w:r>
              <w:rPr>
                <w:rFonts w:hint="eastAsia"/>
                <w:highlight w:val="none"/>
                <w:lang w:val="en-US" w:eastAsia="zh-CN"/>
              </w:rPr>
              <w:t>10</w:t>
            </w:r>
            <w:r>
              <w:rPr>
                <w:highlight w:val="none"/>
                <w:lang w:val="zh-CN"/>
              </w:rPr>
              <w:t>年一遇，排涝标准为5年一遇</w:t>
            </w:r>
            <w:r>
              <w:rPr>
                <w:rFonts w:hint="eastAsia"/>
                <w:highlight w:val="none"/>
                <w:lang w:eastAsia="zh-CN"/>
              </w:rPr>
              <w:t>，</w:t>
            </w:r>
            <w:r>
              <w:rPr>
                <w:rFonts w:hint="eastAsia"/>
                <w:highlight w:val="none"/>
                <w:lang w:val="en-US" w:eastAsia="zh-CN"/>
              </w:rPr>
              <w:t>符合当地防洪标准，可以达到对沿岸村庄和耕地的保护要求</w:t>
            </w:r>
            <w:r>
              <w:rPr>
                <w:highlight w:val="none"/>
              </w:rPr>
              <w:t>。</w:t>
            </w:r>
          </w:p>
          <w:p>
            <w:pPr>
              <w:bidi w:val="0"/>
              <w:rPr>
                <w:color w:val="auto"/>
                <w:highlight w:val="none"/>
              </w:rPr>
            </w:pPr>
            <w:r>
              <w:rPr>
                <w:highlight w:val="none"/>
              </w:rPr>
              <w:t>工程的建设不但可以最大限度降低洪涝灾害和损失、保障人民群众生命财产安全、促进国民经济的快速发展，还可以通过综合治理工程结合新农村建设，打造新的生态旅游区、居民休闲区，给胡家镇</w:t>
            </w:r>
            <w:r>
              <w:rPr>
                <w:rFonts w:hint="eastAsia"/>
                <w:highlight w:val="none"/>
                <w:lang w:val="en-US" w:eastAsia="zh-CN"/>
              </w:rPr>
              <w:t>场镇</w:t>
            </w:r>
            <w:r>
              <w:rPr>
                <w:highlight w:val="none"/>
              </w:rPr>
              <w:t>的建设及两岸农田生产</w:t>
            </w:r>
            <w:r>
              <w:rPr>
                <w:spacing w:val="8"/>
                <w:highlight w:val="none"/>
              </w:rPr>
              <w:t>创造安全条件。因此建设本工程是十分必要的</w:t>
            </w:r>
          </w:p>
          <w:p>
            <w:pPr>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lang w:val="en-US" w:eastAsia="zh-CN"/>
              </w:rPr>
              <w:t>二、</w:t>
            </w:r>
            <w:r>
              <w:rPr>
                <w:rFonts w:hint="default" w:ascii="Times New Roman" w:hAnsi="Times New Roman" w:cs="Times New Roman"/>
                <w:b/>
                <w:bCs/>
                <w:color w:val="auto"/>
                <w:highlight w:val="none"/>
                <w:lang w:eastAsia="zh-CN"/>
              </w:rPr>
              <w:t>项目</w:t>
            </w:r>
            <w:r>
              <w:rPr>
                <w:rFonts w:hint="default" w:ascii="Times New Roman" w:hAnsi="Times New Roman" w:cs="Times New Roman"/>
                <w:b/>
                <w:bCs/>
                <w:color w:val="auto"/>
                <w:highlight w:val="none"/>
                <w:lang w:val="en-US" w:eastAsia="zh-CN"/>
              </w:rPr>
              <w:t>实施背景及工程任务</w:t>
            </w:r>
            <w:r>
              <w:rPr>
                <w:rFonts w:hint="default" w:ascii="Times New Roman" w:hAnsi="Times New Roman" w:cs="Times New Roman"/>
                <w:b/>
                <w:bCs/>
                <w:color w:val="auto"/>
                <w:highlight w:val="none"/>
                <w:lang w:eastAsia="zh-CN"/>
              </w:rPr>
              <w:t>、</w:t>
            </w:r>
            <w:r>
              <w:rPr>
                <w:rFonts w:hint="default" w:ascii="Times New Roman" w:hAnsi="Times New Roman" w:cs="Times New Roman"/>
                <w:b/>
                <w:bCs/>
                <w:color w:val="auto"/>
                <w:highlight w:val="none"/>
              </w:rPr>
              <w:t>项目组成及规模</w:t>
            </w:r>
          </w:p>
          <w:p>
            <w:pPr>
              <w:keepNext w:val="0"/>
              <w:keepLines w:val="0"/>
              <w:suppressLineNumbers w:val="0"/>
              <w:spacing w:before="0" w:beforeAutospacing="0" w:after="0" w:afterAutospacing="0"/>
              <w:ind w:left="0" w:right="0" w:firstLine="480"/>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1、项目实施背景及工程任务</w:t>
            </w:r>
          </w:p>
          <w:p>
            <w:pPr>
              <w:bidi w:val="0"/>
              <w:rPr>
                <w:highlight w:val="none"/>
              </w:rPr>
            </w:pPr>
            <w:r>
              <w:rPr>
                <w:highlight w:val="none"/>
              </w:rPr>
              <w:t>宣汉县委、县政府历来十分重视城镇防汛工作，但由于县财政力量薄弱，投资乡镇级的水利设施资金较少，防洪能力较弱。目前胡家镇及严家社区规划区范围内无任何防洪措施，工程治理河段左、右岸地面高程相差不多，大都低于10年一遇洪水位以下，汛期到来时，积水现象较为严重，临河侧蔬菜大棚、农田、学校及村镇房屋严重受到洪水威胁。</w:t>
            </w:r>
          </w:p>
          <w:p>
            <w:pPr>
              <w:bidi w:val="0"/>
              <w:rPr>
                <w:rFonts w:hint="eastAsia"/>
                <w:spacing w:val="12"/>
                <w:highlight w:val="none"/>
                <w:lang w:val="en-US" w:eastAsia="zh-CN"/>
              </w:rPr>
            </w:pPr>
            <w:r>
              <w:rPr>
                <w:highlight w:val="none"/>
              </w:rPr>
              <w:t>宣汉县胡家镇胡家河山洪沟防洪治理工程的任务是根据四川省宣汉县规划的要求，依照防洪法和防洪标准，结合胡家河的水情特点和胡家镇及农业园区规划建设需要，结合场镇发展规划</w:t>
            </w:r>
            <w:r>
              <w:rPr>
                <w:rFonts w:hint="eastAsia"/>
                <w:highlight w:val="none"/>
                <w:lang w:eastAsia="zh-CN"/>
              </w:rPr>
              <w:t>，</w:t>
            </w:r>
            <w:r>
              <w:rPr>
                <w:highlight w:val="none"/>
              </w:rPr>
              <w:t>因地制宜地修建堤防，恢复和完善防洪体系和环境体系，提高胡家镇的整体防洪能力和改善环境，完善保护区防洪体系</w:t>
            </w:r>
            <w:r>
              <w:rPr>
                <w:rFonts w:hint="eastAsia"/>
                <w:highlight w:val="none"/>
                <w:lang w:eastAsia="zh-CN"/>
              </w:rPr>
              <w:t>，</w:t>
            </w:r>
            <w:r>
              <w:rPr>
                <w:highlight w:val="none"/>
              </w:rPr>
              <w:t>保护人民的生命财产安全。在工程措施方面</w:t>
            </w:r>
            <w:r>
              <w:rPr>
                <w:rFonts w:hint="eastAsia"/>
                <w:highlight w:val="none"/>
                <w:lang w:eastAsia="zh-CN"/>
              </w:rPr>
              <w:t>，</w:t>
            </w:r>
            <w:r>
              <w:rPr>
                <w:highlight w:val="none"/>
              </w:rPr>
              <w:t>通过新建堤防、整治排洪沟、河道疏浚</w:t>
            </w:r>
            <w:r>
              <w:rPr>
                <w:rFonts w:hint="eastAsia"/>
                <w:highlight w:val="none"/>
                <w:lang w:eastAsia="zh-CN"/>
              </w:rPr>
              <w:t>，</w:t>
            </w:r>
            <w:r>
              <w:rPr>
                <w:highlight w:val="none"/>
              </w:rPr>
              <w:t>保障行</w:t>
            </w:r>
            <w:r>
              <w:rPr>
                <w:rFonts w:hint="eastAsia"/>
                <w:highlight w:val="none"/>
                <w:lang w:val="en-US" w:eastAsia="zh-CN"/>
              </w:rPr>
              <w:t>洪</w:t>
            </w:r>
            <w:r>
              <w:rPr>
                <w:highlight w:val="none"/>
              </w:rPr>
              <w:t>断面</w:t>
            </w:r>
            <w:r>
              <w:rPr>
                <w:rFonts w:hint="eastAsia"/>
                <w:highlight w:val="none"/>
                <w:lang w:eastAsia="zh-CN"/>
              </w:rPr>
              <w:t>，</w:t>
            </w:r>
            <w:r>
              <w:rPr>
                <w:highlight w:val="none"/>
              </w:rPr>
              <w:t>提高整体防洪能力</w:t>
            </w:r>
            <w:r>
              <w:rPr>
                <w:rFonts w:hint="eastAsia"/>
                <w:highlight w:val="none"/>
                <w:lang w:eastAsia="zh-CN"/>
              </w:rPr>
              <w:t>，</w:t>
            </w:r>
            <w:r>
              <w:rPr>
                <w:highlight w:val="none"/>
              </w:rPr>
              <w:t>同时辅以非工程措施,做好防洪抢险知识定传工作,坚持防抢结合</w:t>
            </w:r>
            <w:r>
              <w:rPr>
                <w:rFonts w:hint="eastAsia"/>
                <w:highlight w:val="none"/>
                <w:lang w:eastAsia="zh-CN"/>
              </w:rPr>
              <w:t>，</w:t>
            </w:r>
            <w:r>
              <w:rPr>
                <w:highlight w:val="none"/>
              </w:rPr>
              <w:t>以达到防洪减灾的目的。确保汛期胡家镇人民生命财产的安全和工农业的</w:t>
            </w:r>
            <w:r>
              <w:rPr>
                <w:spacing w:val="8"/>
                <w:highlight w:val="none"/>
              </w:rPr>
              <w:t>生产工作顺利进行，促进胡家镇城市、经济、</w:t>
            </w:r>
            <w:r>
              <w:rPr>
                <w:spacing w:val="7"/>
                <w:highlight w:val="none"/>
              </w:rPr>
              <w:t>环境的发展。</w:t>
            </w:r>
          </w:p>
          <w:p>
            <w:pPr>
              <w:bidi w:val="0"/>
              <w:rPr>
                <w:highlight w:val="none"/>
              </w:rPr>
            </w:pPr>
            <w:r>
              <w:rPr>
                <w:highlight w:val="none"/>
              </w:rPr>
              <w:t>工程建成后将大幅度减少胡家镇场镇的洪灾损失，保护场镇及附近居民人口3800人，耕地面积1500亩。防洪效益显著，工程兴建必将对胡家镇场镇的经济发展及人民群众的安居乐业创造良好的外部环境。</w:t>
            </w:r>
          </w:p>
          <w:p>
            <w:pPr>
              <w:bidi w:val="0"/>
              <w:rPr>
                <w:rFonts w:hint="eastAsia"/>
                <w:highlight w:val="none"/>
                <w:lang w:val="zh-CN"/>
              </w:rPr>
            </w:pPr>
            <w:r>
              <w:rPr>
                <w:rFonts w:hint="eastAsia" w:ascii="Times New Roman" w:hAnsi="Times New Roman" w:cs="Times New Roman"/>
                <w:b/>
                <w:bCs/>
                <w:color w:val="auto"/>
                <w:highlight w:val="none"/>
                <w:lang w:val="en-US" w:eastAsia="zh-CN"/>
              </w:rPr>
              <w:t>2、项目组成及规模</w:t>
            </w:r>
          </w:p>
          <w:p>
            <w:pPr>
              <w:bidi w:val="0"/>
              <w:rPr>
                <w:rFonts w:hint="eastAsia" w:ascii="Times New Roman" w:hAnsi="Times New Roman" w:cs="Times New Roman"/>
                <w:highlight w:val="none"/>
                <w:lang w:val="en-US" w:eastAsia="zh-CN"/>
              </w:rPr>
            </w:pPr>
            <w:r>
              <w:rPr>
                <w:rFonts w:hint="default" w:ascii="Times New Roman" w:hAnsi="Times New Roman" w:cs="Times New Roman"/>
                <w:color w:val="auto"/>
                <w:highlight w:val="none"/>
                <w:lang w:val="en-US" w:eastAsia="zh-CN"/>
              </w:rPr>
              <w:t>本项目为</w:t>
            </w:r>
            <w:r>
              <w:rPr>
                <w:rFonts w:hint="default" w:ascii="Times New Roman" w:hAnsi="Times New Roman" w:cs="Times New Roman"/>
                <w:highlight w:val="none"/>
              </w:rPr>
              <w:t>宣汉县</w:t>
            </w:r>
            <w:r>
              <w:rPr>
                <w:rFonts w:hint="eastAsia" w:cs="Times New Roman"/>
                <w:highlight w:val="none"/>
                <w:lang w:val="en-US" w:eastAsia="zh-CN"/>
              </w:rPr>
              <w:t>胡家镇胡家河山洪沟</w:t>
            </w:r>
            <w:r>
              <w:rPr>
                <w:rFonts w:hint="default" w:ascii="Times New Roman" w:hAnsi="Times New Roman" w:cs="Times New Roman"/>
                <w:highlight w:val="none"/>
              </w:rPr>
              <w:t>防洪治理工程</w:t>
            </w:r>
            <w:r>
              <w:rPr>
                <w:rFonts w:hint="eastAsia" w:ascii="Times New Roman" w:hAnsi="Times New Roman" w:cs="Times New Roman"/>
                <w:highlight w:val="none"/>
                <w:lang w:eastAsia="zh-CN"/>
              </w:rPr>
              <w:t>，</w:t>
            </w:r>
            <w:r>
              <w:rPr>
                <w:rFonts w:hint="eastAsia" w:ascii="Times New Roman" w:hAnsi="Times New Roman" w:cs="Times New Roman"/>
                <w:highlight w:val="none"/>
                <w:lang w:val="en-US" w:eastAsia="zh-CN"/>
              </w:rPr>
              <w:t>位于</w:t>
            </w:r>
            <w:r>
              <w:rPr>
                <w:rFonts w:hint="eastAsia" w:cs="Times New Roman"/>
                <w:highlight w:val="none"/>
                <w:lang w:val="en-US" w:eastAsia="zh-CN"/>
              </w:rPr>
              <w:t>胡家镇</w:t>
            </w:r>
            <w:r>
              <w:rPr>
                <w:rFonts w:hint="eastAsia" w:ascii="Times New Roman" w:hAnsi="Times New Roman" w:cs="Times New Roman"/>
                <w:highlight w:val="none"/>
                <w:lang w:val="en-US" w:eastAsia="zh-CN"/>
              </w:rPr>
              <w:t>，建设内容主要包括2个部分，详见下表：</w:t>
            </w:r>
          </w:p>
          <w:p>
            <w:pPr>
              <w:pStyle w:val="16"/>
              <w:keepNext w:val="0"/>
              <w:keepLines w:val="0"/>
              <w:suppressLineNumbers w:val="0"/>
              <w:spacing w:beforeAutospacing="0" w:after="0" w:afterAutospacing="0"/>
              <w:ind w:left="0" w:right="0"/>
              <w:rPr>
                <w:rFonts w:hint="eastAsia"/>
                <w:color w:val="auto"/>
                <w:highlight w:val="none"/>
              </w:rPr>
            </w:pPr>
            <w:r>
              <w:rPr>
                <w:rFonts w:hint="eastAsia"/>
                <w:color w:val="auto"/>
                <w:highlight w:val="none"/>
              </w:rPr>
              <w:t>表2-1  项目整体工程建设</w:t>
            </w:r>
            <w:r>
              <w:rPr>
                <w:rFonts w:hint="eastAsia"/>
                <w:color w:val="auto"/>
                <w:highlight w:val="none"/>
                <w:lang w:val="en-US" w:eastAsia="zh-CN"/>
              </w:rPr>
              <w:t>规模</w:t>
            </w:r>
            <w:r>
              <w:rPr>
                <w:rFonts w:hint="eastAsia"/>
                <w:color w:val="auto"/>
                <w:highlight w:val="none"/>
              </w:rPr>
              <w:t>一览表</w:t>
            </w:r>
          </w:p>
          <w:tbl>
            <w:tblPr>
              <w:tblStyle w:val="12"/>
              <w:tblW w:w="8560"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39"/>
              <w:gridCol w:w="1108"/>
              <w:gridCol w:w="571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1739" w:type="dxa"/>
                  <w:tcBorders>
                    <w:tl2br w:val="nil"/>
                    <w:tr2bl w:val="nil"/>
                  </w:tcBorders>
                  <w:vAlign w:val="center"/>
                </w:tcPr>
                <w:p>
                  <w:pPr>
                    <w:pStyle w:val="15"/>
                    <w:keepNext w:val="0"/>
                    <w:keepLines w:val="0"/>
                    <w:suppressLineNumbers w:val="0"/>
                    <w:spacing w:before="0" w:beforeAutospacing="0" w:after="0" w:afterAutospacing="0"/>
                    <w:ind w:left="0" w:right="0"/>
                    <w:jc w:val="center"/>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工程名称</w:t>
                  </w:r>
                </w:p>
              </w:tc>
              <w:tc>
                <w:tcPr>
                  <w:tcW w:w="1108" w:type="dxa"/>
                  <w:tcBorders>
                    <w:right w:val="single" w:color="000000" w:sz="4" w:space="0"/>
                    <w:tl2br w:val="nil"/>
                    <w:tr2bl w:val="nil"/>
                  </w:tcBorders>
                  <w:vAlign w:val="center"/>
                </w:tcPr>
                <w:p>
                  <w:pPr>
                    <w:pStyle w:val="15"/>
                    <w:keepNext w:val="0"/>
                    <w:keepLines w:val="0"/>
                    <w:suppressLineNumbers w:val="0"/>
                    <w:spacing w:before="0" w:beforeAutospacing="0" w:after="0" w:afterAutospacing="0"/>
                    <w:ind w:left="0" w:right="0"/>
                    <w:jc w:val="center"/>
                    <w:rPr>
                      <w:rFonts w:hint="default" w:ascii="Times New Roman" w:hAnsi="Times New Roman" w:cs="Times New Roman"/>
                      <w:b/>
                      <w:bCs/>
                      <w:color w:val="auto"/>
                      <w:highlight w:val="none"/>
                      <w:lang w:val="en-US" w:eastAsia="zh-CN"/>
                    </w:rPr>
                  </w:pPr>
                  <w:r>
                    <w:rPr>
                      <w:rFonts w:hint="eastAsia" w:cs="Times New Roman"/>
                      <w:b/>
                      <w:bCs/>
                      <w:color w:val="auto"/>
                      <w:highlight w:val="none"/>
                      <w:lang w:val="en-US" w:eastAsia="zh-CN"/>
                    </w:rPr>
                    <w:t>河流</w:t>
                  </w:r>
                </w:p>
              </w:tc>
              <w:tc>
                <w:tcPr>
                  <w:tcW w:w="5713" w:type="dxa"/>
                  <w:tcBorders>
                    <w:left w:val="single" w:color="000000" w:sz="4" w:space="0"/>
                    <w:tl2br w:val="nil"/>
                    <w:tr2bl w:val="nil"/>
                  </w:tcBorders>
                  <w:vAlign w:val="center"/>
                </w:tcPr>
                <w:p>
                  <w:pPr>
                    <w:pStyle w:val="15"/>
                    <w:keepNext w:val="0"/>
                    <w:keepLines w:val="0"/>
                    <w:suppressLineNumbers w:val="0"/>
                    <w:spacing w:before="0" w:beforeAutospacing="0" w:after="0" w:afterAutospacing="0"/>
                    <w:ind w:left="0" w:right="0"/>
                    <w:jc w:val="center"/>
                    <w:rPr>
                      <w:rFonts w:hint="eastAsia" w:ascii="Times New Roman" w:hAnsi="Times New Roman" w:cs="Times New Roman"/>
                      <w:b/>
                      <w:bCs/>
                      <w:color w:val="auto"/>
                      <w:highlight w:val="none"/>
                      <w:lang w:val="en-US" w:eastAsia="zh-CN"/>
                    </w:rPr>
                  </w:pPr>
                  <w:r>
                    <w:rPr>
                      <w:rFonts w:hint="eastAsia" w:ascii="Times New Roman" w:hAnsi="Times New Roman" w:cs="Times New Roman"/>
                      <w:b/>
                      <w:bCs/>
                      <w:color w:val="auto"/>
                      <w:highlight w:val="none"/>
                      <w:lang w:val="en-US" w:eastAsia="zh-CN"/>
                    </w:rPr>
                    <w:t>工程规模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1739" w:type="dxa"/>
                  <w:vMerge w:val="restart"/>
                  <w:tcBorders>
                    <w:tl2br w:val="nil"/>
                    <w:tr2bl w:val="nil"/>
                  </w:tcBorders>
                  <w:vAlign w:val="center"/>
                </w:tcPr>
                <w:p>
                  <w:pPr>
                    <w:pStyle w:val="15"/>
                    <w:keepNext w:val="0"/>
                    <w:keepLines w:val="0"/>
                    <w:suppressLineNumbers w:val="0"/>
                    <w:spacing w:before="0" w:beforeAutospacing="0" w:after="0" w:afterAutospacing="0"/>
                    <w:ind w:left="0" w:right="0"/>
                    <w:jc w:val="center"/>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新建</w:t>
                  </w:r>
                  <w:r>
                    <w:rPr>
                      <w:rFonts w:hint="default" w:ascii="Times New Roman" w:hAnsi="Times New Roman" w:cs="Times New Roman"/>
                      <w:color w:val="auto"/>
                      <w:highlight w:val="none"/>
                    </w:rPr>
                    <w:t>堤防</w:t>
                  </w:r>
                  <w:r>
                    <w:rPr>
                      <w:rFonts w:hint="default" w:ascii="Times New Roman" w:hAnsi="Times New Roman" w:cs="Times New Roman"/>
                      <w:color w:val="auto"/>
                      <w:highlight w:val="none"/>
                      <w:lang w:val="en-US" w:eastAsia="zh-CN"/>
                    </w:rPr>
                    <w:t>工程</w:t>
                  </w:r>
                </w:p>
              </w:tc>
              <w:tc>
                <w:tcPr>
                  <w:tcW w:w="1108" w:type="dxa"/>
                  <w:tcBorders>
                    <w:right w:val="single" w:color="000000" w:sz="4" w:space="0"/>
                    <w:tl2br w:val="nil"/>
                    <w:tr2bl w:val="nil"/>
                  </w:tcBorders>
                  <w:vAlign w:val="center"/>
                </w:tcPr>
                <w:p>
                  <w:pPr>
                    <w:pStyle w:val="15"/>
                    <w:keepNext w:val="0"/>
                    <w:keepLines w:val="0"/>
                    <w:suppressLineNumbers w:val="0"/>
                    <w:spacing w:before="0" w:beforeAutospacing="0" w:after="0" w:afterAutospacing="0"/>
                    <w:ind w:left="0" w:right="0"/>
                    <w:jc w:val="center"/>
                    <w:rPr>
                      <w:rFonts w:hint="default" w:ascii="Times New Roman" w:hAnsi="Times New Roman" w:cs="Times New Roman"/>
                      <w:color w:val="auto"/>
                      <w:highlight w:val="none"/>
                      <w:lang w:val="en-US" w:eastAsia="zh-CN"/>
                    </w:rPr>
                  </w:pPr>
                  <w:r>
                    <w:rPr>
                      <w:rFonts w:hint="eastAsia"/>
                      <w:color w:val="auto"/>
                      <w:highlight w:val="none"/>
                      <w:lang w:val="en-US" w:eastAsia="zh-CN"/>
                    </w:rPr>
                    <w:t>油坊沟</w:t>
                  </w:r>
                </w:p>
              </w:tc>
              <w:tc>
                <w:tcPr>
                  <w:tcW w:w="5713" w:type="dxa"/>
                  <w:tcBorders>
                    <w:left w:val="single" w:color="000000" w:sz="4" w:space="0"/>
                    <w:tl2br w:val="nil"/>
                    <w:tr2bl w:val="nil"/>
                  </w:tcBorders>
                  <w:vAlign w:val="center"/>
                </w:tcPr>
                <w:p>
                  <w:pPr>
                    <w:pStyle w:val="15"/>
                    <w:keepNext w:val="0"/>
                    <w:keepLines w:val="0"/>
                    <w:suppressLineNumbers w:val="0"/>
                    <w:spacing w:before="0" w:beforeAutospacing="0" w:after="0" w:afterAutospacing="0"/>
                    <w:ind w:left="0" w:leftChars="0" w:right="0" w:rightChars="0" w:firstLine="0" w:firstLine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highlight w:val="none"/>
                    </w:rPr>
                    <w:t>新建堤防</w:t>
                  </w:r>
                  <w:r>
                    <w:rPr>
                      <w:rFonts w:hint="eastAsia"/>
                      <w:color w:val="auto"/>
                      <w:highlight w:val="none"/>
                      <w:lang w:val="en-US" w:eastAsia="zh-CN"/>
                    </w:rPr>
                    <w:t>566.81</w:t>
                  </w:r>
                  <w:r>
                    <w:rPr>
                      <w:rFonts w:hint="eastAsia"/>
                      <w:color w:val="auto"/>
                      <w:highlight w:val="none"/>
                    </w:rPr>
                    <w:t>m，其中左岸</w:t>
                  </w:r>
                  <w:r>
                    <w:rPr>
                      <w:rFonts w:hint="eastAsia"/>
                      <w:color w:val="auto"/>
                      <w:highlight w:val="none"/>
                      <w:lang w:val="en-US" w:eastAsia="zh-CN"/>
                    </w:rPr>
                    <w:t>160.65</w:t>
                  </w:r>
                  <w:r>
                    <w:rPr>
                      <w:rFonts w:hint="eastAsia"/>
                      <w:color w:val="auto"/>
                      <w:highlight w:val="none"/>
                    </w:rPr>
                    <w:t>m</w:t>
                  </w:r>
                  <w:r>
                    <w:rPr>
                      <w:rFonts w:hint="default"/>
                      <w:color w:val="auto"/>
                      <w:highlight w:val="none"/>
                    </w:rPr>
                    <w:t>，</w:t>
                  </w:r>
                  <w:r>
                    <w:rPr>
                      <w:rFonts w:hint="eastAsia"/>
                      <w:color w:val="auto"/>
                      <w:highlight w:val="none"/>
                    </w:rPr>
                    <w:t>右岸</w:t>
                  </w:r>
                  <w:r>
                    <w:rPr>
                      <w:rFonts w:hint="eastAsia"/>
                      <w:color w:val="auto"/>
                      <w:highlight w:val="none"/>
                      <w:lang w:val="en-US" w:eastAsia="zh-CN"/>
                    </w:rPr>
                    <w:t>406.16</w:t>
                  </w:r>
                  <w:r>
                    <w:rPr>
                      <w:rFonts w:hint="eastAsia"/>
                      <w:color w:val="auto"/>
                      <w:highlight w:val="none"/>
                    </w:rPr>
                    <w:t>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1739" w:type="dxa"/>
                  <w:vMerge w:val="continue"/>
                  <w:tcBorders>
                    <w:tl2br w:val="nil"/>
                    <w:tr2bl w:val="nil"/>
                  </w:tcBorders>
                  <w:vAlign w:val="center"/>
                </w:tcPr>
                <w:p>
                  <w:pPr>
                    <w:pStyle w:val="15"/>
                    <w:keepNext w:val="0"/>
                    <w:keepLines w:val="0"/>
                    <w:suppressLineNumbers w:val="0"/>
                    <w:spacing w:before="0" w:beforeAutospacing="0" w:after="0" w:afterAutospacing="0"/>
                    <w:ind w:left="0" w:right="0"/>
                    <w:jc w:val="center"/>
                    <w:rPr>
                      <w:rFonts w:hint="eastAsia" w:ascii="Times New Roman" w:hAnsi="Times New Roman" w:cs="Times New Roman"/>
                      <w:color w:val="auto"/>
                      <w:highlight w:val="none"/>
                      <w:lang w:val="en-US" w:eastAsia="zh-CN"/>
                    </w:rPr>
                  </w:pPr>
                </w:p>
              </w:tc>
              <w:tc>
                <w:tcPr>
                  <w:tcW w:w="1108" w:type="dxa"/>
                  <w:tcBorders>
                    <w:right w:val="single" w:color="000000" w:sz="4" w:space="0"/>
                    <w:tl2br w:val="nil"/>
                    <w:tr2bl w:val="nil"/>
                  </w:tcBorders>
                  <w:vAlign w:val="center"/>
                </w:tcPr>
                <w:p>
                  <w:pPr>
                    <w:pStyle w:val="15"/>
                    <w:keepNext w:val="0"/>
                    <w:keepLines w:val="0"/>
                    <w:suppressLineNumbers w:val="0"/>
                    <w:spacing w:before="0" w:beforeAutospacing="0" w:after="0" w:afterAutospacing="0"/>
                    <w:ind w:left="0" w:right="0"/>
                    <w:jc w:val="center"/>
                    <w:rPr>
                      <w:rFonts w:hint="eastAsia"/>
                      <w:color w:val="auto"/>
                      <w:highlight w:val="none"/>
                      <w:lang w:val="en-US" w:eastAsia="zh-CN"/>
                    </w:rPr>
                  </w:pPr>
                  <w:r>
                    <w:rPr>
                      <w:rFonts w:hint="eastAsia"/>
                      <w:color w:val="auto"/>
                      <w:highlight w:val="none"/>
                      <w:lang w:val="en-US" w:eastAsia="zh-CN"/>
                    </w:rPr>
                    <w:t>胡家河</w:t>
                  </w:r>
                </w:p>
              </w:tc>
              <w:tc>
                <w:tcPr>
                  <w:tcW w:w="5713" w:type="dxa"/>
                  <w:tcBorders>
                    <w:left w:val="single" w:color="000000" w:sz="4" w:space="0"/>
                    <w:tl2br w:val="nil"/>
                    <w:tr2bl w:val="nil"/>
                  </w:tcBorders>
                  <w:vAlign w:val="center"/>
                </w:tcPr>
                <w:p>
                  <w:pPr>
                    <w:pStyle w:val="15"/>
                    <w:keepNext w:val="0"/>
                    <w:keepLines w:val="0"/>
                    <w:suppressLineNumbers w:val="0"/>
                    <w:spacing w:before="0" w:beforeAutospacing="0" w:after="0" w:afterAutospacing="0"/>
                    <w:ind w:left="0" w:leftChars="0" w:right="0" w:rightChars="0" w:firstLine="0" w:firstLineChars="0"/>
                    <w:jc w:val="center"/>
                    <w:rPr>
                      <w:rFonts w:hint="eastAsia" w:ascii="Times New Roman" w:hAnsi="Times New Roman" w:eastAsia="宋体" w:cstheme="minorBidi"/>
                      <w:color w:val="auto"/>
                      <w:kern w:val="2"/>
                      <w:sz w:val="21"/>
                      <w:szCs w:val="21"/>
                      <w:highlight w:val="none"/>
                      <w:lang w:val="en-US" w:eastAsia="zh-CN" w:bidi="ar-SA"/>
                    </w:rPr>
                  </w:pPr>
                  <w:r>
                    <w:rPr>
                      <w:rFonts w:hint="eastAsia"/>
                      <w:color w:val="auto"/>
                      <w:highlight w:val="none"/>
                      <w:lang w:val="en-US" w:eastAsia="zh-CN"/>
                    </w:rPr>
                    <w:t>新建堤防777.56m，其中左岸583.28m，右岸194.28m</w:t>
                  </w:r>
                </w:p>
              </w:tc>
            </w:tr>
          </w:tbl>
          <w:p>
            <w:pPr>
              <w:bidi w:val="0"/>
              <w:rPr>
                <w:rFonts w:hint="default" w:ascii="Times New Roman" w:hAnsi="Times New Roman" w:cs="Times New Roman"/>
                <w:highlight w:val="none"/>
                <w:lang w:val="en-US" w:eastAsia="zh-CN"/>
              </w:rPr>
            </w:pPr>
            <w:r>
              <w:rPr>
                <w:rFonts w:hint="eastAsia" w:ascii="Times New Roman" w:hAnsi="Times New Roman" w:cs="Times New Roman"/>
                <w:color w:val="auto"/>
                <w:highlight w:val="none"/>
                <w:lang w:val="en-US" w:eastAsia="zh-CN"/>
              </w:rPr>
              <w:t>本项目</w:t>
            </w:r>
            <w:r>
              <w:rPr>
                <w:rFonts w:hint="default" w:ascii="Times New Roman" w:hAnsi="Times New Roman" w:cs="Times New Roman"/>
                <w:color w:val="auto"/>
                <w:highlight w:val="none"/>
              </w:rPr>
              <w:t>主要</w:t>
            </w:r>
            <w:r>
              <w:rPr>
                <w:rFonts w:hint="eastAsia" w:ascii="Times New Roman" w:hAnsi="Times New Roman" w:cs="Times New Roman"/>
                <w:color w:val="auto"/>
                <w:highlight w:val="none"/>
                <w:lang w:val="en-US" w:eastAsia="zh-CN"/>
              </w:rPr>
              <w:t>工程</w:t>
            </w:r>
            <w:r>
              <w:rPr>
                <w:rFonts w:hint="default" w:ascii="Times New Roman" w:hAnsi="Times New Roman" w:cs="Times New Roman"/>
                <w:color w:val="auto"/>
                <w:highlight w:val="none"/>
              </w:rPr>
              <w:t>组成及</w:t>
            </w:r>
            <w:r>
              <w:rPr>
                <w:rFonts w:hint="eastAsia" w:ascii="Times New Roman" w:hAnsi="Times New Roman" w:cs="Times New Roman"/>
                <w:color w:val="auto"/>
                <w:highlight w:val="none"/>
                <w:lang w:val="en-US" w:eastAsia="zh-CN"/>
              </w:rPr>
              <w:t>建设内容规模如下表2-2。</w:t>
            </w:r>
          </w:p>
          <w:p>
            <w:pPr>
              <w:pStyle w:val="16"/>
              <w:bidi w:val="0"/>
              <w:rPr>
                <w:rFonts w:hint="default"/>
                <w:highlight w:val="none"/>
                <w:lang w:val="en-US" w:eastAsia="zh-CN"/>
              </w:rPr>
            </w:pPr>
            <w:r>
              <w:rPr>
                <w:rFonts w:hint="default"/>
                <w:highlight w:val="none"/>
              </w:rPr>
              <w:t xml:space="preserve">表2-2   </w:t>
            </w:r>
            <w:r>
              <w:rPr>
                <w:rFonts w:hint="eastAsia"/>
                <w:highlight w:val="none"/>
                <w:lang w:val="en-US" w:eastAsia="zh-CN"/>
              </w:rPr>
              <w:t>工程组成及建设内容一览表</w:t>
            </w:r>
          </w:p>
          <w:tbl>
            <w:tblPr>
              <w:tblStyle w:val="11"/>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68"/>
              <w:gridCol w:w="397"/>
              <w:gridCol w:w="415"/>
              <w:gridCol w:w="697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680" w:hRule="atLeast"/>
                <w:jc w:val="center"/>
              </w:trPr>
              <w:tc>
                <w:tcPr>
                  <w:tcW w:w="448" w:type="pct"/>
                  <w:tcBorders>
                    <w:tl2br w:val="nil"/>
                    <w:tr2bl w:val="nil"/>
                  </w:tcBorders>
                  <w:noWrap w:val="0"/>
                  <w:vAlign w:val="center"/>
                </w:tcPr>
                <w:p>
                  <w:pPr>
                    <w:pStyle w:val="15"/>
                    <w:keepNext w:val="0"/>
                    <w:keepLines w:val="0"/>
                    <w:suppressLineNumbers w:val="0"/>
                    <w:bidi w:val="0"/>
                    <w:spacing w:before="0" w:beforeAutospacing="0" w:after="0" w:afterAutospacing="0"/>
                    <w:ind w:left="0" w:right="0"/>
                    <w:rPr>
                      <w:rFonts w:hint="default" w:ascii="Times New Roman" w:hAnsi="Times New Roman" w:eastAsia="宋体" w:cs="Times New Roman"/>
                      <w:b/>
                      <w:bCs/>
                      <w:color w:val="auto"/>
                      <w:highlight w:val="none"/>
                      <w:u w:val="none"/>
                      <w:lang w:val="en-US" w:eastAsia="zh-CN"/>
                    </w:rPr>
                  </w:pPr>
                  <w:r>
                    <w:rPr>
                      <w:rFonts w:hint="default" w:ascii="Times New Roman" w:hAnsi="Times New Roman" w:cs="Times New Roman"/>
                      <w:b/>
                      <w:bCs/>
                      <w:color w:val="auto"/>
                      <w:highlight w:val="none"/>
                      <w:u w:val="none"/>
                      <w:lang w:val="en-US" w:eastAsia="zh-CN"/>
                    </w:rPr>
                    <w:t>工程名称</w:t>
                  </w:r>
                </w:p>
              </w:tc>
              <w:tc>
                <w:tcPr>
                  <w:tcW w:w="474" w:type="pct"/>
                  <w:gridSpan w:val="2"/>
                  <w:tcBorders>
                    <w:tl2br w:val="nil"/>
                    <w:tr2bl w:val="nil"/>
                  </w:tcBorders>
                  <w:noWrap w:val="0"/>
                  <w:vAlign w:val="center"/>
                </w:tcPr>
                <w:p>
                  <w:pPr>
                    <w:pStyle w:val="15"/>
                    <w:keepNext w:val="0"/>
                    <w:keepLines w:val="0"/>
                    <w:suppressLineNumbers w:val="0"/>
                    <w:bidi w:val="0"/>
                    <w:spacing w:before="0" w:beforeAutospacing="0" w:after="0" w:afterAutospacing="0"/>
                    <w:ind w:left="0" w:right="0"/>
                    <w:rPr>
                      <w:rFonts w:hint="default" w:ascii="Times New Roman" w:hAnsi="Times New Roman" w:eastAsia="宋体" w:cs="Times New Roman"/>
                      <w:b/>
                      <w:bCs/>
                      <w:color w:val="auto"/>
                      <w:highlight w:val="none"/>
                      <w:u w:val="none"/>
                      <w:lang w:val="en-US" w:eastAsia="zh-CN"/>
                    </w:rPr>
                  </w:pPr>
                  <w:r>
                    <w:rPr>
                      <w:rFonts w:hint="default" w:ascii="Times New Roman" w:hAnsi="Times New Roman" w:cs="Times New Roman"/>
                      <w:b/>
                      <w:bCs/>
                      <w:color w:val="auto"/>
                      <w:highlight w:val="none"/>
                      <w:u w:val="none"/>
                      <w:lang w:val="en-US" w:eastAsia="zh-CN"/>
                    </w:rPr>
                    <w:t>工程内容</w:t>
                  </w:r>
                </w:p>
              </w:tc>
              <w:tc>
                <w:tcPr>
                  <w:tcW w:w="4076" w:type="pct"/>
                  <w:tcBorders>
                    <w:tl2br w:val="nil"/>
                    <w:tr2bl w:val="nil"/>
                  </w:tcBorders>
                  <w:noWrap w:val="0"/>
                  <w:vAlign w:val="center"/>
                </w:tcPr>
                <w:p>
                  <w:pPr>
                    <w:pStyle w:val="15"/>
                    <w:keepNext w:val="0"/>
                    <w:keepLines w:val="0"/>
                    <w:suppressLineNumbers w:val="0"/>
                    <w:bidi w:val="0"/>
                    <w:spacing w:before="0" w:beforeAutospacing="0" w:after="0" w:afterAutospacing="0"/>
                    <w:ind w:left="0" w:right="0"/>
                    <w:jc w:val="center"/>
                    <w:rPr>
                      <w:rFonts w:hint="default" w:ascii="Times New Roman" w:hAnsi="Times New Roman" w:cs="Times New Roman"/>
                      <w:b/>
                      <w:bCs/>
                      <w:color w:val="auto"/>
                      <w:highlight w:val="none"/>
                      <w:u w:val="none"/>
                    </w:rPr>
                  </w:pPr>
                  <w:r>
                    <w:rPr>
                      <w:rFonts w:hint="default" w:ascii="Times New Roman" w:hAnsi="Times New Roman" w:cs="Times New Roman"/>
                      <w:b/>
                      <w:bCs/>
                      <w:color w:val="auto"/>
                      <w:highlight w:val="none"/>
                      <w:u w:val="none"/>
                      <w:lang w:val="en-US" w:eastAsia="zh-CN"/>
                    </w:rPr>
                    <w:t>建设</w:t>
                  </w:r>
                  <w:r>
                    <w:rPr>
                      <w:rFonts w:hint="default" w:ascii="Times New Roman" w:hAnsi="Times New Roman" w:cs="Times New Roman"/>
                      <w:b/>
                      <w:bCs/>
                      <w:color w:val="auto"/>
                      <w:highlight w:val="none"/>
                      <w:u w:val="none"/>
                    </w:rPr>
                    <w:t>规模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48" w:type="pct"/>
                  <w:vMerge w:val="restart"/>
                  <w:tcBorders>
                    <w:tl2br w:val="nil"/>
                    <w:tr2bl w:val="nil"/>
                  </w:tcBorders>
                  <w:noWrap w:val="0"/>
                  <w:vAlign w:val="center"/>
                </w:tcPr>
                <w:p>
                  <w:pPr>
                    <w:pStyle w:val="15"/>
                    <w:keepNext w:val="0"/>
                    <w:keepLines w:val="0"/>
                    <w:suppressLineNumbers w:val="0"/>
                    <w:bidi w:val="0"/>
                    <w:spacing w:before="0" w:beforeAutospacing="0" w:after="0" w:afterAutospacing="0"/>
                    <w:ind w:left="0" w:right="0"/>
                    <w:jc w:val="both"/>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rPr>
                    <w:t>主体工程</w:t>
                  </w:r>
                </w:p>
              </w:tc>
              <w:tc>
                <w:tcPr>
                  <w:tcW w:w="474" w:type="pct"/>
                  <w:gridSpan w:val="2"/>
                  <w:tcBorders>
                    <w:tl2br w:val="nil"/>
                    <w:tr2bl w:val="nil"/>
                  </w:tcBorders>
                  <w:noWrap w:val="0"/>
                  <w:vAlign w:val="center"/>
                </w:tcPr>
                <w:p>
                  <w:pPr>
                    <w:pStyle w:val="15"/>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highlight w:val="none"/>
                      <w:u w:val="none"/>
                    </w:rPr>
                  </w:pPr>
                  <w:r>
                    <w:rPr>
                      <w:rFonts w:hint="default" w:ascii="Times New Roman" w:hAnsi="Times New Roman" w:cs="Times New Roman"/>
                      <w:b w:val="0"/>
                      <w:bCs w:val="0"/>
                      <w:color w:val="auto"/>
                      <w:highlight w:val="none"/>
                      <w:u w:val="none"/>
                    </w:rPr>
                    <w:t>堤防工程</w:t>
                  </w:r>
                </w:p>
              </w:tc>
              <w:tc>
                <w:tcPr>
                  <w:tcW w:w="4076" w:type="pct"/>
                  <w:tcBorders>
                    <w:tl2br w:val="nil"/>
                    <w:tr2bl w:val="nil"/>
                  </w:tcBorders>
                  <w:noWrap w:val="0"/>
                  <w:vAlign w:val="center"/>
                </w:tcPr>
                <w:p>
                  <w:pPr>
                    <w:pStyle w:val="15"/>
                    <w:bidi w:val="0"/>
                    <w:jc w:val="left"/>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本项目</w:t>
                  </w:r>
                  <w:r>
                    <w:rPr>
                      <w:rFonts w:hint="default" w:ascii="Times New Roman" w:hAnsi="Times New Roman" w:cs="Times New Roman"/>
                      <w:highlight w:val="none"/>
                    </w:rPr>
                    <w:t>工程位于宣汉县胡家镇，按河沟分主要分布在油坊沟和胡家河两条河上。油坊沟上段右岸堤防起止点为黄家湾桥至下游已成堤防，新建堤防长度406.16m，油坊沟下段左岸堤防位于冯家坝，新建堤防长度160.65m，</w:t>
                  </w:r>
                  <w:r>
                    <w:rPr>
                      <w:rFonts w:hint="default" w:ascii="Times New Roman" w:hAnsi="Times New Roman" w:cs="Times New Roman"/>
                      <w:highlight w:val="none"/>
                      <w:lang w:val="en-US" w:eastAsia="zh-CN"/>
                    </w:rPr>
                    <w:t>胡</w:t>
                  </w:r>
                  <w:r>
                    <w:rPr>
                      <w:rFonts w:hint="default" w:ascii="Times New Roman" w:hAnsi="Times New Roman" w:cs="Times New Roman"/>
                      <w:highlight w:val="none"/>
                    </w:rPr>
                    <w:t>家河上段左岸堤防位于后营坝，新建堤防长度583.28m，胡家河下段右岸堤防起止点为花房子公路桥至黄花城段堤防，新建堤防长度194.28m</w:t>
                  </w: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总体布局具体如下：</w:t>
                  </w:r>
                </w:p>
                <w:p>
                  <w:pPr>
                    <w:pStyle w:val="15"/>
                    <w:bidi w:val="0"/>
                    <w:jc w:val="left"/>
                    <w:rPr>
                      <w:rFonts w:hint="default" w:ascii="Times New Roman" w:hAnsi="Times New Roman" w:cs="Times New Roman"/>
                      <w:highlight w:val="none"/>
                      <w:lang w:val="en-US" w:eastAsia="zh-CN"/>
                    </w:rPr>
                  </w:pPr>
                  <w:r>
                    <w:rPr>
                      <w:rFonts w:hint="default" w:ascii="Times New Roman" w:hAnsi="Times New Roman" w:cs="Times New Roman"/>
                      <w:highlight w:val="none"/>
                      <w:lang w:eastAsia="zh-CN"/>
                    </w:rPr>
                    <w:t>①</w:t>
                  </w:r>
                  <w:r>
                    <w:rPr>
                      <w:rFonts w:hint="default" w:ascii="Times New Roman" w:hAnsi="Times New Roman" w:cs="Times New Roman"/>
                      <w:highlight w:val="none"/>
                      <w:lang w:val="en-US" w:eastAsia="zh-CN"/>
                    </w:rPr>
                    <w:t>油坊沟：设计堤距为</w:t>
                  </w:r>
                  <w:r>
                    <w:rPr>
                      <w:rFonts w:hint="default" w:ascii="Times New Roman" w:hAnsi="Times New Roman" w:cs="Times New Roman"/>
                      <w:highlight w:val="none"/>
                    </w:rPr>
                    <w:t>15.0~25.0m</w:t>
                  </w:r>
                  <w:r>
                    <w:rPr>
                      <w:rFonts w:hint="default" w:ascii="Times New Roman" w:hAnsi="Times New Roman" w:cs="Times New Roman"/>
                      <w:highlight w:val="none"/>
                      <w:lang w:eastAsia="zh-CN"/>
                    </w:rPr>
                    <w:t>，</w:t>
                  </w:r>
                  <w:r>
                    <w:rPr>
                      <w:rFonts w:hint="default" w:ascii="Times New Roman" w:hAnsi="Times New Roman" w:cs="Times New Roman"/>
                      <w:highlight w:val="none"/>
                    </w:rPr>
                    <w:t>堤线沿</w:t>
                  </w:r>
                  <w:r>
                    <w:rPr>
                      <w:rFonts w:hint="default" w:ascii="Times New Roman" w:hAnsi="Times New Roman" w:cs="Times New Roman"/>
                      <w:highlight w:val="none"/>
                      <w:lang w:val="en-US" w:eastAsia="zh-CN"/>
                    </w:rPr>
                    <w:t>河道</w:t>
                  </w:r>
                  <w:r>
                    <w:rPr>
                      <w:rFonts w:hint="default" w:ascii="Times New Roman" w:hAnsi="Times New Roman" w:cs="Times New Roman"/>
                      <w:highlight w:val="none"/>
                    </w:rPr>
                    <w:t>现状河岸布置</w:t>
                  </w:r>
                  <w:r>
                    <w:rPr>
                      <w:rFonts w:hint="default" w:ascii="Times New Roman" w:hAnsi="Times New Roman" w:cs="Times New Roman"/>
                      <w:highlight w:val="none"/>
                      <w:lang w:eastAsia="zh-CN"/>
                    </w:rPr>
                    <w:t>。</w:t>
                  </w:r>
                  <w:r>
                    <w:rPr>
                      <w:rFonts w:hint="default" w:ascii="Times New Roman" w:hAnsi="Times New Roman" w:cs="Times New Roman"/>
                      <w:highlight w:val="none"/>
                    </w:rPr>
                    <w:t>右岸堤防设计为重力式挡墙，高4.3m，面坡坡比为1:0.1，背坡坡</w:t>
                  </w:r>
                  <w:r>
                    <w:rPr>
                      <w:rFonts w:hint="default" w:ascii="Times New Roman" w:hAnsi="Times New Roman" w:cs="Times New Roman"/>
                      <w:highlight w:val="none"/>
                      <w:lang w:val="en-US" w:eastAsia="zh-CN"/>
                    </w:rPr>
                    <w:t>比</w:t>
                  </w:r>
                  <w:r>
                    <w:rPr>
                      <w:rFonts w:hint="default" w:ascii="Times New Roman" w:hAnsi="Times New Roman" w:cs="Times New Roman"/>
                      <w:highlight w:val="none"/>
                    </w:rPr>
                    <w:t>1:0.35</w:t>
                  </w:r>
                  <w:r>
                    <w:rPr>
                      <w:rFonts w:hint="default" w:ascii="Times New Roman" w:hAnsi="Times New Roman" w:cs="Times New Roman"/>
                      <w:highlight w:val="none"/>
                      <w:lang w:eastAsia="zh-CN"/>
                    </w:rPr>
                    <w:t>；</w:t>
                  </w:r>
                  <w:r>
                    <w:rPr>
                      <w:rFonts w:hint="default" w:ascii="Times New Roman" w:hAnsi="Times New Roman" w:cs="Times New Roman"/>
                      <w:highlight w:val="none"/>
                    </w:rPr>
                    <w:t>左岸堤防设计为重力式挡墙，高4.8m，面坡坡比为1:0.1，背坡坡比为1:0.35。挡墙每隔10m设置沉降缝一道，缝宽2cm，缝内采用沥青杉木板填缝</w:t>
                  </w:r>
                  <w:r>
                    <w:rPr>
                      <w:rFonts w:hint="default" w:ascii="Times New Roman" w:hAnsi="Times New Roman" w:cs="Times New Roman"/>
                      <w:highlight w:val="none"/>
                      <w:lang w:eastAsia="zh-CN"/>
                    </w:rPr>
                    <w:t>。</w:t>
                  </w:r>
                  <w:r>
                    <w:rPr>
                      <w:rFonts w:hint="default" w:ascii="Times New Roman" w:hAnsi="Times New Roman" w:cs="Times New Roman"/>
                      <w:highlight w:val="none"/>
                    </w:rPr>
                    <w:t>堤顶宽度为3.0m，堤顶道路结构为20cm的C30砼硬化和20cm的砂砾石垫层，外侧设计30cm×40cm的C25砼稳定梁。</w:t>
                  </w:r>
                </w:p>
                <w:p>
                  <w:pPr>
                    <w:pStyle w:val="15"/>
                    <w:bidi w:val="0"/>
                    <w:jc w:val="left"/>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②胡家河：设计堤距为</w:t>
                  </w:r>
                  <w:r>
                    <w:rPr>
                      <w:rFonts w:hint="default" w:ascii="Times New Roman" w:hAnsi="Times New Roman" w:cs="Times New Roman"/>
                      <w:highlight w:val="none"/>
                    </w:rPr>
                    <w:t>15.0~25.0m</w:t>
                  </w:r>
                  <w:r>
                    <w:rPr>
                      <w:rFonts w:hint="default" w:ascii="Times New Roman" w:hAnsi="Times New Roman" w:cs="Times New Roman"/>
                      <w:highlight w:val="none"/>
                      <w:lang w:eastAsia="zh-CN"/>
                    </w:rPr>
                    <w:t>，</w:t>
                  </w:r>
                  <w:r>
                    <w:rPr>
                      <w:rFonts w:hint="default" w:ascii="Times New Roman" w:hAnsi="Times New Roman" w:cs="Times New Roman"/>
                      <w:highlight w:val="none"/>
                    </w:rPr>
                    <w:t>堤线沿</w:t>
                  </w:r>
                  <w:r>
                    <w:rPr>
                      <w:rFonts w:hint="default" w:ascii="Times New Roman" w:hAnsi="Times New Roman" w:cs="Times New Roman"/>
                      <w:highlight w:val="none"/>
                      <w:lang w:val="en-US" w:eastAsia="zh-CN"/>
                    </w:rPr>
                    <w:t>河道</w:t>
                  </w:r>
                  <w:r>
                    <w:rPr>
                      <w:rFonts w:hint="default" w:ascii="Times New Roman" w:hAnsi="Times New Roman" w:cs="Times New Roman"/>
                      <w:highlight w:val="none"/>
                    </w:rPr>
                    <w:t>现状河岸布置</w:t>
                  </w:r>
                  <w:r>
                    <w:rPr>
                      <w:rFonts w:hint="default" w:ascii="Times New Roman" w:hAnsi="Times New Roman" w:cs="Times New Roman"/>
                      <w:highlight w:val="none"/>
                      <w:lang w:eastAsia="zh-CN"/>
                    </w:rPr>
                    <w:t>。</w:t>
                  </w:r>
                  <w:r>
                    <w:rPr>
                      <w:rFonts w:hint="default" w:ascii="Times New Roman" w:hAnsi="Times New Roman" w:cs="Times New Roman"/>
                      <w:highlight w:val="none"/>
                    </w:rPr>
                    <w:t>左岸堤防设计为衡重式挡墙，高4.0m，面坡为1:0.1，上部内坡为1:0.35，台宽1.0m，高2.0m，下部内坡为1:0.5，高2.0m，挡墙为C25砼结构。右岸堤防设计为衡重式挡墙，堤顶高程与左岸堤防保持一致，高3.5~6.0m，面坡为1:0.1，上部内坡为1:0.35，台宽0.6m，下部内坡为1:0.5，挡墙为C25砼结构。堤顶宽度为3.0m，堤顶道路结构为20cm的C30砼硬化和20cm的砂砾石垫层，外侧设计30cm×40cm的C25砼稳定梁。</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48" w:type="pct"/>
                  <w:vMerge w:val="continue"/>
                  <w:tcBorders>
                    <w:tl2br w:val="nil"/>
                    <w:tr2bl w:val="nil"/>
                  </w:tcBorders>
                  <w:noWrap w:val="0"/>
                  <w:vAlign w:val="center"/>
                </w:tcPr>
                <w:p>
                  <w:pPr>
                    <w:pStyle w:val="15"/>
                    <w:keepNext w:val="0"/>
                    <w:keepLines w:val="0"/>
                    <w:suppressLineNumbers w:val="0"/>
                    <w:bidi w:val="0"/>
                    <w:spacing w:before="0" w:beforeAutospacing="0" w:after="0" w:afterAutospacing="0"/>
                    <w:ind w:left="0" w:right="0"/>
                    <w:jc w:val="both"/>
                    <w:rPr>
                      <w:rFonts w:hint="default" w:ascii="Times New Roman" w:hAnsi="Times New Roman" w:cs="Times New Roman"/>
                      <w:color w:val="auto"/>
                      <w:highlight w:val="none"/>
                      <w:u w:val="none"/>
                    </w:rPr>
                  </w:pPr>
                </w:p>
              </w:tc>
              <w:tc>
                <w:tcPr>
                  <w:tcW w:w="474" w:type="pct"/>
                  <w:gridSpan w:val="2"/>
                  <w:tcBorders>
                    <w:tl2br w:val="nil"/>
                    <w:tr2bl w:val="nil"/>
                  </w:tcBorders>
                  <w:noWrap w:val="0"/>
                  <w:vAlign w:val="center"/>
                </w:tcPr>
                <w:p>
                  <w:pPr>
                    <w:pStyle w:val="15"/>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排涝工程</w:t>
                  </w:r>
                </w:p>
              </w:tc>
              <w:tc>
                <w:tcPr>
                  <w:tcW w:w="4076" w:type="pct"/>
                  <w:tcBorders>
                    <w:tl2br w:val="nil"/>
                    <w:tr2bl w:val="nil"/>
                  </w:tcBorders>
                  <w:noWrap w:val="0"/>
                  <w:vAlign w:val="center"/>
                </w:tcPr>
                <w:p>
                  <w:pPr>
                    <w:pStyle w:val="15"/>
                    <w:bidi w:val="0"/>
                    <w:jc w:val="left"/>
                    <w:rPr>
                      <w:rFonts w:hint="default"/>
                      <w:highlight w:val="none"/>
                    </w:rPr>
                  </w:pPr>
                  <w:r>
                    <w:rPr>
                      <w:highlight w:val="none"/>
                    </w:rPr>
                    <w:t>根据工程现状，顺堤每隔300m设置一根DN300 PE管接人行步道及生态边坡截水沟，坡面洪水通过排水管直接下河。本工程设4处。</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48" w:type="pct"/>
                  <w:vMerge w:val="continue"/>
                  <w:tcBorders>
                    <w:tl2br w:val="nil"/>
                    <w:tr2bl w:val="nil"/>
                  </w:tcBorders>
                  <w:noWrap w:val="0"/>
                  <w:vAlign w:val="center"/>
                </w:tcPr>
                <w:p>
                  <w:pPr>
                    <w:pStyle w:val="15"/>
                    <w:keepNext w:val="0"/>
                    <w:keepLines w:val="0"/>
                    <w:suppressLineNumbers w:val="0"/>
                    <w:bidi w:val="0"/>
                    <w:spacing w:before="0" w:beforeAutospacing="0" w:after="0" w:afterAutospacing="0"/>
                    <w:ind w:left="0" w:right="0"/>
                    <w:jc w:val="both"/>
                    <w:rPr>
                      <w:rFonts w:hint="default" w:ascii="Times New Roman" w:hAnsi="Times New Roman" w:cs="Times New Roman"/>
                      <w:color w:val="auto"/>
                      <w:highlight w:val="none"/>
                      <w:u w:val="none"/>
                    </w:rPr>
                  </w:pPr>
                </w:p>
              </w:tc>
              <w:tc>
                <w:tcPr>
                  <w:tcW w:w="474" w:type="pct"/>
                  <w:gridSpan w:val="2"/>
                  <w:tcBorders>
                    <w:tl2br w:val="nil"/>
                    <w:tr2bl w:val="nil"/>
                  </w:tcBorders>
                  <w:noWrap w:val="0"/>
                  <w:vAlign w:val="center"/>
                </w:tcPr>
                <w:p>
                  <w:pPr>
                    <w:pStyle w:val="15"/>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rPr>
                    <w:t>堤后回填</w:t>
                  </w:r>
                </w:p>
              </w:tc>
              <w:tc>
                <w:tcPr>
                  <w:tcW w:w="4076" w:type="pct"/>
                  <w:tcBorders>
                    <w:tl2br w:val="nil"/>
                    <w:tr2bl w:val="nil"/>
                  </w:tcBorders>
                  <w:noWrap w:val="0"/>
                  <w:vAlign w:val="center"/>
                </w:tcPr>
                <w:p>
                  <w:pPr>
                    <w:pStyle w:val="15"/>
                    <w:bidi w:val="0"/>
                    <w:jc w:val="left"/>
                    <w:rPr>
                      <w:rFonts w:hint="default" w:ascii="Times New Roman" w:hAnsi="Times New Roman" w:eastAsia="宋体" w:cs="Times New Roman"/>
                      <w:highlight w:val="none"/>
                      <w:lang w:eastAsia="zh-CN"/>
                    </w:rPr>
                  </w:pPr>
                  <w:r>
                    <w:rPr>
                      <w:rFonts w:hint="default" w:ascii="Times New Roman" w:hAnsi="Times New Roman" w:cs="Times New Roman"/>
                      <w:color w:val="auto"/>
                      <w:highlight w:val="none"/>
                      <w:u w:val="none"/>
                    </w:rPr>
                    <w:t>新建堤防后堤回填，回填主要采用</w:t>
                  </w:r>
                  <w:r>
                    <w:rPr>
                      <w:rFonts w:hint="default" w:ascii="Times New Roman" w:hAnsi="Times New Roman" w:cs="Times New Roman"/>
                      <w:color w:val="auto"/>
                      <w:highlight w:val="none"/>
                      <w:u w:val="none"/>
                      <w:lang w:val="en-US" w:eastAsia="zh-CN"/>
                    </w:rPr>
                    <w:t>土</w:t>
                  </w:r>
                  <w:r>
                    <w:rPr>
                      <w:rFonts w:hint="default" w:ascii="Times New Roman" w:hAnsi="Times New Roman" w:cs="Times New Roman"/>
                      <w:color w:val="auto"/>
                      <w:highlight w:val="none"/>
                      <w:u w:val="none"/>
                    </w:rPr>
                    <w:t>石方进行回填，</w:t>
                  </w:r>
                  <w:r>
                    <w:rPr>
                      <w:rFonts w:hint="default" w:ascii="Times New Roman" w:hAnsi="Times New Roman" w:cs="Times New Roman"/>
                      <w:highlight w:val="none"/>
                    </w:rPr>
                    <w:t>总填筑量</w:t>
                  </w:r>
                  <w:r>
                    <w:rPr>
                      <w:rFonts w:hint="eastAsia" w:ascii="Times New Roman" w:hAnsi="Times New Roman" w:cs="Times New Roman"/>
                      <w:highlight w:val="none"/>
                      <w:lang w:val="en-US" w:eastAsia="zh-CN"/>
                    </w:rPr>
                    <w:t>6563</w:t>
                  </w:r>
                  <w:r>
                    <w:rPr>
                      <w:rFonts w:hint="default" w:ascii="Times New Roman" w:hAnsi="Times New Roman" w:cs="Times New Roman"/>
                      <w:highlight w:val="none"/>
                    </w:rPr>
                    <w:t>m</w:t>
                  </w:r>
                  <w:r>
                    <w:rPr>
                      <w:rFonts w:hint="default" w:ascii="Times New Roman" w:hAnsi="Times New Roman" w:cs="Times New Roman"/>
                      <w:highlight w:val="none"/>
                      <w:vertAlign w:val="superscript"/>
                    </w:rPr>
                    <w:t>3</w:t>
                  </w:r>
                  <w:r>
                    <w:rPr>
                      <w:rFonts w:hint="default" w:ascii="Times New Roman" w:hAnsi="Times New Roman" w:cs="Times New Roman"/>
                      <w:highlight w:val="no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48" w:type="pct"/>
                  <w:vMerge w:val="continue"/>
                  <w:tcBorders>
                    <w:bottom w:val="single" w:color="auto" w:sz="4" w:space="0"/>
                    <w:tl2br w:val="nil"/>
                    <w:tr2bl w:val="nil"/>
                  </w:tcBorders>
                  <w:noWrap w:val="0"/>
                  <w:vAlign w:val="center"/>
                </w:tcPr>
                <w:p>
                  <w:pPr>
                    <w:pStyle w:val="15"/>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u w:val="none"/>
                    </w:rPr>
                  </w:pPr>
                </w:p>
              </w:tc>
              <w:tc>
                <w:tcPr>
                  <w:tcW w:w="474" w:type="pct"/>
                  <w:gridSpan w:val="2"/>
                  <w:tcBorders>
                    <w:bottom w:val="single" w:color="auto" w:sz="4" w:space="0"/>
                  </w:tcBorders>
                  <w:noWrap w:val="0"/>
                  <w:vAlign w:val="center"/>
                </w:tcPr>
                <w:p>
                  <w:pPr>
                    <w:pStyle w:val="15"/>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堤防护坡</w:t>
                  </w:r>
                </w:p>
              </w:tc>
              <w:tc>
                <w:tcPr>
                  <w:tcW w:w="4076" w:type="pct"/>
                  <w:tcBorders>
                    <w:tl2br w:val="nil"/>
                    <w:tr2bl w:val="nil"/>
                  </w:tcBorders>
                  <w:noWrap w:val="0"/>
                  <w:vAlign w:val="center"/>
                </w:tcPr>
                <w:p>
                  <w:pPr>
                    <w:pStyle w:val="15"/>
                    <w:bidi w:val="0"/>
                    <w:ind w:firstLine="0" w:firstLineChars="0"/>
                    <w:jc w:val="left"/>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油坊沟</w:t>
                  </w:r>
                  <w:r>
                    <w:rPr>
                      <w:rFonts w:hint="default" w:ascii="Times New Roman" w:hAnsi="Times New Roman" w:cs="Times New Roman"/>
                      <w:highlight w:val="none"/>
                    </w:rPr>
                    <w:t>采用下部</w:t>
                  </w:r>
                  <w:r>
                    <w:rPr>
                      <w:rFonts w:hint="eastAsia" w:ascii="Times New Roman" w:hAnsi="Times New Roman" w:cs="Times New Roman"/>
                      <w:highlight w:val="none"/>
                      <w:lang w:val="en-US" w:eastAsia="zh-CN"/>
                    </w:rPr>
                    <w:t>重力</w:t>
                  </w:r>
                  <w:r>
                    <w:rPr>
                      <w:rFonts w:hint="default" w:ascii="Times New Roman" w:hAnsi="Times New Roman" w:cs="Times New Roman"/>
                      <w:highlight w:val="none"/>
                    </w:rPr>
                    <w:t>式挡土墙+上部框格六棱块护坡</w:t>
                  </w:r>
                  <w:r>
                    <w:rPr>
                      <w:rFonts w:hint="default" w:ascii="Times New Roman" w:hAnsi="Times New Roman" w:cs="Times New Roman"/>
                      <w:highlight w:val="none"/>
                      <w:lang w:val="en-US" w:eastAsia="zh-CN"/>
                    </w:rPr>
                    <w:t>。</w:t>
                  </w:r>
                </w:p>
                <w:p>
                  <w:pPr>
                    <w:pStyle w:val="15"/>
                    <w:bidi w:val="0"/>
                    <w:ind w:firstLine="0" w:firstLineChars="0"/>
                    <w:jc w:val="left"/>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胡家河</w:t>
                  </w:r>
                  <w:r>
                    <w:rPr>
                      <w:rFonts w:hint="default" w:ascii="Times New Roman" w:hAnsi="Times New Roman" w:cs="Times New Roman"/>
                      <w:highlight w:val="none"/>
                    </w:rPr>
                    <w:t>采用下部衡重式挡土墙+上部框格六棱块护坡</w:t>
                  </w:r>
                  <w:r>
                    <w:rPr>
                      <w:rFonts w:hint="default" w:ascii="Times New Roman" w:hAnsi="Times New Roman" w:cs="Times New Roman"/>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48" w:type="pct"/>
                  <w:vMerge w:val="restart"/>
                  <w:tcBorders>
                    <w:top w:val="single" w:color="auto" w:sz="4" w:space="0"/>
                  </w:tcBorders>
                  <w:noWrap w:val="0"/>
                  <w:vAlign w:val="center"/>
                </w:tcPr>
                <w:p>
                  <w:pPr>
                    <w:pStyle w:val="15"/>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辅助工程</w:t>
                  </w:r>
                </w:p>
              </w:tc>
              <w:tc>
                <w:tcPr>
                  <w:tcW w:w="474" w:type="pct"/>
                  <w:gridSpan w:val="2"/>
                  <w:tcBorders>
                    <w:top w:val="single" w:color="auto" w:sz="4" w:space="0"/>
                    <w:bottom w:val="single" w:color="auto" w:sz="4" w:space="0"/>
                  </w:tcBorders>
                  <w:noWrap w:val="0"/>
                  <w:vAlign w:val="center"/>
                </w:tcPr>
                <w:p>
                  <w:pPr>
                    <w:pStyle w:val="15"/>
                    <w:bidi w:val="0"/>
                    <w:jc w:val="center"/>
                    <w:rPr>
                      <w:rFonts w:hint="default" w:ascii="Times New Roman" w:hAnsi="Times New Roman" w:eastAsia="宋体"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护脚</w:t>
                  </w:r>
                </w:p>
              </w:tc>
              <w:tc>
                <w:tcPr>
                  <w:tcW w:w="4076" w:type="pct"/>
                  <w:tcBorders>
                    <w:top w:val="single" w:color="auto" w:sz="4" w:space="0"/>
                  </w:tcBorders>
                  <w:noWrap w:val="0"/>
                  <w:vAlign w:val="center"/>
                </w:tcPr>
                <w:p>
                  <w:pPr>
                    <w:pStyle w:val="15"/>
                    <w:bidi w:val="0"/>
                    <w:jc w:val="left"/>
                    <w:rPr>
                      <w:rFonts w:hint="default"/>
                      <w:highlight w:val="none"/>
                    </w:rPr>
                  </w:pPr>
                  <w:r>
                    <w:rPr>
                      <w:rFonts w:hint="default"/>
                      <w:highlight w:val="none"/>
                    </w:rPr>
                    <w:t>本工程</w:t>
                  </w:r>
                  <w:r>
                    <w:rPr>
                      <w:highlight w:val="none"/>
                    </w:rPr>
                    <w:t>对防洪堤采用抗冲保护措施</w:t>
                  </w:r>
                  <w:r>
                    <w:rPr>
                      <w:rFonts w:hint="eastAsia"/>
                      <w:highlight w:val="none"/>
                      <w:lang w:eastAsia="zh-CN"/>
                    </w:rPr>
                    <w:t>，</w:t>
                  </w:r>
                  <w:r>
                    <w:rPr>
                      <w:highlight w:val="none"/>
                    </w:rPr>
                    <w:t>在堤迎水坡脚回填时，在堤脚外侧采用大块石护脚处理。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48" w:type="pct"/>
                  <w:vMerge w:val="continue"/>
                  <w:noWrap w:val="0"/>
                  <w:vAlign w:val="center"/>
                </w:tcPr>
                <w:p>
                  <w:pPr>
                    <w:pStyle w:val="15"/>
                    <w:keepNext w:val="0"/>
                    <w:keepLines w:val="0"/>
                    <w:suppressLineNumbers w:val="0"/>
                    <w:bidi w:val="0"/>
                    <w:spacing w:before="0" w:beforeAutospacing="0" w:after="0" w:afterAutospacing="0"/>
                    <w:ind w:left="0" w:right="0"/>
                    <w:jc w:val="center"/>
                    <w:rPr>
                      <w:rFonts w:hint="default" w:ascii="Times New Roman" w:hAnsi="Times New Roman" w:cs="Times New Roman"/>
                      <w:color w:val="auto"/>
                      <w:highlight w:val="none"/>
                      <w:u w:val="none"/>
                      <w:lang w:val="en-US" w:eastAsia="zh-CN"/>
                    </w:rPr>
                  </w:pPr>
                </w:p>
              </w:tc>
              <w:tc>
                <w:tcPr>
                  <w:tcW w:w="474" w:type="pct"/>
                  <w:gridSpan w:val="2"/>
                  <w:tcBorders>
                    <w:top w:val="single" w:color="auto" w:sz="4" w:space="0"/>
                    <w:bottom w:val="single" w:color="auto" w:sz="4" w:space="0"/>
                  </w:tcBorders>
                  <w:noWrap w:val="0"/>
                  <w:vAlign w:val="center"/>
                </w:tcPr>
                <w:p>
                  <w:pPr>
                    <w:pStyle w:val="15"/>
                    <w:bidi w:val="0"/>
                    <w:jc w:val="center"/>
                    <w:rPr>
                      <w:rFonts w:hint="default" w:ascii="Times New Roman" w:hAnsi="Times New Roman" w:eastAsia="宋体" w:cs="Times New Roman"/>
                      <w:highlight w:val="none"/>
                      <w:lang w:val="en-US" w:eastAsia="zh-CN"/>
                    </w:rPr>
                  </w:pPr>
                  <w:r>
                    <w:rPr>
                      <w:rFonts w:hint="default" w:ascii="Times New Roman" w:hAnsi="Times New Roman" w:cs="Times New Roman"/>
                      <w:highlight w:val="none"/>
                      <w:lang w:val="en-US" w:eastAsia="zh-CN"/>
                    </w:rPr>
                    <w:t>下河梯步</w:t>
                  </w:r>
                </w:p>
              </w:tc>
              <w:tc>
                <w:tcPr>
                  <w:tcW w:w="4076" w:type="pct"/>
                  <w:tcBorders>
                    <w:top w:val="single" w:color="auto" w:sz="4" w:space="0"/>
                  </w:tcBorders>
                  <w:noWrap w:val="0"/>
                  <w:vAlign w:val="center"/>
                </w:tcPr>
                <w:p>
                  <w:pPr>
                    <w:pStyle w:val="15"/>
                    <w:bidi w:val="0"/>
                    <w:jc w:val="left"/>
                    <w:rPr>
                      <w:rFonts w:hint="default"/>
                      <w:highlight w:val="none"/>
                    </w:rPr>
                  </w:pPr>
                  <w:r>
                    <w:rPr>
                      <w:highlight w:val="none"/>
                    </w:rPr>
                    <w:t>为便于场镇居民下河通行，增加堤防的亲水性，本工程每间隔200m设置宽3.0m的人行梯步，全线共设置人行梯步6处。梯步为C25砼，厚度0.2m，</w:t>
                  </w:r>
                  <w:r>
                    <w:rPr>
                      <w:rFonts w:hint="eastAsia"/>
                      <w:highlight w:val="none"/>
                      <w:lang w:val="en-US" w:eastAsia="zh-CN"/>
                    </w:rPr>
                    <w:t>堤步</w:t>
                  </w:r>
                  <w:r>
                    <w:rPr>
                      <w:highlight w:val="none"/>
                    </w:rPr>
                    <w:t>0.17m，踏步0.3m。</w:t>
                  </w:r>
                  <w:r>
                    <w:rPr>
                      <w:rFonts w:hint="default"/>
                      <w:highlight w:val="none"/>
                      <w:lang w:val="zh-CN"/>
                    </w:rPr>
                    <w:t>下河梯步的位置及宽度在实施时可根据实际需要作调整。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48" w:type="pct"/>
                  <w:vMerge w:val="continue"/>
                  <w:tcBorders>
                    <w:tl2br w:val="nil"/>
                    <w:tr2bl w:val="nil"/>
                  </w:tcBorders>
                  <w:noWrap w:val="0"/>
                  <w:vAlign w:val="center"/>
                </w:tcPr>
                <w:p>
                  <w:pPr>
                    <w:pStyle w:val="15"/>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u w:val="none"/>
                      <w:lang w:val="en-US" w:eastAsia="zh-CN"/>
                    </w:rPr>
                  </w:pPr>
                </w:p>
              </w:tc>
              <w:tc>
                <w:tcPr>
                  <w:tcW w:w="474" w:type="pct"/>
                  <w:gridSpan w:val="2"/>
                  <w:tcBorders>
                    <w:top w:val="single" w:color="auto" w:sz="4" w:space="0"/>
                    <w:tl2br w:val="nil"/>
                    <w:tr2bl w:val="nil"/>
                  </w:tcBorders>
                  <w:noWrap w:val="0"/>
                  <w:vAlign w:val="center"/>
                </w:tcPr>
                <w:p>
                  <w:pPr>
                    <w:pStyle w:val="1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观测设计</w:t>
                  </w:r>
                </w:p>
              </w:tc>
              <w:tc>
                <w:tcPr>
                  <w:tcW w:w="4076" w:type="pct"/>
                  <w:tcBorders>
                    <w:tl2br w:val="nil"/>
                    <w:tr2bl w:val="nil"/>
                  </w:tcBorders>
                  <w:noWrap w:val="0"/>
                  <w:vAlign w:val="center"/>
                </w:tcPr>
                <w:p>
                  <w:pPr>
                    <w:pStyle w:val="15"/>
                    <w:keepNext w:val="0"/>
                    <w:keepLines w:val="0"/>
                    <w:suppressLineNumbers w:val="0"/>
                    <w:bidi w:val="0"/>
                    <w:spacing w:before="0" w:beforeAutospacing="0" w:after="0" w:afterAutospacing="0"/>
                    <w:ind w:left="0" w:right="0"/>
                    <w:jc w:val="left"/>
                    <w:rPr>
                      <w:rFonts w:hint="default" w:ascii="Times New Roman" w:hAnsi="Times New Roman" w:eastAsia="宋体"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本项目工程设置</w:t>
                  </w:r>
                  <w:r>
                    <w:rPr>
                      <w:rFonts w:hint="default" w:ascii="Times New Roman" w:hAnsi="Times New Roman" w:cs="Times New Roman"/>
                      <w:color w:val="auto"/>
                      <w:highlight w:val="none"/>
                      <w:u w:val="none"/>
                    </w:rPr>
                    <w:t>堤身沉降位移观测措施</w:t>
                  </w:r>
                  <w:r>
                    <w:rPr>
                      <w:rFonts w:hint="default" w:ascii="Times New Roman" w:hAnsi="Times New Roman" w:cs="Times New Roman"/>
                      <w:color w:val="auto"/>
                      <w:highlight w:val="none"/>
                      <w:u w:val="none"/>
                      <w:lang w:eastAsia="zh-CN"/>
                    </w:rPr>
                    <w:t>、</w:t>
                  </w:r>
                  <w:r>
                    <w:rPr>
                      <w:rFonts w:hint="eastAsia" w:ascii="Times New Roman" w:hAnsi="Times New Roman" w:cs="Times New Roman"/>
                      <w:color w:val="auto"/>
                      <w:highlight w:val="none"/>
                      <w:u w:val="none"/>
                      <w:lang w:val="en-US" w:eastAsia="zh-CN"/>
                    </w:rPr>
                    <w:t>渗流观测措施、</w:t>
                  </w:r>
                  <w:r>
                    <w:rPr>
                      <w:rFonts w:hint="default" w:ascii="Times New Roman" w:hAnsi="Times New Roman" w:cs="Times New Roman"/>
                      <w:color w:val="auto"/>
                      <w:highlight w:val="none"/>
                      <w:u w:val="none"/>
                      <w:lang w:val="en-US" w:eastAsia="zh-CN"/>
                    </w:rPr>
                    <w:t>水位观测措施等。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48" w:type="pct"/>
                  <w:vMerge w:val="restart"/>
                  <w:tcBorders>
                    <w:tl2br w:val="nil"/>
                    <w:tr2bl w:val="nil"/>
                  </w:tcBorders>
                  <w:noWrap w:val="0"/>
                  <w:vAlign w:val="center"/>
                </w:tcPr>
                <w:p>
                  <w:pPr>
                    <w:pStyle w:val="15"/>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lang w:val="en-US" w:eastAsia="zh-CN"/>
                    </w:rPr>
                    <w:t>临时</w:t>
                  </w:r>
                  <w:r>
                    <w:rPr>
                      <w:rFonts w:hint="default" w:ascii="Times New Roman" w:hAnsi="Times New Roman" w:cs="Times New Roman"/>
                      <w:color w:val="auto"/>
                      <w:highlight w:val="none"/>
                      <w:u w:val="none"/>
                    </w:rPr>
                    <w:t>工程</w:t>
                  </w:r>
                </w:p>
              </w:tc>
              <w:tc>
                <w:tcPr>
                  <w:tcW w:w="474" w:type="pct"/>
                  <w:gridSpan w:val="2"/>
                  <w:tcBorders>
                    <w:tl2br w:val="nil"/>
                    <w:tr2bl w:val="nil"/>
                  </w:tcBorders>
                  <w:noWrap w:val="0"/>
                  <w:vAlign w:val="center"/>
                </w:tcPr>
                <w:p>
                  <w:pPr>
                    <w:pStyle w:val="15"/>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施工围堰</w:t>
                  </w:r>
                </w:p>
              </w:tc>
              <w:tc>
                <w:tcPr>
                  <w:tcW w:w="4076" w:type="pct"/>
                  <w:tcBorders>
                    <w:tl2br w:val="nil"/>
                    <w:tr2bl w:val="nil"/>
                  </w:tcBorders>
                  <w:noWrap w:val="0"/>
                  <w:vAlign w:val="center"/>
                </w:tcPr>
                <w:p>
                  <w:pPr>
                    <w:pStyle w:val="15"/>
                    <w:bidi w:val="0"/>
                    <w:jc w:val="left"/>
                    <w:rPr>
                      <w:rFonts w:hint="default" w:ascii="Times New Roman" w:hAnsi="Times New Roman" w:cs="Times New Roman"/>
                      <w:color w:val="auto"/>
                      <w:highlight w:val="none"/>
                      <w:u w:val="none"/>
                    </w:rPr>
                  </w:pPr>
                  <w:r>
                    <w:rPr>
                      <w:rFonts w:hint="default" w:ascii="Times New Roman" w:hAnsi="Times New Roman" w:cs="Times New Roman"/>
                      <w:highlight w:val="none"/>
                      <w:lang w:val="en-US" w:eastAsia="zh-CN"/>
                    </w:rPr>
                    <w:t>项目导流在枯水期进行，</w:t>
                  </w:r>
                  <w:r>
                    <w:rPr>
                      <w:rFonts w:hint="default" w:ascii="Times New Roman" w:hAnsi="Times New Roman" w:cs="Times New Roman"/>
                      <w:highlight w:val="none"/>
                    </w:rPr>
                    <w:t>施工围堰</w:t>
                  </w:r>
                  <w:r>
                    <w:rPr>
                      <w:highlight w:val="none"/>
                    </w:rPr>
                    <w:t>采用袋装粉质黏土配合土工膜</w:t>
                  </w:r>
                  <w:r>
                    <w:rPr>
                      <w:rFonts w:hint="eastAsia"/>
                      <w:highlight w:val="none"/>
                      <w:lang w:val="en-US" w:eastAsia="zh-CN"/>
                    </w:rPr>
                    <w:t>防渗</w:t>
                  </w:r>
                  <w:r>
                    <w:rPr>
                      <w:highlight w:val="none"/>
                    </w:rPr>
                    <w:t>，围堰主体采用开挖石碴料碾压而成</w:t>
                  </w:r>
                  <w:r>
                    <w:rPr>
                      <w:rFonts w:hint="default" w:ascii="Times New Roman" w:hAnsi="Times New Roman" w:cs="Times New Roman"/>
                      <w:highlight w:val="none"/>
                    </w:rPr>
                    <w:t>。</w:t>
                  </w:r>
                  <w:r>
                    <w:rPr>
                      <w:rFonts w:hint="eastAsia" w:ascii="Times New Roman" w:hAnsi="Times New Roman" w:cs="Times New Roman"/>
                      <w:highlight w:val="none"/>
                      <w:lang w:val="en-US" w:eastAsia="zh-CN"/>
                    </w:rPr>
                    <w:t>导流</w:t>
                  </w:r>
                  <w:r>
                    <w:rPr>
                      <w:rFonts w:hint="default" w:ascii="Times New Roman" w:hAnsi="Times New Roman" w:cs="Times New Roman"/>
                      <w:highlight w:val="none"/>
                    </w:rPr>
                    <w:t>围堰高</w:t>
                  </w:r>
                  <w:r>
                    <w:rPr>
                      <w:rFonts w:hint="eastAsia" w:ascii="Times New Roman" w:hAnsi="Times New Roman" w:cs="Times New Roman"/>
                      <w:highlight w:val="none"/>
                      <w:lang w:val="en-US" w:eastAsia="zh-CN"/>
                    </w:rPr>
                    <w:t>2m</w:t>
                  </w:r>
                  <w:r>
                    <w:rPr>
                      <w:rFonts w:hint="default" w:ascii="Times New Roman" w:hAnsi="Times New Roman" w:cs="Times New Roman"/>
                      <w:highlight w:val="none"/>
                    </w:rPr>
                    <w:t>，顶宽均为2m，</w:t>
                  </w:r>
                  <w:r>
                    <w:rPr>
                      <w:spacing w:val="5"/>
                      <w:highlight w:val="none"/>
                    </w:rPr>
                    <w:t>围堰总</w:t>
                  </w:r>
                  <w:r>
                    <w:rPr>
                      <w:spacing w:val="5"/>
                      <w:sz w:val="21"/>
                      <w:szCs w:val="21"/>
                      <w:highlight w:val="none"/>
                    </w:rPr>
                    <w:t>长</w:t>
                  </w:r>
                  <w:r>
                    <w:rPr>
                      <w:rFonts w:ascii="Times New Roman" w:hAnsi="Times New Roman" w:eastAsia="Times New Roman" w:cs="Times New Roman"/>
                      <w:spacing w:val="5"/>
                      <w:sz w:val="21"/>
                      <w:szCs w:val="21"/>
                      <w:highlight w:val="none"/>
                    </w:rPr>
                    <w:t>1042m</w:t>
                  </w:r>
                  <w:r>
                    <w:rPr>
                      <w:rFonts w:hint="eastAsia" w:ascii="Times New Roman" w:hAnsi="Times New Roman" w:eastAsia="宋体" w:cs="Times New Roman"/>
                      <w:spacing w:val="5"/>
                      <w:sz w:val="24"/>
                      <w:szCs w:val="24"/>
                      <w:highlight w:val="none"/>
                      <w:lang w:eastAsia="zh-CN"/>
                    </w:rPr>
                    <w:t>。</w:t>
                  </w:r>
                  <w:r>
                    <w:rPr>
                      <w:rFonts w:hint="default" w:ascii="Times New Roman" w:hAnsi="Times New Roman" w:cs="Times New Roman"/>
                      <w:highlight w:val="none"/>
                    </w:rPr>
                    <w:t>迎水面及背水面坡比均为1：1.5。围堰修筑完成随即可进行基础部分的开挖，堤身碾压填筑（边开挖边填筑）。配合潜水泵抽排积水、渗水和施工期废水后，进行堤身混凝土浇筑。堤防采用分段法施工，根据现场实际情况进行分段，分段长度100m为宜，各段衡重台以下砼完工后即可拆除该段围堰</w:t>
                  </w:r>
                  <w:r>
                    <w:rPr>
                      <w:rFonts w:hint="default" w:ascii="Times New Roman" w:hAnsi="Times New Roman" w:cs="Times New Roman"/>
                      <w:highlight w:val="no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48" w:type="pct"/>
                  <w:vMerge w:val="continue"/>
                  <w:tcBorders>
                    <w:tl2br w:val="nil"/>
                    <w:tr2bl w:val="nil"/>
                  </w:tcBorders>
                  <w:noWrap w:val="0"/>
                  <w:vAlign w:val="center"/>
                </w:tcPr>
                <w:p>
                  <w:pPr>
                    <w:pStyle w:val="15"/>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u w:val="none"/>
                    </w:rPr>
                  </w:pPr>
                </w:p>
              </w:tc>
              <w:tc>
                <w:tcPr>
                  <w:tcW w:w="474" w:type="pct"/>
                  <w:gridSpan w:val="2"/>
                  <w:tcBorders>
                    <w:tl2br w:val="nil"/>
                    <w:tr2bl w:val="nil"/>
                  </w:tcBorders>
                  <w:noWrap w:val="0"/>
                  <w:vAlign w:val="center"/>
                </w:tcPr>
                <w:p>
                  <w:pPr>
                    <w:pStyle w:val="1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u w:val="none"/>
                      <w:lang w:val="en-US" w:eastAsia="zh-CN"/>
                    </w:rPr>
                  </w:pPr>
                  <w:r>
                    <w:rPr>
                      <w:rFonts w:hint="default" w:ascii="Times New Roman" w:hAnsi="Times New Roman" w:cs="Times New Roman"/>
                      <w:color w:val="auto"/>
                      <w:highlight w:val="none"/>
                      <w:u w:val="none"/>
                    </w:rPr>
                    <w:t>施工场地</w:t>
                  </w:r>
                  <w:r>
                    <w:rPr>
                      <w:rFonts w:hint="default" w:ascii="Times New Roman" w:hAnsi="Times New Roman" w:cs="Times New Roman"/>
                      <w:color w:val="auto"/>
                      <w:highlight w:val="none"/>
                      <w:u w:val="none"/>
                      <w:lang w:val="en-US" w:eastAsia="zh-CN"/>
                    </w:rPr>
                    <w:t>及营地</w:t>
                  </w:r>
                </w:p>
              </w:tc>
              <w:tc>
                <w:tcPr>
                  <w:tcW w:w="4076" w:type="pct"/>
                  <w:tcBorders>
                    <w:tl2br w:val="nil"/>
                    <w:tr2bl w:val="nil"/>
                  </w:tcBorders>
                  <w:noWrap w:val="0"/>
                  <w:vAlign w:val="center"/>
                </w:tcPr>
                <w:p>
                  <w:pPr>
                    <w:pStyle w:val="15"/>
                    <w:bidi w:val="0"/>
                    <w:jc w:val="left"/>
                    <w:rPr>
                      <w:rFonts w:hint="default" w:ascii="Times New Roman" w:hAnsi="Times New Roman" w:cs="Times New Roman"/>
                      <w:highlight w:val="none"/>
                      <w:lang w:val="en-US" w:eastAsia="zh-CN"/>
                    </w:rPr>
                  </w:pPr>
                  <w:r>
                    <w:rPr>
                      <w:rFonts w:hint="default" w:ascii="Times New Roman" w:hAnsi="Times New Roman" w:cs="Times New Roman"/>
                      <w:highlight w:val="none"/>
                    </w:rPr>
                    <w:t>本项目工程设计</w:t>
                  </w:r>
                  <w:r>
                    <w:rPr>
                      <w:rFonts w:hint="default" w:ascii="Times New Roman" w:hAnsi="Times New Roman" w:cs="Times New Roman"/>
                      <w:highlight w:val="none"/>
                      <w:lang w:val="en-US" w:eastAsia="zh-CN"/>
                    </w:rPr>
                    <w:t>2处集中施工工区</w:t>
                  </w:r>
                  <w:r>
                    <w:rPr>
                      <w:rFonts w:hint="default" w:ascii="Times New Roman" w:hAnsi="Times New Roman" w:cs="Times New Roman"/>
                      <w:highlight w:val="none"/>
                    </w:rPr>
                    <w:t>，</w:t>
                  </w:r>
                  <w:r>
                    <w:rPr>
                      <w:rFonts w:hint="default" w:ascii="Times New Roman" w:hAnsi="Times New Roman" w:cs="Times New Roman"/>
                      <w:highlight w:val="none"/>
                      <w:lang w:val="en-US" w:eastAsia="zh-CN"/>
                    </w:rPr>
                    <w:t>分别为</w:t>
                  </w:r>
                  <w:r>
                    <w:rPr>
                      <w:rFonts w:hint="default" w:ascii="Times New Roman" w:hAnsi="Times New Roman" w:cs="Times New Roman"/>
                      <w:spacing w:val="12"/>
                      <w:highlight w:val="none"/>
                    </w:rPr>
                    <w:t>油坊沟</w:t>
                  </w:r>
                  <w:r>
                    <w:rPr>
                      <w:rFonts w:hint="default" w:ascii="Times New Roman" w:hAnsi="Times New Roman" w:cs="Times New Roman"/>
                      <w:spacing w:val="12"/>
                      <w:highlight w:val="none"/>
                      <w:lang w:val="en-US" w:eastAsia="zh-CN"/>
                    </w:rPr>
                    <w:t>施工</w:t>
                  </w:r>
                  <w:r>
                    <w:rPr>
                      <w:rFonts w:hint="default" w:ascii="Times New Roman" w:hAnsi="Times New Roman" w:cs="Times New Roman"/>
                      <w:spacing w:val="12"/>
                      <w:highlight w:val="none"/>
                    </w:rPr>
                    <w:t>工区和胡家河</w:t>
                  </w:r>
                  <w:r>
                    <w:rPr>
                      <w:rFonts w:hint="default" w:ascii="Times New Roman" w:hAnsi="Times New Roman" w:cs="Times New Roman"/>
                      <w:spacing w:val="12"/>
                      <w:highlight w:val="none"/>
                      <w:lang w:val="en-US" w:eastAsia="zh-CN"/>
                    </w:rPr>
                    <w:t>施工</w:t>
                  </w:r>
                  <w:r>
                    <w:rPr>
                      <w:rFonts w:hint="default" w:ascii="Times New Roman" w:hAnsi="Times New Roman" w:cs="Times New Roman"/>
                      <w:spacing w:val="12"/>
                      <w:highlight w:val="none"/>
                    </w:rPr>
                    <w:t>工区</w:t>
                  </w:r>
                  <w:r>
                    <w:rPr>
                      <w:rFonts w:hint="default" w:ascii="Times New Roman" w:hAnsi="Times New Roman" w:cs="Times New Roman"/>
                      <w:spacing w:val="12"/>
                      <w:highlight w:val="none"/>
                      <w:lang w:eastAsia="zh-CN"/>
                    </w:rPr>
                    <w:t>，</w:t>
                  </w:r>
                  <w:r>
                    <w:rPr>
                      <w:rFonts w:hint="default" w:ascii="Times New Roman" w:hAnsi="Times New Roman" w:cs="Times New Roman"/>
                      <w:spacing w:val="12"/>
                      <w:highlight w:val="none"/>
                      <w:lang w:val="en-US" w:eastAsia="zh-CN"/>
                    </w:rPr>
                    <w:t>均</w:t>
                  </w:r>
                  <w:r>
                    <w:rPr>
                      <w:rFonts w:hint="default" w:ascii="Times New Roman" w:hAnsi="Times New Roman" w:cs="Times New Roman"/>
                      <w:highlight w:val="none"/>
                    </w:rPr>
                    <w:t>布置在河道两侧空闲区域</w:t>
                  </w:r>
                  <w:r>
                    <w:rPr>
                      <w:rFonts w:hint="default" w:ascii="Times New Roman" w:hAnsi="Times New Roman" w:cs="Times New Roman"/>
                      <w:highlight w:val="none"/>
                      <w:lang w:eastAsia="zh-CN"/>
                    </w:rPr>
                    <w:t>，</w:t>
                  </w:r>
                  <w:r>
                    <w:rPr>
                      <w:rFonts w:hint="default" w:ascii="Times New Roman" w:hAnsi="Times New Roman" w:cs="Times New Roman"/>
                      <w:spacing w:val="12"/>
                      <w:highlight w:val="none"/>
                    </w:rPr>
                    <w:t>油坊沟</w:t>
                  </w:r>
                  <w:r>
                    <w:rPr>
                      <w:rFonts w:hint="default" w:ascii="Times New Roman" w:hAnsi="Times New Roman" w:cs="Times New Roman"/>
                      <w:spacing w:val="12"/>
                      <w:highlight w:val="none"/>
                      <w:lang w:val="en-US" w:eastAsia="zh-CN"/>
                    </w:rPr>
                    <w:t>施工</w:t>
                  </w:r>
                  <w:r>
                    <w:rPr>
                      <w:rFonts w:hint="default" w:ascii="Times New Roman" w:hAnsi="Times New Roman" w:cs="Times New Roman"/>
                      <w:spacing w:val="12"/>
                      <w:highlight w:val="none"/>
                    </w:rPr>
                    <w:t>工区</w:t>
                  </w:r>
                  <w:r>
                    <w:rPr>
                      <w:rFonts w:hint="default" w:ascii="Times New Roman" w:hAnsi="Times New Roman" w:cs="Times New Roman"/>
                      <w:highlight w:val="none"/>
                      <w:lang w:val="en-US" w:eastAsia="zh-CN"/>
                    </w:rPr>
                    <w:t>位于右岸堤防处，场址经纬度为</w:t>
                  </w:r>
                  <w:r>
                    <w:rPr>
                      <w:rFonts w:hint="eastAsia" w:cs="Times New Roman"/>
                      <w:highlight w:val="none"/>
                      <w:lang w:val="en-US" w:eastAsia="zh-CN"/>
                    </w:rPr>
                    <w:t>E</w:t>
                  </w:r>
                  <w:r>
                    <w:rPr>
                      <w:rFonts w:hint="default" w:ascii="Times New Roman" w:hAnsi="Times New Roman" w:cs="Times New Roman"/>
                      <w:highlight w:val="none"/>
                      <w:lang w:val="en-US" w:eastAsia="zh-CN"/>
                    </w:rPr>
                    <w:t>107°39′41.72″，</w:t>
                  </w:r>
                  <w:r>
                    <w:rPr>
                      <w:rFonts w:hint="eastAsia" w:cs="Times New Roman"/>
                      <w:highlight w:val="none"/>
                      <w:lang w:val="en-US" w:eastAsia="zh-CN"/>
                    </w:rPr>
                    <w:t>N</w:t>
                  </w:r>
                  <w:r>
                    <w:rPr>
                      <w:rFonts w:hint="default" w:ascii="Times New Roman" w:hAnsi="Times New Roman" w:cs="Times New Roman"/>
                      <w:highlight w:val="none"/>
                      <w:lang w:val="en-US" w:eastAsia="zh-CN"/>
                    </w:rPr>
                    <w:t>31°34′15.71″；</w:t>
                  </w:r>
                  <w:r>
                    <w:rPr>
                      <w:rFonts w:hint="default" w:ascii="Times New Roman" w:hAnsi="Times New Roman" w:cs="Times New Roman"/>
                      <w:spacing w:val="12"/>
                      <w:highlight w:val="none"/>
                    </w:rPr>
                    <w:t>胡家河</w:t>
                  </w:r>
                  <w:r>
                    <w:rPr>
                      <w:rFonts w:hint="default" w:ascii="Times New Roman" w:hAnsi="Times New Roman" w:cs="Times New Roman"/>
                      <w:spacing w:val="12"/>
                      <w:highlight w:val="none"/>
                      <w:lang w:val="en-US" w:eastAsia="zh-CN"/>
                    </w:rPr>
                    <w:t>施工</w:t>
                  </w:r>
                  <w:r>
                    <w:rPr>
                      <w:rFonts w:hint="default" w:ascii="Times New Roman" w:hAnsi="Times New Roman" w:cs="Times New Roman"/>
                      <w:spacing w:val="12"/>
                      <w:highlight w:val="none"/>
                    </w:rPr>
                    <w:t>工区</w:t>
                  </w:r>
                  <w:r>
                    <w:rPr>
                      <w:rFonts w:hint="default" w:ascii="Times New Roman" w:hAnsi="Times New Roman" w:cs="Times New Roman"/>
                      <w:highlight w:val="none"/>
                      <w:lang w:val="en-US" w:eastAsia="zh-CN"/>
                    </w:rPr>
                    <w:t>位于左岸堤防处，场址经纬度为</w:t>
                  </w:r>
                  <w:r>
                    <w:rPr>
                      <w:rFonts w:hint="eastAsia" w:cs="Times New Roman"/>
                      <w:highlight w:val="none"/>
                      <w:lang w:val="en-US" w:eastAsia="zh-CN"/>
                    </w:rPr>
                    <w:t>E</w:t>
                  </w:r>
                  <w:r>
                    <w:rPr>
                      <w:rFonts w:hint="default" w:ascii="Times New Roman" w:hAnsi="Times New Roman" w:cs="Times New Roman"/>
                      <w:highlight w:val="none"/>
                      <w:lang w:val="en-US" w:eastAsia="zh-CN"/>
                    </w:rPr>
                    <w:t>107°38′52.70″，</w:t>
                  </w:r>
                  <w:r>
                    <w:rPr>
                      <w:rFonts w:hint="eastAsia" w:cs="Times New Roman"/>
                      <w:highlight w:val="none"/>
                      <w:lang w:val="en-US" w:eastAsia="zh-CN"/>
                    </w:rPr>
                    <w:t>N</w:t>
                  </w:r>
                  <w:r>
                    <w:rPr>
                      <w:rFonts w:hint="default" w:ascii="Times New Roman" w:hAnsi="Times New Roman" w:cs="Times New Roman"/>
                      <w:highlight w:val="none"/>
                      <w:lang w:val="en-US" w:eastAsia="zh-CN"/>
                    </w:rPr>
                    <w:t>31°34′34.01″处。总占地面积0.3亩，各工区内布置生产所需的临时</w:t>
                  </w:r>
                  <w:r>
                    <w:rPr>
                      <w:rFonts w:hint="default" w:ascii="Times New Roman" w:hAnsi="Times New Roman" w:cs="Times New Roman"/>
                      <w:spacing w:val="12"/>
                      <w:highlight w:val="none"/>
                    </w:rPr>
                    <w:t>水电系统、拌和系统、仓库、场内公路堆料</w:t>
                  </w:r>
                  <w:r>
                    <w:rPr>
                      <w:rFonts w:hint="default" w:ascii="Times New Roman" w:hAnsi="Times New Roman" w:cs="Times New Roman"/>
                      <w:spacing w:val="6"/>
                      <w:highlight w:val="none"/>
                    </w:rPr>
                    <w:t>场及其它临时设施</w:t>
                  </w:r>
                  <w:r>
                    <w:rPr>
                      <w:rFonts w:hint="default" w:ascii="Times New Roman" w:hAnsi="Times New Roman" w:cs="Times New Roman"/>
                      <w:highlight w:val="none"/>
                    </w:rPr>
                    <w:t>。工区与施工作业面采用施工公路相连。施工期不设置施工营地</w:t>
                  </w:r>
                  <w:r>
                    <w:rPr>
                      <w:rFonts w:hint="default" w:ascii="Times New Roman" w:hAnsi="Times New Roman" w:cs="Times New Roman"/>
                      <w:highlight w:val="none"/>
                      <w:lang w:eastAsia="zh-CN"/>
                    </w:rPr>
                    <w:t>、</w:t>
                  </w:r>
                  <w:r>
                    <w:rPr>
                      <w:rFonts w:hint="default" w:ascii="Times New Roman" w:hAnsi="Times New Roman" w:cs="Times New Roman"/>
                      <w:highlight w:val="none"/>
                    </w:rPr>
                    <w:t>办公区</w:t>
                  </w:r>
                  <w:r>
                    <w:rPr>
                      <w:rFonts w:hint="default" w:ascii="Times New Roman" w:hAnsi="Times New Roman" w:cs="Times New Roman"/>
                      <w:highlight w:val="none"/>
                      <w:lang w:eastAsia="zh-CN"/>
                    </w:rPr>
                    <w:t>，</w:t>
                  </w:r>
                  <w:r>
                    <w:rPr>
                      <w:rFonts w:hint="default" w:ascii="Times New Roman" w:hAnsi="Times New Roman" w:cs="Times New Roman"/>
                      <w:highlight w:val="none"/>
                    </w:rPr>
                    <w:t>施工</w:t>
                  </w:r>
                  <w:r>
                    <w:rPr>
                      <w:rFonts w:hint="default" w:ascii="Times New Roman" w:hAnsi="Times New Roman" w:cs="Times New Roman"/>
                      <w:highlight w:val="none"/>
                      <w:lang w:val="en-US" w:eastAsia="zh-CN"/>
                    </w:rPr>
                    <w:t>期生活</w:t>
                  </w:r>
                  <w:r>
                    <w:rPr>
                      <w:rFonts w:hint="default" w:ascii="Times New Roman" w:hAnsi="Times New Roman" w:cs="Times New Roman"/>
                      <w:highlight w:val="none"/>
                    </w:rPr>
                    <w:t>办公用房</w:t>
                  </w:r>
                  <w:r>
                    <w:rPr>
                      <w:rFonts w:hint="default" w:ascii="Times New Roman" w:hAnsi="Times New Roman" w:cs="Times New Roman"/>
                      <w:highlight w:val="none"/>
                      <w:lang w:val="en-US" w:eastAsia="zh-CN"/>
                    </w:rPr>
                    <w:t>和仓库</w:t>
                  </w:r>
                  <w:r>
                    <w:rPr>
                      <w:rFonts w:hint="default" w:ascii="Times New Roman" w:hAnsi="Times New Roman" w:cs="Times New Roman"/>
                      <w:highlight w:val="none"/>
                    </w:rPr>
                    <w:t>租赁</w:t>
                  </w:r>
                  <w:r>
                    <w:rPr>
                      <w:rFonts w:hint="default" w:ascii="Times New Roman" w:hAnsi="Times New Roman" w:cs="Times New Roman"/>
                      <w:highlight w:val="none"/>
                      <w:lang w:val="en-US" w:eastAsia="zh-CN"/>
                    </w:rPr>
                    <w:t>附近民房</w:t>
                  </w:r>
                  <w:r>
                    <w:rPr>
                      <w:rFonts w:hint="default" w:ascii="Times New Roman" w:hAnsi="Times New Roman" w:cs="Times New Roman"/>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48" w:type="pct"/>
                  <w:vMerge w:val="continue"/>
                  <w:tcBorders>
                    <w:tl2br w:val="nil"/>
                    <w:tr2bl w:val="nil"/>
                  </w:tcBorders>
                  <w:noWrap w:val="0"/>
                  <w:vAlign w:val="center"/>
                </w:tcPr>
                <w:p>
                  <w:pPr>
                    <w:pStyle w:val="15"/>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u w:val="none"/>
                    </w:rPr>
                  </w:pPr>
                </w:p>
              </w:tc>
              <w:tc>
                <w:tcPr>
                  <w:tcW w:w="474" w:type="pct"/>
                  <w:gridSpan w:val="2"/>
                  <w:tcBorders>
                    <w:tl2br w:val="nil"/>
                    <w:tr2bl w:val="nil"/>
                  </w:tcBorders>
                  <w:noWrap w:val="0"/>
                  <w:vAlign w:val="center"/>
                </w:tcPr>
                <w:p>
                  <w:pPr>
                    <w:pStyle w:val="15"/>
                    <w:keepNext w:val="0"/>
                    <w:keepLines w:val="0"/>
                    <w:suppressLineNumbers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弃渣场</w:t>
                  </w:r>
                </w:p>
              </w:tc>
              <w:tc>
                <w:tcPr>
                  <w:tcW w:w="4076" w:type="pct"/>
                  <w:tcBorders>
                    <w:tl2br w:val="nil"/>
                    <w:tr2bl w:val="nil"/>
                  </w:tcBorders>
                  <w:noWrap w:val="0"/>
                  <w:vAlign w:val="center"/>
                </w:tcPr>
                <w:p>
                  <w:pPr>
                    <w:pStyle w:val="15"/>
                    <w:bidi w:val="0"/>
                    <w:jc w:val="left"/>
                    <w:rPr>
                      <w:rFonts w:hint="default"/>
                      <w:highlight w:val="none"/>
                    </w:rPr>
                  </w:pPr>
                  <w:r>
                    <w:rPr>
                      <w:rFonts w:hint="default"/>
                      <w:highlight w:val="none"/>
                      <w:lang w:val="en-US" w:eastAsia="zh-CN"/>
                    </w:rPr>
                    <w:t>项目不设置弃渣场，项目设计</w:t>
                  </w:r>
                  <w:r>
                    <w:rPr>
                      <w:highlight w:val="none"/>
                    </w:rPr>
                    <w:t>挖土方29785m</w:t>
                  </w:r>
                  <w:r>
                    <w:rPr>
                      <w:highlight w:val="none"/>
                      <w:vertAlign w:val="superscript"/>
                    </w:rPr>
                    <w:t>3</w:t>
                  </w:r>
                  <w:r>
                    <w:rPr>
                      <w:highlight w:val="none"/>
                    </w:rPr>
                    <w:t>，开挖石方5314m</w:t>
                  </w:r>
                  <w:r>
                    <w:rPr>
                      <w:highlight w:val="none"/>
                      <w:vertAlign w:val="superscript"/>
                    </w:rPr>
                    <w:t>3</w:t>
                  </w:r>
                  <w:r>
                    <w:rPr>
                      <w:highlight w:val="none"/>
                    </w:rPr>
                    <w:t>，回填土方6563m</w:t>
                  </w:r>
                  <w:r>
                    <w:rPr>
                      <w:highlight w:val="none"/>
                      <w:vertAlign w:val="superscript"/>
                    </w:rPr>
                    <w:t>3</w:t>
                  </w:r>
                  <w:r>
                    <w:rPr>
                      <w:highlight w:val="none"/>
                    </w:rPr>
                    <w:t>，经土石方平衡，累计弃渣</w:t>
                  </w:r>
                  <w:r>
                    <w:rPr>
                      <w:rFonts w:hint="eastAsia"/>
                      <w:highlight w:val="none"/>
                      <w:lang w:val="en-US" w:eastAsia="zh-CN"/>
                    </w:rPr>
                    <w:t>28536</w:t>
                  </w:r>
                  <w:r>
                    <w:rPr>
                      <w:highlight w:val="none"/>
                    </w:rPr>
                    <w:t>万m</w:t>
                  </w:r>
                  <w:r>
                    <w:rPr>
                      <w:rFonts w:hint="eastAsia"/>
                      <w:highlight w:val="none"/>
                      <w:vertAlign w:val="superscript"/>
                      <w:lang w:val="en-US" w:eastAsia="zh-CN"/>
                    </w:rPr>
                    <w:t>3</w:t>
                  </w:r>
                  <w:r>
                    <w:rPr>
                      <w:rFonts w:hint="eastAsia"/>
                      <w:highlight w:val="none"/>
                      <w:lang w:eastAsia="zh-CN"/>
                    </w:rPr>
                    <w:t>，</w:t>
                  </w:r>
                  <w:r>
                    <w:rPr>
                      <w:highlight w:val="none"/>
                    </w:rPr>
                    <w:t>堆放在胡家城市规划区内</w:t>
                  </w:r>
                  <w:r>
                    <w:rPr>
                      <w:rFonts w:hint="eastAsia"/>
                      <w:highlight w:val="none"/>
                      <w:lang w:eastAsia="zh-CN"/>
                    </w:rPr>
                    <w:t>，</w:t>
                  </w:r>
                  <w:r>
                    <w:rPr>
                      <w:rFonts w:hint="eastAsia"/>
                      <w:highlight w:val="none"/>
                      <w:lang w:val="en-US" w:eastAsia="zh-CN"/>
                    </w:rPr>
                    <w:t>不再新设置弃渣场</w:t>
                  </w:r>
                  <w:r>
                    <w:rPr>
                      <w:rFonts w:hint="default"/>
                      <w:highlight w:val="none"/>
                      <w:lang w:eastAsia="zh-CN"/>
                    </w:rPr>
                    <w:t>。</w:t>
                  </w:r>
                  <w:r>
                    <w:rPr>
                      <w:highlight w:val="none"/>
                    </w:rPr>
                    <w:t>弃渣采用10t～15t自卸汽车运输至胡家城市规划区内，运距1.0km</w:t>
                  </w:r>
                  <w:r>
                    <w:rPr>
                      <w:rFonts w:hint="eastAsia"/>
                      <w:highlight w:val="none"/>
                      <w:lang w:eastAsia="zh-CN"/>
                    </w:rPr>
                    <w:t>。</w:t>
                  </w:r>
                  <w:r>
                    <w:rPr>
                      <w:rFonts w:hint="default"/>
                      <w:highlight w:val="none"/>
                      <w:lang w:val="zh-CN"/>
                    </w:rPr>
                    <w:t>剥离的表土</w:t>
                  </w:r>
                  <w:r>
                    <w:rPr>
                      <w:rFonts w:hint="default"/>
                      <w:highlight w:val="none"/>
                      <w:lang w:val="en-US" w:eastAsia="zh-CN"/>
                    </w:rPr>
                    <w:t>全部</w:t>
                  </w:r>
                  <w:r>
                    <w:rPr>
                      <w:rFonts w:hint="default"/>
                      <w:highlight w:val="none"/>
                      <w:lang w:val="zh-CN"/>
                    </w:rPr>
                    <w:t>用于本</w:t>
                  </w:r>
                  <w:r>
                    <w:rPr>
                      <w:rFonts w:hint="eastAsia"/>
                      <w:highlight w:val="none"/>
                      <w:lang w:val="en-US" w:eastAsia="zh-CN"/>
                    </w:rPr>
                    <w:t>项目</w:t>
                  </w:r>
                  <w:r>
                    <w:rPr>
                      <w:rFonts w:hint="default"/>
                      <w:highlight w:val="none"/>
                      <w:lang w:val="zh-CN"/>
                    </w:rPr>
                    <w:t>区绿化覆土及复耕。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48" w:type="pct"/>
                  <w:vMerge w:val="continue"/>
                  <w:tcBorders>
                    <w:tl2br w:val="nil"/>
                    <w:tr2bl w:val="nil"/>
                  </w:tcBorders>
                  <w:noWrap w:val="0"/>
                  <w:vAlign w:val="center"/>
                </w:tcPr>
                <w:p>
                  <w:pPr>
                    <w:pStyle w:val="15"/>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u w:val="none"/>
                    </w:rPr>
                  </w:pPr>
                </w:p>
              </w:tc>
              <w:tc>
                <w:tcPr>
                  <w:tcW w:w="474" w:type="pct"/>
                  <w:gridSpan w:val="2"/>
                  <w:tcBorders>
                    <w:tl2br w:val="nil"/>
                    <w:tr2bl w:val="nil"/>
                  </w:tcBorders>
                  <w:noWrap w:val="0"/>
                  <w:vAlign w:val="center"/>
                </w:tcPr>
                <w:p>
                  <w:pPr>
                    <w:pStyle w:val="15"/>
                    <w:bidi w:val="0"/>
                    <w:rPr>
                      <w:rFonts w:hint="default" w:ascii="Times New Roman" w:hAnsi="Times New Roman" w:cs="Times New Roman"/>
                      <w:color w:val="auto"/>
                      <w:highlight w:val="none"/>
                      <w:u w:val="none"/>
                      <w:lang w:val="en-US" w:eastAsia="zh-CN"/>
                    </w:rPr>
                  </w:pPr>
                  <w:r>
                    <w:rPr>
                      <w:rFonts w:hint="default" w:ascii="Times New Roman" w:hAnsi="Times New Roman" w:cs="Times New Roman"/>
                      <w:highlight w:val="none"/>
                      <w:lang w:val="en-US" w:eastAsia="zh-CN"/>
                    </w:rPr>
                    <w:t>临时堆渣场</w:t>
                  </w:r>
                </w:p>
              </w:tc>
              <w:tc>
                <w:tcPr>
                  <w:tcW w:w="4076" w:type="pct"/>
                  <w:tcBorders>
                    <w:tl2br w:val="nil"/>
                    <w:tr2bl w:val="nil"/>
                  </w:tcBorders>
                  <w:noWrap w:val="0"/>
                  <w:vAlign w:val="center"/>
                </w:tcPr>
                <w:p>
                  <w:pPr>
                    <w:pStyle w:val="15"/>
                    <w:bidi w:val="0"/>
                    <w:jc w:val="left"/>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本项目设置2处临时堆渣场，分别为胡家河临时堆渣场和油坊沟临时堆渣场，占地共2.4亩，均为临时占地。2处堆渣场均采用临河设施，胡家河临时堆渣场位于左岸堤防旁，场址坐标为</w:t>
                  </w:r>
                  <w:r>
                    <w:rPr>
                      <w:rFonts w:hint="eastAsia" w:cs="Times New Roman"/>
                      <w:highlight w:val="none"/>
                      <w:lang w:val="en-US" w:eastAsia="zh-CN"/>
                    </w:rPr>
                    <w:t>E</w:t>
                  </w:r>
                  <w:r>
                    <w:rPr>
                      <w:rFonts w:hint="default" w:ascii="Times New Roman" w:hAnsi="Times New Roman" w:cs="Times New Roman"/>
                      <w:highlight w:val="none"/>
                      <w:lang w:val="en-US" w:eastAsia="zh-CN"/>
                    </w:rPr>
                    <w:t>107°38′53.54″，</w:t>
                  </w:r>
                  <w:r>
                    <w:rPr>
                      <w:rFonts w:hint="eastAsia" w:cs="Times New Roman"/>
                      <w:highlight w:val="none"/>
                      <w:lang w:val="en-US" w:eastAsia="zh-CN"/>
                    </w:rPr>
                    <w:t>N</w:t>
                  </w:r>
                  <w:r>
                    <w:rPr>
                      <w:rFonts w:hint="default" w:ascii="Times New Roman" w:hAnsi="Times New Roman" w:cs="Times New Roman"/>
                      <w:highlight w:val="none"/>
                      <w:lang w:val="en-US" w:eastAsia="zh-CN"/>
                    </w:rPr>
                    <w:t>31°34′27.24″；油坊沟临时堆渣场位于右岸堤防旁，场址坐标为</w:t>
                  </w:r>
                  <w:r>
                    <w:rPr>
                      <w:rFonts w:hint="eastAsia" w:cs="Times New Roman"/>
                      <w:highlight w:val="none"/>
                      <w:lang w:val="en-US" w:eastAsia="zh-CN"/>
                    </w:rPr>
                    <w:t>E</w:t>
                  </w:r>
                  <w:r>
                    <w:rPr>
                      <w:rFonts w:hint="default" w:ascii="Times New Roman" w:hAnsi="Times New Roman" w:cs="Times New Roman"/>
                      <w:highlight w:val="none"/>
                      <w:lang w:val="en-US" w:eastAsia="zh-CN"/>
                    </w:rPr>
                    <w:t>107°39′40.01″</w:t>
                  </w:r>
                  <w:r>
                    <w:rPr>
                      <w:rFonts w:hint="eastAsia" w:ascii="Times New Roman" w:hAnsi="Times New Roman" w:cs="Times New Roman"/>
                      <w:highlight w:val="none"/>
                      <w:lang w:val="en-US" w:eastAsia="zh-CN"/>
                    </w:rPr>
                    <w:t>，</w:t>
                  </w:r>
                  <w:r>
                    <w:rPr>
                      <w:rFonts w:hint="eastAsia" w:cs="Times New Roman"/>
                      <w:highlight w:val="none"/>
                      <w:lang w:val="en-US" w:eastAsia="zh-CN"/>
                    </w:rPr>
                    <w:t>N</w:t>
                  </w:r>
                  <w:r>
                    <w:rPr>
                      <w:rFonts w:hint="default" w:ascii="Times New Roman" w:hAnsi="Times New Roman" w:cs="Times New Roman"/>
                      <w:highlight w:val="none"/>
                      <w:lang w:val="en-US" w:eastAsia="zh-CN"/>
                    </w:rPr>
                    <w:t>31°34′14.39″。临时堆渣场主要用于临时堆放堤防工程产生的土石方。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48" w:type="pct"/>
                  <w:vMerge w:val="continue"/>
                  <w:tcBorders>
                    <w:tl2br w:val="nil"/>
                    <w:tr2bl w:val="nil"/>
                  </w:tcBorders>
                  <w:noWrap w:val="0"/>
                  <w:vAlign w:val="center"/>
                </w:tcPr>
                <w:p>
                  <w:pPr>
                    <w:pStyle w:val="15"/>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u w:val="none"/>
                    </w:rPr>
                  </w:pPr>
                </w:p>
              </w:tc>
              <w:tc>
                <w:tcPr>
                  <w:tcW w:w="474" w:type="pct"/>
                  <w:gridSpan w:val="2"/>
                  <w:tcBorders>
                    <w:tl2br w:val="nil"/>
                    <w:tr2bl w:val="nil"/>
                  </w:tcBorders>
                  <w:noWrap w:val="0"/>
                  <w:vAlign w:val="center"/>
                </w:tcPr>
                <w:p>
                  <w:pPr>
                    <w:pStyle w:val="15"/>
                    <w:bidi w:val="0"/>
                    <w:ind w:firstLine="0" w:firstLineChars="0"/>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lang w:val="en-US" w:eastAsia="zh-CN"/>
                    </w:rPr>
                    <w:t>土石方开挖</w:t>
                  </w:r>
                </w:p>
              </w:tc>
              <w:tc>
                <w:tcPr>
                  <w:tcW w:w="4076" w:type="pct"/>
                  <w:tcBorders>
                    <w:tl2br w:val="nil"/>
                    <w:tr2bl w:val="nil"/>
                  </w:tcBorders>
                  <w:noWrap w:val="0"/>
                  <w:vAlign w:val="center"/>
                </w:tcPr>
                <w:p>
                  <w:pPr>
                    <w:pStyle w:val="15"/>
                    <w:bidi w:val="0"/>
                    <w:jc w:val="left"/>
                    <w:rPr>
                      <w:rFonts w:hint="default"/>
                      <w:highlight w:val="none"/>
                      <w:lang w:eastAsia="zh-CN"/>
                    </w:rPr>
                  </w:pPr>
                  <w:r>
                    <w:rPr>
                      <w:rFonts w:hint="default"/>
                      <w:highlight w:val="none"/>
                      <w:lang w:val="en-US" w:eastAsia="zh-CN"/>
                    </w:rPr>
                    <w:t>项目设计</w:t>
                  </w:r>
                  <w:r>
                    <w:rPr>
                      <w:highlight w:val="none"/>
                    </w:rPr>
                    <w:t>挖土方29785m</w:t>
                  </w:r>
                  <w:r>
                    <w:rPr>
                      <w:highlight w:val="none"/>
                      <w:vertAlign w:val="superscript"/>
                    </w:rPr>
                    <w:t>3</w:t>
                  </w:r>
                  <w:r>
                    <w:rPr>
                      <w:highlight w:val="none"/>
                    </w:rPr>
                    <w:t>，开挖石方5314m</w:t>
                  </w:r>
                  <w:r>
                    <w:rPr>
                      <w:highlight w:val="none"/>
                      <w:vertAlign w:val="superscript"/>
                    </w:rPr>
                    <w:t>3</w:t>
                  </w:r>
                  <w:r>
                    <w:rPr>
                      <w:highlight w:val="none"/>
                    </w:rPr>
                    <w:t>，回填土方6563m</w:t>
                  </w:r>
                  <w:r>
                    <w:rPr>
                      <w:highlight w:val="none"/>
                      <w:vertAlign w:val="superscript"/>
                    </w:rPr>
                    <w:t>3</w:t>
                  </w:r>
                  <w:r>
                    <w:rPr>
                      <w:highlight w:val="none"/>
                    </w:rPr>
                    <w:t>，经土石方平衡，累计弃渣</w:t>
                  </w:r>
                  <w:r>
                    <w:rPr>
                      <w:rFonts w:hint="eastAsia"/>
                      <w:highlight w:val="none"/>
                      <w:lang w:val="en-US" w:eastAsia="zh-CN"/>
                    </w:rPr>
                    <w:t>28536</w:t>
                  </w:r>
                  <w:r>
                    <w:rPr>
                      <w:highlight w:val="none"/>
                    </w:rPr>
                    <w:t>万m</w:t>
                  </w:r>
                  <w:r>
                    <w:rPr>
                      <w:rFonts w:hint="eastAsia"/>
                      <w:highlight w:val="none"/>
                      <w:vertAlign w:val="superscript"/>
                      <w:lang w:val="en-US" w:eastAsia="zh-CN"/>
                    </w:rPr>
                    <w:t>3</w:t>
                  </w:r>
                  <w:r>
                    <w:rPr>
                      <w:rFonts w:hint="eastAsia"/>
                      <w:highlight w:val="none"/>
                      <w:lang w:eastAsia="zh-CN"/>
                    </w:rPr>
                    <w:t>，</w:t>
                  </w:r>
                  <w:r>
                    <w:rPr>
                      <w:highlight w:val="none"/>
                    </w:rPr>
                    <w:t>堆放在胡家城市规划区内</w:t>
                  </w:r>
                  <w:r>
                    <w:rPr>
                      <w:rFonts w:hint="eastAsia"/>
                      <w:highlight w:val="none"/>
                      <w:lang w:eastAsia="zh-CN"/>
                    </w:rPr>
                    <w:t>，</w:t>
                  </w:r>
                  <w:r>
                    <w:rPr>
                      <w:rFonts w:hint="eastAsia"/>
                      <w:highlight w:val="none"/>
                      <w:lang w:val="en-US" w:eastAsia="zh-CN"/>
                    </w:rPr>
                    <w:t>不再新设置弃渣场</w:t>
                  </w:r>
                  <w:r>
                    <w:rPr>
                      <w:rFonts w:hint="default"/>
                      <w:highlight w:val="none"/>
                      <w:lang w:eastAsia="zh-CN"/>
                    </w:rPr>
                    <w:t>。</w:t>
                  </w:r>
                  <w:r>
                    <w:rPr>
                      <w:highlight w:val="none"/>
                    </w:rPr>
                    <w:t>弃渣采用10t～15t自卸汽车运输至胡家城市规划区内，运距1.0km。</w:t>
                  </w:r>
                  <w:r>
                    <w:rPr>
                      <w:rFonts w:hint="default"/>
                      <w:highlight w:val="none"/>
                      <w:lang w:val="zh-CN"/>
                    </w:rPr>
                    <w:t>剥离的表土</w:t>
                  </w:r>
                  <w:r>
                    <w:rPr>
                      <w:rFonts w:hint="default"/>
                      <w:highlight w:val="none"/>
                      <w:lang w:val="en-US" w:eastAsia="zh-CN"/>
                    </w:rPr>
                    <w:t>全部</w:t>
                  </w:r>
                  <w:r>
                    <w:rPr>
                      <w:rFonts w:hint="default"/>
                      <w:highlight w:val="none"/>
                      <w:lang w:val="zh-CN"/>
                    </w:rPr>
                    <w:t>用于本</w:t>
                  </w:r>
                  <w:r>
                    <w:rPr>
                      <w:rFonts w:hint="eastAsia"/>
                      <w:highlight w:val="none"/>
                      <w:lang w:val="en-US" w:eastAsia="zh-CN"/>
                    </w:rPr>
                    <w:t>项目</w:t>
                  </w:r>
                  <w:r>
                    <w:rPr>
                      <w:rFonts w:hint="default"/>
                      <w:highlight w:val="none"/>
                      <w:lang w:val="zh-CN"/>
                    </w:rPr>
                    <w:t>区绿化覆土及复耕。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48" w:type="pct"/>
                  <w:vMerge w:val="continue"/>
                  <w:tcBorders>
                    <w:tl2br w:val="nil"/>
                    <w:tr2bl w:val="nil"/>
                  </w:tcBorders>
                  <w:noWrap w:val="0"/>
                  <w:vAlign w:val="center"/>
                </w:tcPr>
                <w:p>
                  <w:pPr>
                    <w:pStyle w:val="15"/>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u w:val="none"/>
                    </w:rPr>
                  </w:pPr>
                </w:p>
              </w:tc>
              <w:tc>
                <w:tcPr>
                  <w:tcW w:w="474" w:type="pct"/>
                  <w:gridSpan w:val="2"/>
                  <w:noWrap w:val="0"/>
                  <w:vAlign w:val="center"/>
                </w:tcPr>
                <w:p>
                  <w:pPr>
                    <w:pStyle w:val="15"/>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u w:val="none"/>
                    </w:rPr>
                  </w:pPr>
                  <w:r>
                    <w:rPr>
                      <w:rFonts w:hint="default" w:ascii="Times New Roman" w:hAnsi="Times New Roman" w:cs="Times New Roman"/>
                      <w:color w:val="auto"/>
                      <w:kern w:val="0"/>
                      <w:szCs w:val="21"/>
                      <w:highlight w:val="none"/>
                      <w:u w:val="none"/>
                    </w:rPr>
                    <w:t>施工临时便道</w:t>
                  </w:r>
                </w:p>
              </w:tc>
              <w:tc>
                <w:tcPr>
                  <w:tcW w:w="4076" w:type="pct"/>
                  <w:tcBorders>
                    <w:tl2br w:val="nil"/>
                    <w:tr2bl w:val="nil"/>
                  </w:tcBorders>
                  <w:noWrap w:val="0"/>
                  <w:vAlign w:val="center"/>
                </w:tcPr>
                <w:p>
                  <w:pPr>
                    <w:pStyle w:val="15"/>
                    <w:bidi w:val="0"/>
                    <w:jc w:val="left"/>
                    <w:rPr>
                      <w:rFonts w:hint="default"/>
                      <w:highlight w:val="none"/>
                      <w:lang w:eastAsia="zh-CN"/>
                    </w:rPr>
                  </w:pPr>
                  <w:r>
                    <w:rPr>
                      <w:highlight w:val="none"/>
                    </w:rPr>
                    <w:t>工程区场内交通采用公路运输，堤防边有乡村公路连接。场内交通利用已有公路和堤顶进行，不再另计交通便道。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48" w:type="pct"/>
                  <w:tcBorders>
                    <w:tl2br w:val="nil"/>
                    <w:tr2bl w:val="nil"/>
                  </w:tcBorders>
                  <w:noWrap w:val="0"/>
                  <w:vAlign w:val="center"/>
                </w:tcPr>
                <w:p>
                  <w:pPr>
                    <w:pStyle w:val="15"/>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rPr>
                    <w:t>拆迁工程</w:t>
                  </w:r>
                </w:p>
              </w:tc>
              <w:tc>
                <w:tcPr>
                  <w:tcW w:w="4551" w:type="pct"/>
                  <w:gridSpan w:val="3"/>
                  <w:tcBorders>
                    <w:tl2br w:val="nil"/>
                    <w:tr2bl w:val="nil"/>
                  </w:tcBorders>
                  <w:noWrap w:val="0"/>
                  <w:vAlign w:val="center"/>
                </w:tcPr>
                <w:p>
                  <w:pPr>
                    <w:pStyle w:val="15"/>
                    <w:keepNext w:val="0"/>
                    <w:keepLines w:val="0"/>
                    <w:suppressLineNumbers w:val="0"/>
                    <w:bidi w:val="0"/>
                    <w:spacing w:before="0" w:beforeAutospacing="0" w:after="0" w:afterAutospacing="0"/>
                    <w:ind w:left="0" w:right="0"/>
                    <w:jc w:val="left"/>
                    <w:rPr>
                      <w:rFonts w:hint="default" w:ascii="Times New Roman" w:hAnsi="Times New Roman" w:eastAsia="宋体" w:cs="Times New Roman"/>
                      <w:color w:val="auto"/>
                      <w:highlight w:val="none"/>
                      <w:u w:val="none"/>
                      <w:lang w:eastAsia="zh-CN"/>
                    </w:rPr>
                  </w:pPr>
                  <w:r>
                    <w:rPr>
                      <w:rFonts w:hint="default" w:ascii="Times New Roman" w:hAnsi="Times New Roman" w:cs="Times New Roman"/>
                      <w:color w:val="auto"/>
                      <w:highlight w:val="none"/>
                      <w:u w:val="none"/>
                    </w:rPr>
                    <w:t>本项目不涉及拆迁安置问题</w:t>
                  </w:r>
                  <w:r>
                    <w:rPr>
                      <w:rFonts w:hint="default" w:ascii="Times New Roman" w:hAnsi="Times New Roman" w:cs="Times New Roman"/>
                      <w:color w:val="auto"/>
                      <w:highlight w:val="none"/>
                      <w:u w:val="no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48" w:type="pct"/>
                  <w:vMerge w:val="restart"/>
                  <w:tcBorders>
                    <w:tl2br w:val="nil"/>
                    <w:tr2bl w:val="nil"/>
                  </w:tcBorders>
                  <w:noWrap w:val="0"/>
                  <w:vAlign w:val="center"/>
                </w:tcPr>
                <w:p>
                  <w:pPr>
                    <w:pStyle w:val="1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公用工程</w:t>
                  </w:r>
                </w:p>
              </w:tc>
              <w:tc>
                <w:tcPr>
                  <w:tcW w:w="474" w:type="pct"/>
                  <w:gridSpan w:val="2"/>
                  <w:tcBorders>
                    <w:tl2br w:val="nil"/>
                    <w:tr2bl w:val="nil"/>
                  </w:tcBorders>
                  <w:noWrap w:val="0"/>
                  <w:vAlign w:val="center"/>
                </w:tcPr>
                <w:p>
                  <w:pPr>
                    <w:pStyle w:val="15"/>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cs="Times New Roman"/>
                      <w:color w:val="auto"/>
                      <w:highlight w:val="none"/>
                      <w:u w:val="none"/>
                    </w:rPr>
                    <w:t>施工用水</w:t>
                  </w:r>
                </w:p>
              </w:tc>
              <w:tc>
                <w:tcPr>
                  <w:tcW w:w="4076" w:type="pct"/>
                  <w:tcBorders>
                    <w:tl2br w:val="nil"/>
                    <w:tr2bl w:val="nil"/>
                  </w:tcBorders>
                  <w:noWrap w:val="0"/>
                  <w:vAlign w:val="center"/>
                </w:tcPr>
                <w:p>
                  <w:pPr>
                    <w:pStyle w:val="15"/>
                    <w:keepNext w:val="0"/>
                    <w:keepLines w:val="0"/>
                    <w:suppressLineNumbers w:val="0"/>
                    <w:bidi w:val="0"/>
                    <w:spacing w:before="0" w:beforeAutospacing="0" w:after="0" w:afterAutospacing="0"/>
                    <w:ind w:left="0" w:leftChars="0" w:right="0" w:rightChars="0" w:firstLine="0" w:firstLineChars="0"/>
                    <w:jc w:val="left"/>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cs="Times New Roman"/>
                      <w:color w:val="auto"/>
                      <w:kern w:val="0"/>
                      <w:szCs w:val="21"/>
                      <w:highlight w:val="none"/>
                      <w:u w:val="none"/>
                    </w:rPr>
                    <w:t>直接由水泵从</w:t>
                  </w:r>
                  <w:r>
                    <w:rPr>
                      <w:rFonts w:hint="eastAsia" w:ascii="Times New Roman" w:hAnsi="Times New Roman" w:cs="Times New Roman"/>
                      <w:color w:val="auto"/>
                      <w:kern w:val="0"/>
                      <w:szCs w:val="21"/>
                      <w:highlight w:val="none"/>
                      <w:u w:val="none"/>
                      <w:lang w:val="en-US" w:eastAsia="zh-CN"/>
                    </w:rPr>
                    <w:t>胡家河、油坊沟</w:t>
                  </w:r>
                  <w:r>
                    <w:rPr>
                      <w:rFonts w:hint="default" w:ascii="Times New Roman" w:hAnsi="Times New Roman" w:cs="Times New Roman"/>
                      <w:color w:val="auto"/>
                      <w:kern w:val="0"/>
                      <w:szCs w:val="21"/>
                      <w:highlight w:val="none"/>
                      <w:u w:val="none"/>
                    </w:rPr>
                    <w:t>抽水</w:t>
                  </w:r>
                  <w:r>
                    <w:rPr>
                      <w:rFonts w:hint="default" w:ascii="Times New Roman" w:hAnsi="Times New Roman" w:cs="Times New Roman"/>
                      <w:color w:val="auto"/>
                      <w:kern w:val="0"/>
                      <w:szCs w:val="21"/>
                      <w:highlight w:val="none"/>
                      <w:u w:val="no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48" w:type="pct"/>
                  <w:vMerge w:val="continue"/>
                  <w:tcBorders>
                    <w:tl2br w:val="nil"/>
                    <w:tr2bl w:val="nil"/>
                  </w:tcBorders>
                  <w:noWrap w:val="0"/>
                  <w:vAlign w:val="center"/>
                </w:tcPr>
                <w:p>
                  <w:pPr>
                    <w:pStyle w:val="15"/>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u w:val="none"/>
                      <w:lang w:val="en-US" w:eastAsia="zh-CN"/>
                    </w:rPr>
                  </w:pPr>
                </w:p>
              </w:tc>
              <w:tc>
                <w:tcPr>
                  <w:tcW w:w="474" w:type="pct"/>
                  <w:gridSpan w:val="2"/>
                  <w:tcBorders>
                    <w:tl2br w:val="nil"/>
                    <w:tr2bl w:val="nil"/>
                  </w:tcBorders>
                  <w:noWrap w:val="0"/>
                  <w:vAlign w:val="center"/>
                </w:tcPr>
                <w:p>
                  <w:pPr>
                    <w:pStyle w:val="15"/>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cs="Times New Roman"/>
                      <w:color w:val="auto"/>
                      <w:highlight w:val="none"/>
                      <w:u w:val="none"/>
                      <w:lang w:val="en-US" w:eastAsia="zh-CN"/>
                    </w:rPr>
                    <w:t>施工用电</w:t>
                  </w:r>
                </w:p>
              </w:tc>
              <w:tc>
                <w:tcPr>
                  <w:tcW w:w="4076" w:type="pct"/>
                  <w:tcBorders>
                    <w:tl2br w:val="nil"/>
                    <w:tr2bl w:val="nil"/>
                  </w:tcBorders>
                  <w:noWrap w:val="0"/>
                  <w:vAlign w:val="center"/>
                </w:tcPr>
                <w:p>
                  <w:pPr>
                    <w:pStyle w:val="15"/>
                    <w:bidi w:val="0"/>
                    <w:jc w:val="left"/>
                    <w:rPr>
                      <w:rFonts w:hint="eastAsia" w:eastAsia="宋体"/>
                      <w:highlight w:val="none"/>
                      <w:lang w:val="en-US" w:eastAsia="zh-CN"/>
                    </w:rPr>
                  </w:pPr>
                  <w:r>
                    <w:rPr>
                      <w:highlight w:val="none"/>
                    </w:rPr>
                    <w:t>施工供电就近接长0.4</w:t>
                  </w:r>
                  <w:r>
                    <w:rPr>
                      <w:rFonts w:hint="eastAsia"/>
                      <w:highlight w:val="none"/>
                      <w:lang w:val="en-US" w:eastAsia="zh-CN"/>
                    </w:rPr>
                    <w:t>k</w:t>
                  </w:r>
                  <w:r>
                    <w:rPr>
                      <w:highlight w:val="none"/>
                    </w:rPr>
                    <w:t>m的10KV输电线至堤防施工区降压站，降压站2座（分别布置胡家河左上段和油坊沟右上段，其余两段堤防直接从</w:t>
                  </w:r>
                  <w:r>
                    <w:rPr>
                      <w:rFonts w:hint="eastAsia"/>
                      <w:highlight w:val="none"/>
                      <w:lang w:val="en-US" w:eastAsia="zh-CN"/>
                    </w:rPr>
                    <w:t>附近</w:t>
                  </w:r>
                  <w:r>
                    <w:rPr>
                      <w:highlight w:val="none"/>
                    </w:rPr>
                    <w:t>用电户接入），容量100KVA（大于施工最大供电计算容量75KVA）</w:t>
                  </w:r>
                  <w:r>
                    <w:rPr>
                      <w:rFonts w:hint="eastAsia"/>
                      <w:highlight w:val="no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48" w:type="pct"/>
                  <w:vMerge w:val="restart"/>
                  <w:tcBorders>
                    <w:tl2br w:val="nil"/>
                    <w:tr2bl w:val="nil"/>
                  </w:tcBorders>
                  <w:noWrap w:val="0"/>
                  <w:vAlign w:val="center"/>
                </w:tcPr>
                <w:p>
                  <w:pPr>
                    <w:pStyle w:val="15"/>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u w:val="none"/>
                      <w:lang w:eastAsia="zh-CN"/>
                    </w:rPr>
                  </w:pPr>
                  <w:r>
                    <w:rPr>
                      <w:rFonts w:hint="default" w:ascii="Times New Roman" w:hAnsi="Times New Roman" w:cs="Times New Roman"/>
                      <w:color w:val="auto"/>
                      <w:highlight w:val="none"/>
                      <w:u w:val="none"/>
                    </w:rPr>
                    <w:t>环保工程</w:t>
                  </w:r>
                </w:p>
              </w:tc>
              <w:tc>
                <w:tcPr>
                  <w:tcW w:w="231" w:type="pct"/>
                  <w:vMerge w:val="restart"/>
                  <w:tcBorders>
                    <w:tl2br w:val="nil"/>
                    <w:tr2bl w:val="nil"/>
                  </w:tcBorders>
                  <w:noWrap w:val="0"/>
                  <w:vAlign w:val="center"/>
                </w:tcPr>
                <w:p>
                  <w:pPr>
                    <w:pStyle w:val="15"/>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lang w:val="en-US" w:eastAsia="zh-CN"/>
                    </w:rPr>
                    <w:t>废水污染防治措施</w:t>
                  </w:r>
                </w:p>
              </w:tc>
              <w:tc>
                <w:tcPr>
                  <w:tcW w:w="242" w:type="pct"/>
                  <w:vMerge w:val="restart"/>
                  <w:tcBorders>
                    <w:tl2br w:val="nil"/>
                    <w:tr2bl w:val="nil"/>
                  </w:tcBorders>
                  <w:noWrap w:val="0"/>
                  <w:vAlign w:val="center"/>
                </w:tcPr>
                <w:p>
                  <w:pPr>
                    <w:pStyle w:val="15"/>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lang w:val="en-US" w:eastAsia="zh-CN"/>
                    </w:rPr>
                    <w:t>施工期</w:t>
                  </w:r>
                </w:p>
              </w:tc>
              <w:tc>
                <w:tcPr>
                  <w:tcW w:w="4076" w:type="pct"/>
                  <w:tcBorders>
                    <w:tl2br w:val="nil"/>
                    <w:tr2bl w:val="nil"/>
                  </w:tcBorders>
                  <w:noWrap w:val="0"/>
                  <w:vAlign w:val="center"/>
                </w:tcPr>
                <w:p>
                  <w:pPr>
                    <w:pStyle w:val="15"/>
                    <w:keepNext w:val="0"/>
                    <w:keepLines w:val="0"/>
                    <w:suppressLineNumbers w:val="0"/>
                    <w:bidi w:val="0"/>
                    <w:spacing w:before="0" w:beforeAutospacing="0" w:after="0" w:afterAutospacing="0"/>
                    <w:ind w:left="0" w:right="0"/>
                    <w:jc w:val="left"/>
                    <w:rPr>
                      <w:rFonts w:hint="default" w:ascii="Times New Roman" w:hAnsi="Times New Roman" w:cs="Times New Roman"/>
                      <w:color w:val="auto"/>
                      <w:highlight w:val="none"/>
                      <w:u w:val="none"/>
                    </w:rPr>
                  </w:pPr>
                  <w:r>
                    <w:rPr>
                      <w:rFonts w:hint="default"/>
                      <w:b/>
                      <w:bCs/>
                      <w:highlight w:val="none"/>
                      <w:lang w:val="en-US" w:eastAsia="zh-CN"/>
                    </w:rPr>
                    <w:t>混凝土拌合及砼浇筑系统清洗废水</w:t>
                  </w:r>
                  <w:r>
                    <w:rPr>
                      <w:rFonts w:hint="default"/>
                      <w:highlight w:val="none"/>
                    </w:rPr>
                    <w:t>：</w:t>
                  </w:r>
                  <w:r>
                    <w:rPr>
                      <w:rFonts w:hint="default"/>
                      <w:highlight w:val="none"/>
                      <w:lang w:val="en-US" w:eastAsia="zh-CN"/>
                    </w:rPr>
                    <w:t>采用预沉与沉淀组合的二级沉淀型式和土工布除油处理措施处理后进行回用于施工及洒水降尘，不外排。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48" w:type="pct"/>
                  <w:vMerge w:val="continue"/>
                  <w:tcBorders>
                    <w:tl2br w:val="nil"/>
                    <w:tr2bl w:val="nil"/>
                  </w:tcBorders>
                  <w:noWrap w:val="0"/>
                  <w:vAlign w:val="center"/>
                </w:tcPr>
                <w:p>
                  <w:pPr>
                    <w:pStyle w:val="15"/>
                    <w:bidi w:val="0"/>
                    <w:rPr>
                      <w:rFonts w:hint="default" w:ascii="Times New Roman" w:hAnsi="Times New Roman" w:cs="Times New Roman"/>
                      <w:highlight w:val="none"/>
                    </w:rPr>
                  </w:pPr>
                </w:p>
              </w:tc>
              <w:tc>
                <w:tcPr>
                  <w:tcW w:w="231" w:type="pct"/>
                  <w:vMerge w:val="continue"/>
                  <w:tcBorders>
                    <w:tl2br w:val="nil"/>
                    <w:tr2bl w:val="nil"/>
                  </w:tcBorders>
                  <w:noWrap w:val="0"/>
                  <w:vAlign w:val="center"/>
                </w:tcPr>
                <w:p>
                  <w:pPr>
                    <w:pStyle w:val="15"/>
                    <w:bidi w:val="0"/>
                    <w:rPr>
                      <w:rFonts w:hint="default" w:ascii="Times New Roman" w:hAnsi="Times New Roman" w:cs="Times New Roman"/>
                      <w:highlight w:val="none"/>
                    </w:rPr>
                  </w:pPr>
                </w:p>
              </w:tc>
              <w:tc>
                <w:tcPr>
                  <w:tcW w:w="242" w:type="pct"/>
                  <w:vMerge w:val="continue"/>
                  <w:tcBorders>
                    <w:tl2br w:val="nil"/>
                    <w:tr2bl w:val="nil"/>
                  </w:tcBorders>
                  <w:noWrap w:val="0"/>
                  <w:vAlign w:val="center"/>
                </w:tcPr>
                <w:p>
                  <w:pPr>
                    <w:pStyle w:val="15"/>
                    <w:bidi w:val="0"/>
                    <w:rPr>
                      <w:rFonts w:hint="default" w:ascii="Times New Roman" w:hAnsi="Times New Roman" w:cs="Times New Roman"/>
                      <w:highlight w:val="none"/>
                    </w:rPr>
                  </w:pPr>
                </w:p>
              </w:tc>
              <w:tc>
                <w:tcPr>
                  <w:tcW w:w="6977" w:type="dxa"/>
                  <w:tcBorders>
                    <w:tl2br w:val="nil"/>
                    <w:tr2bl w:val="nil"/>
                  </w:tcBorders>
                  <w:noWrap w:val="0"/>
                  <w:vAlign w:val="center"/>
                </w:tcPr>
                <w:p>
                  <w:pPr>
                    <w:pStyle w:val="15"/>
                    <w:bidi w:val="0"/>
                    <w:jc w:val="left"/>
                    <w:rPr>
                      <w:rFonts w:hint="default"/>
                      <w:highlight w:val="none"/>
                      <w:lang w:val="en-US" w:eastAsia="zh-CN"/>
                    </w:rPr>
                  </w:pPr>
                  <w:r>
                    <w:rPr>
                      <w:rFonts w:hint="eastAsia"/>
                      <w:b/>
                      <w:bCs/>
                      <w:highlight w:val="none"/>
                      <w:lang w:val="en-US" w:eastAsia="zh-CN"/>
                    </w:rPr>
                    <w:t>堤防施工废水</w:t>
                  </w:r>
                  <w:r>
                    <w:rPr>
                      <w:rFonts w:hint="default"/>
                      <w:highlight w:val="none"/>
                      <w:lang w:val="en-US" w:eastAsia="zh-CN"/>
                    </w:rPr>
                    <w:t>：</w:t>
                  </w:r>
                  <w:r>
                    <w:rPr>
                      <w:rFonts w:hint="eastAsia"/>
                      <w:highlight w:val="none"/>
                      <w:lang w:val="en-US" w:eastAsia="zh-CN"/>
                    </w:rPr>
                    <w:t>采用</w:t>
                  </w:r>
                  <w:r>
                    <w:rPr>
                      <w:color w:val="auto"/>
                      <w:highlight w:val="none"/>
                    </w:rPr>
                    <w:t>全断面围堰</w:t>
                  </w:r>
                  <w:r>
                    <w:rPr>
                      <w:highlight w:val="none"/>
                    </w:rPr>
                    <w:t>配合管道进行导流</w:t>
                  </w:r>
                  <w:r>
                    <w:rPr>
                      <w:rFonts w:hint="eastAsia"/>
                      <w:highlight w:val="none"/>
                      <w:lang w:eastAsia="zh-CN"/>
                    </w:rPr>
                    <w:t>，</w:t>
                  </w:r>
                  <w:r>
                    <w:rPr>
                      <w:rFonts w:hint="default"/>
                      <w:highlight w:val="none"/>
                    </w:rPr>
                    <w:t>导流围堰采用</w:t>
                  </w:r>
                  <w:r>
                    <w:rPr>
                      <w:highlight w:val="none"/>
                    </w:rPr>
                    <w:t>袋装粉质黏土</w:t>
                  </w:r>
                  <w:r>
                    <w:rPr>
                      <w:rFonts w:hint="default"/>
                      <w:highlight w:val="none"/>
                    </w:rPr>
                    <w:t>，</w:t>
                  </w:r>
                  <w:r>
                    <w:rPr>
                      <w:rFonts w:hint="default"/>
                      <w:highlight w:val="none"/>
                      <w:lang w:val="en-US" w:eastAsia="zh-CN"/>
                    </w:rPr>
                    <w:t>结合</w:t>
                  </w:r>
                  <w:r>
                    <w:rPr>
                      <w:rFonts w:hint="default"/>
                      <w:highlight w:val="none"/>
                    </w:rPr>
                    <w:t>土工膜防渗</w:t>
                  </w:r>
                  <w:r>
                    <w:rPr>
                      <w:rFonts w:hint="eastAsia"/>
                      <w:highlight w:val="none"/>
                      <w:lang w:eastAsia="zh-CN"/>
                    </w:rPr>
                    <w:t>，</w:t>
                  </w:r>
                  <w:r>
                    <w:rPr>
                      <w:highlight w:val="none"/>
                      <w:lang w:val="en-US" w:eastAsia="zh-CN"/>
                    </w:rPr>
                    <w:t>围堰主体采</w:t>
                  </w:r>
                  <w:r>
                    <w:rPr>
                      <w:rFonts w:hint="eastAsia"/>
                      <w:highlight w:val="none"/>
                      <w:lang w:val="en-US" w:eastAsia="zh-CN"/>
                    </w:rPr>
                    <w:t>用开挖石碴料碾压而成，</w:t>
                  </w:r>
                  <w:r>
                    <w:rPr>
                      <w:rFonts w:hint="default"/>
                      <w:highlight w:val="none"/>
                      <w:lang w:val="en-US" w:eastAsia="zh-CN"/>
                    </w:rPr>
                    <w:t>避免围堰施工对河流水质产生影响。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48" w:type="pct"/>
                  <w:vMerge w:val="continue"/>
                  <w:tcBorders>
                    <w:tl2br w:val="nil"/>
                    <w:tr2bl w:val="nil"/>
                  </w:tcBorders>
                  <w:noWrap w:val="0"/>
                  <w:vAlign w:val="center"/>
                </w:tcPr>
                <w:p>
                  <w:pPr>
                    <w:pStyle w:val="15"/>
                    <w:bidi w:val="0"/>
                    <w:rPr>
                      <w:rFonts w:hint="default" w:ascii="Times New Roman" w:hAnsi="Times New Roman" w:cs="Times New Roman"/>
                      <w:b/>
                      <w:bCs/>
                      <w:highlight w:val="none"/>
                      <w:lang w:val="en-US" w:eastAsia="zh-CN"/>
                    </w:rPr>
                  </w:pPr>
                </w:p>
              </w:tc>
              <w:tc>
                <w:tcPr>
                  <w:tcW w:w="231" w:type="pct"/>
                  <w:vMerge w:val="continue"/>
                  <w:tcBorders>
                    <w:tl2br w:val="nil"/>
                    <w:tr2bl w:val="nil"/>
                  </w:tcBorders>
                  <w:noWrap w:val="0"/>
                  <w:vAlign w:val="center"/>
                </w:tcPr>
                <w:p>
                  <w:pPr>
                    <w:pStyle w:val="15"/>
                    <w:bidi w:val="0"/>
                    <w:rPr>
                      <w:rFonts w:hint="default" w:ascii="Times New Roman" w:hAnsi="Times New Roman" w:cs="Times New Roman"/>
                      <w:b/>
                      <w:bCs/>
                      <w:highlight w:val="none"/>
                      <w:lang w:val="en-US" w:eastAsia="zh-CN"/>
                    </w:rPr>
                  </w:pPr>
                </w:p>
              </w:tc>
              <w:tc>
                <w:tcPr>
                  <w:tcW w:w="242" w:type="pct"/>
                  <w:vMerge w:val="continue"/>
                  <w:tcBorders>
                    <w:tl2br w:val="nil"/>
                    <w:tr2bl w:val="nil"/>
                  </w:tcBorders>
                  <w:noWrap w:val="0"/>
                  <w:vAlign w:val="center"/>
                </w:tcPr>
                <w:p>
                  <w:pPr>
                    <w:pStyle w:val="15"/>
                    <w:bidi w:val="0"/>
                    <w:rPr>
                      <w:rFonts w:hint="default" w:ascii="Times New Roman" w:hAnsi="Times New Roman" w:cs="Times New Roman"/>
                      <w:b/>
                      <w:bCs/>
                      <w:highlight w:val="none"/>
                      <w:lang w:val="en-US" w:eastAsia="zh-CN"/>
                    </w:rPr>
                  </w:pPr>
                </w:p>
              </w:tc>
              <w:tc>
                <w:tcPr>
                  <w:tcW w:w="4076" w:type="pct"/>
                  <w:tcBorders>
                    <w:tl2br w:val="nil"/>
                    <w:tr2bl w:val="nil"/>
                  </w:tcBorders>
                  <w:noWrap w:val="0"/>
                  <w:vAlign w:val="center"/>
                </w:tcPr>
                <w:p>
                  <w:pPr>
                    <w:pStyle w:val="15"/>
                    <w:jc w:val="left"/>
                    <w:rPr>
                      <w:rFonts w:hint="default" w:ascii="Times New Roman" w:hAnsi="Times New Roman" w:cs="Times New Roman"/>
                      <w:b/>
                      <w:bCs/>
                      <w:highlight w:val="none"/>
                      <w:lang w:val="en-US" w:eastAsia="zh-CN"/>
                    </w:rPr>
                  </w:pPr>
                  <w:r>
                    <w:rPr>
                      <w:rFonts w:hint="default" w:ascii="Times New Roman" w:hAnsi="Times New Roman" w:cs="Times New Roman"/>
                      <w:b/>
                      <w:bCs/>
                      <w:color w:val="auto"/>
                      <w:highlight w:val="none"/>
                      <w:u w:val="none"/>
                      <w:lang w:val="en-US" w:eastAsia="zh-CN"/>
                    </w:rPr>
                    <w:t>防洪堤基坑排水</w:t>
                  </w:r>
                  <w:r>
                    <w:rPr>
                      <w:rFonts w:hint="default" w:ascii="Times New Roman" w:hAnsi="Times New Roman" w:cs="Times New Roman"/>
                      <w:color w:val="auto"/>
                      <w:highlight w:val="none"/>
                      <w:u w:val="none"/>
                      <w:lang w:val="en-US" w:eastAsia="zh-CN"/>
                    </w:rPr>
                    <w:t>：</w:t>
                  </w:r>
                  <w:r>
                    <w:rPr>
                      <w:rFonts w:hint="default" w:ascii="Times New Roman" w:hAnsi="Times New Roman" w:eastAsia="宋体" w:cs="Times New Roman"/>
                      <w:color w:val="auto"/>
                      <w:highlight w:val="none"/>
                      <w:u w:val="none"/>
                      <w:lang w:val="en-US" w:eastAsia="zh-CN"/>
                    </w:rPr>
                    <w:t>采用混凝土管配水泵抽排水，排水管端部设置沉淀池，基坑废水及地面径流水经沉淀池处理后，</w:t>
                  </w:r>
                  <w:r>
                    <w:rPr>
                      <w:rFonts w:hint="default" w:ascii="Times New Roman" w:hAnsi="Times New Roman" w:cs="Times New Roman"/>
                      <w:color w:val="auto"/>
                      <w:highlight w:val="none"/>
                      <w:u w:val="none"/>
                    </w:rPr>
                    <w:t>用于</w:t>
                  </w:r>
                  <w:r>
                    <w:rPr>
                      <w:rFonts w:hint="default" w:ascii="Times New Roman" w:hAnsi="Times New Roman" w:cs="Times New Roman"/>
                      <w:color w:val="auto"/>
                      <w:highlight w:val="none"/>
                      <w:u w:val="none"/>
                      <w:lang w:eastAsia="zh-CN"/>
                    </w:rPr>
                    <w:t>项目施工用水及洒水降尘</w:t>
                  </w:r>
                  <w:r>
                    <w:rPr>
                      <w:rFonts w:hint="default" w:ascii="Times New Roman" w:hAnsi="Times New Roman" w:cs="Times New Roman"/>
                      <w:color w:val="auto"/>
                      <w:highlight w:val="none"/>
                      <w:u w:val="none"/>
                    </w:rPr>
                    <w:t>，</w:t>
                  </w:r>
                  <w:r>
                    <w:rPr>
                      <w:rFonts w:hint="default" w:ascii="Times New Roman" w:hAnsi="Times New Roman" w:cs="Times New Roman"/>
                      <w:color w:val="auto"/>
                      <w:highlight w:val="none"/>
                      <w:u w:val="none"/>
                      <w:lang w:eastAsia="zh-CN"/>
                    </w:rPr>
                    <w:t>不</w:t>
                  </w:r>
                  <w:r>
                    <w:rPr>
                      <w:rFonts w:hint="default" w:ascii="Times New Roman" w:hAnsi="Times New Roman" w:cs="Times New Roman"/>
                      <w:color w:val="auto"/>
                      <w:highlight w:val="none"/>
                      <w:u w:val="none"/>
                    </w:rPr>
                    <w:t>外排。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48" w:type="pct"/>
                  <w:vMerge w:val="continue"/>
                  <w:tcBorders>
                    <w:tl2br w:val="nil"/>
                    <w:tr2bl w:val="nil"/>
                  </w:tcBorders>
                  <w:noWrap w:val="0"/>
                  <w:vAlign w:val="center"/>
                </w:tcPr>
                <w:p>
                  <w:pPr>
                    <w:pStyle w:val="15"/>
                    <w:bidi w:val="0"/>
                    <w:rPr>
                      <w:rFonts w:hint="default" w:ascii="Times New Roman" w:hAnsi="Times New Roman" w:cs="Times New Roman"/>
                      <w:b/>
                      <w:bCs/>
                      <w:highlight w:val="none"/>
                      <w:lang w:val="en-US" w:eastAsia="zh-CN"/>
                    </w:rPr>
                  </w:pPr>
                </w:p>
              </w:tc>
              <w:tc>
                <w:tcPr>
                  <w:tcW w:w="231" w:type="pct"/>
                  <w:vMerge w:val="continue"/>
                  <w:tcBorders>
                    <w:tl2br w:val="nil"/>
                    <w:tr2bl w:val="nil"/>
                  </w:tcBorders>
                  <w:noWrap w:val="0"/>
                  <w:vAlign w:val="center"/>
                </w:tcPr>
                <w:p>
                  <w:pPr>
                    <w:pStyle w:val="15"/>
                    <w:bidi w:val="0"/>
                    <w:rPr>
                      <w:rFonts w:hint="default" w:ascii="Times New Roman" w:hAnsi="Times New Roman" w:cs="Times New Roman"/>
                      <w:b/>
                      <w:bCs/>
                      <w:highlight w:val="none"/>
                      <w:lang w:val="en-US" w:eastAsia="zh-CN"/>
                    </w:rPr>
                  </w:pPr>
                </w:p>
              </w:tc>
              <w:tc>
                <w:tcPr>
                  <w:tcW w:w="242" w:type="pct"/>
                  <w:vMerge w:val="continue"/>
                  <w:tcBorders>
                    <w:tl2br w:val="nil"/>
                    <w:tr2bl w:val="nil"/>
                  </w:tcBorders>
                  <w:noWrap w:val="0"/>
                  <w:vAlign w:val="center"/>
                </w:tcPr>
                <w:p>
                  <w:pPr>
                    <w:pStyle w:val="15"/>
                    <w:bidi w:val="0"/>
                    <w:rPr>
                      <w:rFonts w:hint="default" w:ascii="Times New Roman" w:hAnsi="Times New Roman" w:cs="Times New Roman"/>
                      <w:b/>
                      <w:bCs/>
                      <w:highlight w:val="none"/>
                      <w:lang w:val="en-US" w:eastAsia="zh-CN"/>
                    </w:rPr>
                  </w:pPr>
                </w:p>
              </w:tc>
              <w:tc>
                <w:tcPr>
                  <w:tcW w:w="4076" w:type="pct"/>
                  <w:tcBorders>
                    <w:tl2br w:val="nil"/>
                    <w:tr2bl w:val="nil"/>
                  </w:tcBorders>
                  <w:noWrap w:val="0"/>
                  <w:vAlign w:val="center"/>
                </w:tcPr>
                <w:p>
                  <w:pPr>
                    <w:pStyle w:val="15"/>
                    <w:bidi w:val="0"/>
                    <w:jc w:val="left"/>
                    <w:rPr>
                      <w:rFonts w:hint="default" w:ascii="Times New Roman" w:hAnsi="Times New Roman" w:eastAsia="宋体" w:cs="Times New Roman"/>
                      <w:b/>
                      <w:bCs/>
                      <w:highlight w:val="none"/>
                      <w:lang w:val="en-US" w:eastAsia="zh-CN"/>
                    </w:rPr>
                  </w:pPr>
                  <w:r>
                    <w:rPr>
                      <w:rFonts w:hint="default"/>
                      <w:b/>
                      <w:bCs/>
                      <w:highlight w:val="none"/>
                      <w:lang w:val="en-US" w:eastAsia="zh-CN"/>
                    </w:rPr>
                    <w:t>车辆机械冲洗废水</w:t>
                  </w:r>
                  <w:r>
                    <w:rPr>
                      <w:rFonts w:hint="eastAsia"/>
                      <w:b w:val="0"/>
                      <w:bCs w:val="0"/>
                      <w:highlight w:val="none"/>
                      <w:lang w:val="en-US" w:eastAsia="zh-CN"/>
                    </w:rPr>
                    <w:t>:</w:t>
                  </w:r>
                  <w:r>
                    <w:rPr>
                      <w:rFonts w:hint="default" w:ascii="Times New Roman" w:hAnsi="Times New Roman" w:eastAsia="宋体" w:cs="Times New Roman"/>
                      <w:color w:val="auto"/>
                      <w:highlight w:val="none"/>
                      <w:u w:val="none"/>
                      <w:lang w:val="en-US" w:eastAsia="zh-CN"/>
                    </w:rPr>
                    <w:t>经</w:t>
                  </w:r>
                  <w:r>
                    <w:rPr>
                      <w:rFonts w:hint="default" w:ascii="Times New Roman" w:hAnsi="Times New Roman" w:cs="Times New Roman"/>
                      <w:color w:val="auto"/>
                      <w:szCs w:val="32"/>
                      <w:highlight w:val="none"/>
                      <w:u w:val="none"/>
                    </w:rPr>
                    <w:t>隔油</w:t>
                  </w:r>
                  <w:r>
                    <w:rPr>
                      <w:rFonts w:hint="default" w:ascii="Times New Roman" w:hAnsi="Times New Roman" w:cs="Times New Roman"/>
                      <w:color w:val="auto"/>
                      <w:szCs w:val="32"/>
                      <w:highlight w:val="none"/>
                      <w:u w:val="none"/>
                      <w:lang w:val="en-US" w:eastAsia="zh-CN"/>
                    </w:rPr>
                    <w:t>池和</w:t>
                  </w:r>
                  <w:r>
                    <w:rPr>
                      <w:rFonts w:hint="default" w:ascii="Times New Roman" w:hAnsi="Times New Roman" w:cs="Times New Roman"/>
                      <w:color w:val="auto"/>
                      <w:szCs w:val="32"/>
                      <w:highlight w:val="none"/>
                      <w:u w:val="none"/>
                    </w:rPr>
                    <w:t>沉淀</w:t>
                  </w:r>
                  <w:r>
                    <w:rPr>
                      <w:rFonts w:hint="default" w:ascii="Times New Roman" w:hAnsi="Times New Roman" w:cs="Times New Roman"/>
                      <w:color w:val="auto"/>
                      <w:szCs w:val="32"/>
                      <w:highlight w:val="none"/>
                      <w:u w:val="none"/>
                      <w:lang w:val="en-US" w:eastAsia="zh-CN"/>
                    </w:rPr>
                    <w:t>池</w:t>
                  </w:r>
                  <w:r>
                    <w:rPr>
                      <w:rFonts w:hint="default" w:ascii="Times New Roman" w:hAnsi="Times New Roman" w:cs="Times New Roman"/>
                      <w:color w:val="auto"/>
                      <w:szCs w:val="32"/>
                      <w:highlight w:val="none"/>
                      <w:u w:val="none"/>
                    </w:rPr>
                    <w:t>处理后循环使用，</w:t>
                  </w:r>
                  <w:r>
                    <w:rPr>
                      <w:rFonts w:hint="default" w:ascii="Times New Roman" w:hAnsi="Times New Roman" w:eastAsia="宋体" w:cs="Times New Roman"/>
                      <w:color w:val="auto"/>
                      <w:szCs w:val="32"/>
                      <w:highlight w:val="none"/>
                      <w:u w:val="none"/>
                      <w:lang w:val="en-US" w:eastAsia="zh-CN"/>
                    </w:rPr>
                    <w:t>可用于</w:t>
                  </w:r>
                  <w:r>
                    <w:rPr>
                      <w:rFonts w:hint="default" w:ascii="Times New Roman" w:hAnsi="Times New Roman" w:eastAsia="宋体" w:cs="Times New Roman"/>
                      <w:color w:val="auto"/>
                      <w:szCs w:val="32"/>
                      <w:highlight w:val="none"/>
                      <w:u w:val="none"/>
                    </w:rPr>
                    <w:t>场地洒水，沉渣运往专门处理场所进行消纳处理</w:t>
                  </w:r>
                  <w:r>
                    <w:rPr>
                      <w:rFonts w:hint="default" w:ascii="Times New Roman" w:hAnsi="Times New Roman" w:cs="Times New Roman"/>
                      <w:color w:val="auto"/>
                      <w:szCs w:val="32"/>
                      <w:highlight w:val="none"/>
                      <w:u w:val="no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48" w:type="pct"/>
                  <w:vMerge w:val="continue"/>
                  <w:tcBorders>
                    <w:tl2br w:val="nil"/>
                    <w:tr2bl w:val="nil"/>
                  </w:tcBorders>
                  <w:noWrap w:val="0"/>
                  <w:vAlign w:val="center"/>
                </w:tcPr>
                <w:p>
                  <w:pPr>
                    <w:pStyle w:val="15"/>
                    <w:bidi w:val="0"/>
                    <w:rPr>
                      <w:rFonts w:hint="default" w:ascii="Times New Roman" w:hAnsi="Times New Roman" w:cs="Times New Roman"/>
                      <w:b/>
                      <w:bCs/>
                      <w:highlight w:val="none"/>
                      <w:lang w:val="en-US" w:eastAsia="zh-CN"/>
                    </w:rPr>
                  </w:pPr>
                </w:p>
              </w:tc>
              <w:tc>
                <w:tcPr>
                  <w:tcW w:w="231" w:type="pct"/>
                  <w:vMerge w:val="continue"/>
                  <w:tcBorders>
                    <w:tl2br w:val="nil"/>
                    <w:tr2bl w:val="nil"/>
                  </w:tcBorders>
                  <w:noWrap w:val="0"/>
                  <w:vAlign w:val="center"/>
                </w:tcPr>
                <w:p>
                  <w:pPr>
                    <w:pStyle w:val="15"/>
                    <w:bidi w:val="0"/>
                    <w:rPr>
                      <w:rFonts w:hint="default" w:ascii="Times New Roman" w:hAnsi="Times New Roman" w:cs="Times New Roman"/>
                      <w:b/>
                      <w:bCs/>
                      <w:highlight w:val="none"/>
                      <w:lang w:val="en-US" w:eastAsia="zh-CN"/>
                    </w:rPr>
                  </w:pPr>
                </w:p>
              </w:tc>
              <w:tc>
                <w:tcPr>
                  <w:tcW w:w="242" w:type="pct"/>
                  <w:vMerge w:val="continue"/>
                  <w:tcBorders>
                    <w:tl2br w:val="nil"/>
                    <w:tr2bl w:val="nil"/>
                  </w:tcBorders>
                  <w:noWrap w:val="0"/>
                  <w:vAlign w:val="center"/>
                </w:tcPr>
                <w:p>
                  <w:pPr>
                    <w:pStyle w:val="15"/>
                    <w:bidi w:val="0"/>
                    <w:rPr>
                      <w:rFonts w:hint="default" w:ascii="Times New Roman" w:hAnsi="Times New Roman" w:cs="Times New Roman"/>
                      <w:b/>
                      <w:bCs/>
                      <w:highlight w:val="none"/>
                      <w:lang w:val="en-US" w:eastAsia="zh-CN"/>
                    </w:rPr>
                  </w:pPr>
                </w:p>
              </w:tc>
              <w:tc>
                <w:tcPr>
                  <w:tcW w:w="4076" w:type="pct"/>
                  <w:tcBorders>
                    <w:tl2br w:val="nil"/>
                    <w:tr2bl w:val="nil"/>
                  </w:tcBorders>
                  <w:noWrap w:val="0"/>
                  <w:vAlign w:val="center"/>
                </w:tcPr>
                <w:p>
                  <w:pPr>
                    <w:pStyle w:val="15"/>
                    <w:bidi w:val="0"/>
                    <w:jc w:val="left"/>
                    <w:rPr>
                      <w:rFonts w:hint="default" w:ascii="Times New Roman" w:hAnsi="Times New Roman" w:cs="Times New Roman"/>
                      <w:b/>
                      <w:bCs/>
                      <w:highlight w:val="none"/>
                      <w:lang w:val="en-US" w:eastAsia="zh-CN"/>
                    </w:rPr>
                  </w:pPr>
                  <w:r>
                    <w:rPr>
                      <w:rFonts w:hint="default" w:ascii="Times New Roman" w:hAnsi="Times New Roman" w:cs="Times New Roman"/>
                      <w:b/>
                      <w:bCs/>
                      <w:color w:val="auto"/>
                      <w:highlight w:val="none"/>
                      <w:lang w:val="en-US" w:eastAsia="zh-CN"/>
                    </w:rPr>
                    <w:t>生活污水：</w:t>
                  </w:r>
                  <w:r>
                    <w:rPr>
                      <w:rFonts w:hint="default" w:ascii="Times New Roman" w:hAnsi="Times New Roman" w:cs="Times New Roman"/>
                      <w:b w:val="0"/>
                      <w:bCs w:val="0"/>
                      <w:color w:val="auto"/>
                      <w:highlight w:val="none"/>
                      <w:u w:val="none"/>
                    </w:rPr>
                    <w:t>施</w:t>
                  </w:r>
                  <w:r>
                    <w:rPr>
                      <w:rFonts w:hint="default" w:ascii="Times New Roman" w:hAnsi="Times New Roman" w:cs="Times New Roman"/>
                      <w:color w:val="auto"/>
                      <w:highlight w:val="none"/>
                      <w:u w:val="none"/>
                    </w:rPr>
                    <w:t>工场地生活废水依托附近民宅既有污水处理设施收集处理</w:t>
                  </w:r>
                  <w:r>
                    <w:rPr>
                      <w:rFonts w:hint="default" w:ascii="Times New Roman" w:hAnsi="Times New Roman" w:cs="Times New Roman"/>
                      <w:color w:val="auto"/>
                      <w:highlight w:val="none"/>
                      <w:u w:val="no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48" w:type="pct"/>
                  <w:vMerge w:val="continue"/>
                  <w:tcBorders>
                    <w:tl2br w:val="nil"/>
                    <w:tr2bl w:val="nil"/>
                  </w:tcBorders>
                  <w:noWrap w:val="0"/>
                  <w:vAlign w:val="center"/>
                </w:tcPr>
                <w:p>
                  <w:pPr>
                    <w:pStyle w:val="15"/>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u w:val="none"/>
                      <w:lang w:eastAsia="zh-CN"/>
                    </w:rPr>
                  </w:pPr>
                </w:p>
              </w:tc>
              <w:tc>
                <w:tcPr>
                  <w:tcW w:w="231" w:type="pct"/>
                  <w:vMerge w:val="continue"/>
                  <w:tcBorders>
                    <w:tl2br w:val="nil"/>
                    <w:tr2bl w:val="nil"/>
                  </w:tcBorders>
                  <w:noWrap w:val="0"/>
                  <w:vAlign w:val="center"/>
                </w:tcPr>
                <w:p>
                  <w:pPr>
                    <w:pStyle w:val="15"/>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cs="Times New Roman"/>
                      <w:color w:val="auto"/>
                      <w:highlight w:val="none"/>
                      <w:u w:val="none"/>
                      <w:lang w:val="en-US" w:eastAsia="zh-CN"/>
                    </w:rPr>
                  </w:pPr>
                </w:p>
              </w:tc>
              <w:tc>
                <w:tcPr>
                  <w:tcW w:w="242" w:type="pct"/>
                  <w:tcBorders>
                    <w:tl2br w:val="nil"/>
                    <w:tr2bl w:val="nil"/>
                  </w:tcBorders>
                  <w:noWrap w:val="0"/>
                  <w:vAlign w:val="center"/>
                </w:tcPr>
                <w:p>
                  <w:pPr>
                    <w:pStyle w:val="15"/>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运营期</w:t>
                  </w:r>
                </w:p>
              </w:tc>
              <w:tc>
                <w:tcPr>
                  <w:tcW w:w="4076" w:type="pct"/>
                  <w:tcBorders>
                    <w:tl2br w:val="nil"/>
                    <w:tr2bl w:val="nil"/>
                  </w:tcBorders>
                  <w:noWrap w:val="0"/>
                  <w:vAlign w:val="center"/>
                </w:tcPr>
                <w:p>
                  <w:pPr>
                    <w:pStyle w:val="15"/>
                    <w:jc w:val="left"/>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工程建成后基本无废水污染。可采取一下防治措施：</w:t>
                  </w:r>
                </w:p>
                <w:p>
                  <w:pPr>
                    <w:pStyle w:val="15"/>
                    <w:jc w:val="left"/>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rPr>
                    <w:t>(1)加强对河段的管理，严禁向河道排放废水，倾倒垃圾，减少对河道水质的影响。制定相应的水质监测制度，定期对水质进行监视性监测，一旦发现水体有恶化趋势，应立即采取措施予以控制。</w:t>
                  </w:r>
                </w:p>
                <w:p>
                  <w:pPr>
                    <w:pStyle w:val="15"/>
                    <w:jc w:val="left"/>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rPr>
                    <w:t>(2)加强</w:t>
                  </w:r>
                  <w:r>
                    <w:rPr>
                      <w:rFonts w:hint="eastAsia" w:cs="Times New Roman"/>
                      <w:color w:val="auto"/>
                      <w:highlight w:val="none"/>
                      <w:u w:val="none"/>
                      <w:lang w:val="en-US" w:eastAsia="zh-CN"/>
                    </w:rPr>
                    <w:t>胡家镇</w:t>
                  </w:r>
                  <w:r>
                    <w:rPr>
                      <w:rFonts w:hint="default" w:ascii="Times New Roman" w:hAnsi="Times New Roman" w:cs="Times New Roman"/>
                      <w:color w:val="auto"/>
                      <w:highlight w:val="none"/>
                      <w:u w:val="none"/>
                    </w:rPr>
                    <w:t>农业面源污染防治，推进农村生活污水治理以及</w:t>
                  </w:r>
                  <w:r>
                    <w:rPr>
                      <w:rFonts w:hint="default" w:ascii="Times New Roman" w:hAnsi="Times New Roman" w:cs="Times New Roman"/>
                      <w:color w:val="auto"/>
                      <w:highlight w:val="none"/>
                      <w:u w:val="none"/>
                      <w:lang w:val="en-US" w:eastAsia="zh-CN"/>
                    </w:rPr>
                    <w:t>场镇</w:t>
                  </w:r>
                  <w:r>
                    <w:rPr>
                      <w:rFonts w:hint="default" w:ascii="Times New Roman" w:hAnsi="Times New Roman" w:cs="Times New Roman"/>
                      <w:color w:val="auto"/>
                      <w:highlight w:val="none"/>
                      <w:u w:val="none"/>
                    </w:rPr>
                    <w:t>污水收集管网建设，完善雨污分流制度，避免污水经由穿堤排水管排入周边水体。</w:t>
                  </w:r>
                </w:p>
                <w:p>
                  <w:pPr>
                    <w:pStyle w:val="15"/>
                    <w:keepNext w:val="0"/>
                    <w:keepLines w:val="0"/>
                    <w:suppressLineNumbers w:val="0"/>
                    <w:bidi w:val="0"/>
                    <w:spacing w:before="0" w:beforeAutospacing="0" w:after="0" w:afterAutospacing="0"/>
                    <w:ind w:left="0" w:leftChars="0" w:right="0" w:rightChars="0" w:firstLine="0" w:firstLineChars="0"/>
                    <w:jc w:val="left"/>
                    <w:rPr>
                      <w:rFonts w:hint="default" w:ascii="Times New Roman" w:hAnsi="Times New Roman" w:cs="Times New Roman"/>
                      <w:b/>
                      <w:bCs/>
                      <w:color w:val="auto"/>
                      <w:highlight w:val="none"/>
                      <w:u w:val="none"/>
                      <w:lang w:val="en-US" w:eastAsia="zh-CN"/>
                    </w:rPr>
                  </w:pPr>
                  <w:r>
                    <w:rPr>
                      <w:rFonts w:hint="default" w:ascii="Times New Roman" w:hAnsi="Times New Roman" w:cs="Times New Roman"/>
                      <w:color w:val="auto"/>
                      <w:highlight w:val="none"/>
                      <w:u w:val="none"/>
                    </w:rPr>
                    <w:t>(3)</w:t>
                  </w:r>
                  <w:r>
                    <w:rPr>
                      <w:rFonts w:hint="default" w:ascii="Times New Roman" w:hAnsi="Times New Roman" w:cs="Times New Roman"/>
                      <w:color w:val="auto"/>
                      <w:highlight w:val="none"/>
                      <w:u w:val="none"/>
                      <w:lang w:val="en-US" w:eastAsia="zh-CN"/>
                    </w:rPr>
                    <w:t>可在</w:t>
                  </w:r>
                  <w:r>
                    <w:rPr>
                      <w:rFonts w:hint="default" w:ascii="Times New Roman" w:hAnsi="Times New Roman" w:cs="Times New Roman"/>
                      <w:color w:val="auto"/>
                      <w:highlight w:val="none"/>
                      <w:u w:val="none"/>
                    </w:rPr>
                    <w:t>沿岸边种植具有水质净化功能的适生水生植物，如千屈菜、芦苇、矮蒲苇、芦竹、黄菖蒲、花叶芦竹等，有利于保护</w:t>
                  </w:r>
                  <w:r>
                    <w:rPr>
                      <w:rFonts w:hint="eastAsia" w:cs="Times New Roman"/>
                      <w:color w:val="auto"/>
                      <w:highlight w:val="none"/>
                      <w:u w:val="none"/>
                      <w:lang w:val="en-US" w:eastAsia="zh-CN"/>
                    </w:rPr>
                    <w:t>胡家河</w:t>
                  </w:r>
                  <w:r>
                    <w:rPr>
                      <w:rFonts w:hint="default" w:ascii="Times New Roman" w:hAnsi="Times New Roman" w:cs="Times New Roman"/>
                      <w:color w:val="auto"/>
                      <w:highlight w:val="none"/>
                      <w:u w:val="none"/>
                    </w:rPr>
                    <w:t>水质。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48" w:type="pct"/>
                  <w:vMerge w:val="continue"/>
                  <w:tcBorders>
                    <w:tl2br w:val="nil"/>
                    <w:tr2bl w:val="nil"/>
                  </w:tcBorders>
                  <w:noWrap w:val="0"/>
                  <w:vAlign w:val="center"/>
                </w:tcPr>
                <w:p>
                  <w:pPr>
                    <w:pStyle w:val="15"/>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u w:val="none"/>
                      <w:lang w:eastAsia="zh-CN"/>
                    </w:rPr>
                  </w:pPr>
                </w:p>
              </w:tc>
              <w:tc>
                <w:tcPr>
                  <w:tcW w:w="231" w:type="pct"/>
                  <w:vMerge w:val="restart"/>
                  <w:tcBorders>
                    <w:tl2br w:val="nil"/>
                    <w:tr2bl w:val="nil"/>
                  </w:tcBorders>
                  <w:noWrap w:val="0"/>
                  <w:vAlign w:val="center"/>
                </w:tcPr>
                <w:p>
                  <w:pPr>
                    <w:pStyle w:val="15"/>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sz w:val="21"/>
                      <w:highlight w:val="none"/>
                      <w:u w:val="none"/>
                      <w:lang w:val="en-US" w:eastAsia="zh-CN"/>
                    </w:rPr>
                    <w:t>废气污染防治措施</w:t>
                  </w:r>
                </w:p>
              </w:tc>
              <w:tc>
                <w:tcPr>
                  <w:tcW w:w="242" w:type="pct"/>
                  <w:vMerge w:val="restart"/>
                  <w:tcBorders>
                    <w:tl2br w:val="nil"/>
                    <w:tr2bl w:val="nil"/>
                  </w:tcBorders>
                  <w:noWrap w:val="0"/>
                  <w:vAlign w:val="center"/>
                </w:tcPr>
                <w:p>
                  <w:pPr>
                    <w:pStyle w:val="15"/>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施工期</w:t>
                  </w:r>
                </w:p>
              </w:tc>
              <w:tc>
                <w:tcPr>
                  <w:tcW w:w="4076" w:type="pct"/>
                  <w:tcBorders>
                    <w:tl2br w:val="nil"/>
                    <w:tr2bl w:val="nil"/>
                  </w:tcBorders>
                  <w:noWrap w:val="0"/>
                  <w:vAlign w:val="center"/>
                </w:tcPr>
                <w:p>
                  <w:pPr>
                    <w:pStyle w:val="15"/>
                    <w:keepNext w:val="0"/>
                    <w:keepLines w:val="0"/>
                    <w:suppressLineNumbers w:val="0"/>
                    <w:bidi w:val="0"/>
                    <w:spacing w:before="0" w:beforeAutospacing="0" w:after="0" w:afterAutospacing="0"/>
                    <w:ind w:left="0" w:right="0"/>
                    <w:jc w:val="left"/>
                    <w:rPr>
                      <w:rFonts w:hint="default" w:ascii="Times New Roman" w:hAnsi="Times New Roman" w:eastAsia="宋体" w:cs="Times New Roman"/>
                      <w:color w:val="auto"/>
                      <w:highlight w:val="none"/>
                      <w:u w:val="none"/>
                      <w:lang w:val="en-US" w:eastAsia="zh-CN"/>
                    </w:rPr>
                  </w:pPr>
                  <w:r>
                    <w:rPr>
                      <w:rFonts w:hint="default" w:ascii="Times New Roman" w:hAnsi="Times New Roman" w:cs="Times New Roman"/>
                      <w:b/>
                      <w:bCs/>
                      <w:color w:val="auto"/>
                      <w:highlight w:val="none"/>
                      <w:u w:val="none"/>
                      <w:lang w:val="en-US" w:eastAsia="zh-CN"/>
                    </w:rPr>
                    <w:t>扬尘</w:t>
                  </w:r>
                  <w:r>
                    <w:rPr>
                      <w:rFonts w:hint="default" w:ascii="Times New Roman" w:hAnsi="Times New Roman" w:cs="Times New Roman"/>
                      <w:color w:val="auto"/>
                      <w:highlight w:val="none"/>
                      <w:u w:val="none"/>
                      <w:lang w:val="en-US" w:eastAsia="zh-CN"/>
                    </w:rPr>
                    <w:t>：施工期间</w:t>
                  </w:r>
                  <w:r>
                    <w:rPr>
                      <w:rFonts w:hint="default" w:ascii="Times New Roman" w:hAnsi="Times New Roman" w:cs="Times New Roman"/>
                      <w:color w:val="auto"/>
                      <w:highlight w:val="none"/>
                      <w:u w:val="none"/>
                      <w:lang w:eastAsia="zh-CN"/>
                    </w:rPr>
                    <w:t>堤防</w:t>
                  </w:r>
                  <w:r>
                    <w:rPr>
                      <w:rFonts w:hint="default" w:ascii="Times New Roman" w:hAnsi="Times New Roman" w:cs="Times New Roman"/>
                      <w:color w:val="auto"/>
                      <w:highlight w:val="none"/>
                      <w:u w:val="none"/>
                    </w:rPr>
                    <w:t>沿线靠近敏感点处设置临时围挡、维护；施工场地洒水降尘</w:t>
                  </w:r>
                  <w:r>
                    <w:rPr>
                      <w:rFonts w:hint="default" w:ascii="Times New Roman" w:hAnsi="Times New Roman" w:cs="Times New Roman"/>
                      <w:color w:val="auto"/>
                      <w:highlight w:val="none"/>
                      <w:u w:val="none"/>
                      <w:lang w:eastAsia="zh-CN"/>
                    </w:rPr>
                    <w:t>、遮盖</w:t>
                  </w:r>
                  <w:r>
                    <w:rPr>
                      <w:rFonts w:hint="default" w:ascii="Times New Roman" w:hAnsi="Times New Roman" w:cs="Times New Roman"/>
                      <w:color w:val="auto"/>
                      <w:highlight w:val="none"/>
                      <w:u w:val="none"/>
                    </w:rPr>
                    <w:t>；车辆运输时用篷布遮盖，限速行驶；加强施工机械和运输车辆管理、合理安排调度作业</w:t>
                  </w:r>
                  <w:r>
                    <w:rPr>
                      <w:rFonts w:hint="default" w:ascii="Times New Roman" w:hAnsi="Times New Roman" w:cs="Times New Roman"/>
                      <w:color w:val="auto"/>
                      <w:highlight w:val="none"/>
                      <w:u w:val="no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48" w:type="pct"/>
                  <w:vMerge w:val="continue"/>
                  <w:tcBorders>
                    <w:tl2br w:val="nil"/>
                    <w:tr2bl w:val="nil"/>
                  </w:tcBorders>
                  <w:noWrap w:val="0"/>
                  <w:vAlign w:val="center"/>
                </w:tcPr>
                <w:p>
                  <w:pPr>
                    <w:pStyle w:val="15"/>
                    <w:jc w:val="left"/>
                    <w:rPr>
                      <w:rFonts w:hint="default" w:ascii="Times New Roman" w:hAnsi="Times New Roman" w:cs="Times New Roman"/>
                      <w:highlight w:val="none"/>
                    </w:rPr>
                  </w:pPr>
                </w:p>
              </w:tc>
              <w:tc>
                <w:tcPr>
                  <w:tcW w:w="231" w:type="pct"/>
                  <w:vMerge w:val="continue"/>
                  <w:tcBorders>
                    <w:tl2br w:val="nil"/>
                    <w:tr2bl w:val="nil"/>
                  </w:tcBorders>
                  <w:noWrap w:val="0"/>
                  <w:vAlign w:val="center"/>
                </w:tcPr>
                <w:p>
                  <w:pPr>
                    <w:pStyle w:val="15"/>
                    <w:jc w:val="left"/>
                    <w:rPr>
                      <w:rFonts w:hint="default" w:ascii="Times New Roman" w:hAnsi="Times New Roman" w:cs="Times New Roman"/>
                      <w:highlight w:val="none"/>
                    </w:rPr>
                  </w:pPr>
                </w:p>
              </w:tc>
              <w:tc>
                <w:tcPr>
                  <w:tcW w:w="242" w:type="pct"/>
                  <w:vMerge w:val="continue"/>
                  <w:tcBorders>
                    <w:tl2br w:val="nil"/>
                    <w:tr2bl w:val="nil"/>
                  </w:tcBorders>
                  <w:noWrap w:val="0"/>
                  <w:vAlign w:val="center"/>
                </w:tcPr>
                <w:p>
                  <w:pPr>
                    <w:pStyle w:val="15"/>
                    <w:jc w:val="left"/>
                    <w:rPr>
                      <w:rFonts w:hint="default" w:ascii="Times New Roman" w:hAnsi="Times New Roman" w:cs="Times New Roman"/>
                      <w:highlight w:val="none"/>
                    </w:rPr>
                  </w:pPr>
                </w:p>
              </w:tc>
              <w:tc>
                <w:tcPr>
                  <w:tcW w:w="4076" w:type="pct"/>
                  <w:tcBorders>
                    <w:tl2br w:val="nil"/>
                    <w:tr2bl w:val="nil"/>
                  </w:tcBorders>
                  <w:noWrap w:val="0"/>
                  <w:vAlign w:val="center"/>
                </w:tcPr>
                <w:p>
                  <w:pPr>
                    <w:pStyle w:val="15"/>
                    <w:jc w:val="left"/>
                    <w:rPr>
                      <w:rFonts w:hint="default" w:ascii="Times New Roman" w:hAnsi="Times New Roman" w:cs="Times New Roman"/>
                      <w:b/>
                      <w:bCs/>
                      <w:color w:val="auto"/>
                      <w:highlight w:val="none"/>
                      <w:u w:val="none"/>
                      <w:lang w:val="en-US" w:eastAsia="zh-CN"/>
                    </w:rPr>
                  </w:pPr>
                  <w:r>
                    <w:rPr>
                      <w:rFonts w:hint="default" w:ascii="Times New Roman" w:hAnsi="Times New Roman" w:cs="Times New Roman"/>
                      <w:b/>
                      <w:bCs/>
                      <w:color w:val="auto"/>
                      <w:highlight w:val="none"/>
                      <w:u w:val="none"/>
                      <w:lang w:val="en-US" w:eastAsia="zh-CN"/>
                    </w:rPr>
                    <w:t>施工机械废气</w:t>
                  </w:r>
                  <w:r>
                    <w:rPr>
                      <w:rFonts w:hint="default" w:ascii="Times New Roman" w:hAnsi="Times New Roman" w:cs="Times New Roman"/>
                      <w:color w:val="auto"/>
                      <w:highlight w:val="none"/>
                      <w:u w:val="none"/>
                      <w:lang w:val="en-US" w:eastAsia="zh-CN"/>
                    </w:rPr>
                    <w:t>：使用优质燃料，对施工机械进行定期保养和维护，禁止使用废气排放超标的车辆。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48" w:type="pct"/>
                  <w:vMerge w:val="continue"/>
                  <w:tcBorders>
                    <w:tl2br w:val="nil"/>
                    <w:tr2bl w:val="nil"/>
                  </w:tcBorders>
                  <w:noWrap w:val="0"/>
                  <w:vAlign w:val="center"/>
                </w:tcPr>
                <w:p>
                  <w:pPr>
                    <w:pStyle w:val="15"/>
                    <w:jc w:val="left"/>
                    <w:rPr>
                      <w:rFonts w:hint="default" w:ascii="Times New Roman" w:hAnsi="Times New Roman" w:cs="Times New Roman"/>
                      <w:b/>
                      <w:bCs/>
                      <w:color w:val="auto"/>
                      <w:highlight w:val="none"/>
                      <w:u w:val="none"/>
                      <w:lang w:val="en-US" w:eastAsia="zh-CN"/>
                    </w:rPr>
                  </w:pPr>
                </w:p>
              </w:tc>
              <w:tc>
                <w:tcPr>
                  <w:tcW w:w="231" w:type="pct"/>
                  <w:vMerge w:val="continue"/>
                  <w:tcBorders>
                    <w:tl2br w:val="nil"/>
                    <w:tr2bl w:val="nil"/>
                  </w:tcBorders>
                  <w:noWrap w:val="0"/>
                  <w:vAlign w:val="center"/>
                </w:tcPr>
                <w:p>
                  <w:pPr>
                    <w:pStyle w:val="15"/>
                    <w:jc w:val="left"/>
                    <w:rPr>
                      <w:rFonts w:hint="default" w:ascii="Times New Roman" w:hAnsi="Times New Roman" w:cs="Times New Roman"/>
                      <w:b/>
                      <w:bCs/>
                      <w:color w:val="auto"/>
                      <w:highlight w:val="none"/>
                      <w:u w:val="none"/>
                      <w:lang w:val="en-US" w:eastAsia="zh-CN"/>
                    </w:rPr>
                  </w:pPr>
                </w:p>
              </w:tc>
              <w:tc>
                <w:tcPr>
                  <w:tcW w:w="242" w:type="pct"/>
                  <w:vMerge w:val="continue"/>
                  <w:tcBorders>
                    <w:tl2br w:val="nil"/>
                    <w:tr2bl w:val="nil"/>
                  </w:tcBorders>
                  <w:noWrap w:val="0"/>
                  <w:vAlign w:val="center"/>
                </w:tcPr>
                <w:p>
                  <w:pPr>
                    <w:pStyle w:val="15"/>
                    <w:jc w:val="left"/>
                    <w:rPr>
                      <w:rFonts w:hint="default" w:ascii="Times New Roman" w:hAnsi="Times New Roman" w:cs="Times New Roman"/>
                      <w:b/>
                      <w:bCs/>
                      <w:color w:val="auto"/>
                      <w:highlight w:val="none"/>
                      <w:u w:val="none"/>
                      <w:lang w:val="en-US" w:eastAsia="zh-CN"/>
                    </w:rPr>
                  </w:pPr>
                </w:p>
              </w:tc>
              <w:tc>
                <w:tcPr>
                  <w:tcW w:w="4076" w:type="pct"/>
                  <w:tcBorders>
                    <w:tl2br w:val="nil"/>
                    <w:tr2bl w:val="nil"/>
                  </w:tcBorders>
                  <w:noWrap w:val="0"/>
                  <w:vAlign w:val="center"/>
                </w:tcPr>
                <w:p>
                  <w:pPr>
                    <w:pStyle w:val="15"/>
                    <w:jc w:val="left"/>
                    <w:rPr>
                      <w:rFonts w:hint="default" w:ascii="Times New Roman" w:hAnsi="Times New Roman" w:cs="Times New Roman"/>
                      <w:b/>
                      <w:bCs/>
                      <w:color w:val="auto"/>
                      <w:highlight w:val="none"/>
                      <w:u w:val="none"/>
                      <w:lang w:val="en-US" w:eastAsia="zh-CN"/>
                    </w:rPr>
                  </w:pPr>
                  <w:r>
                    <w:rPr>
                      <w:rFonts w:hint="default" w:ascii="Times New Roman" w:hAnsi="Times New Roman" w:cs="Times New Roman"/>
                      <w:b/>
                      <w:bCs/>
                      <w:color w:val="auto"/>
                      <w:highlight w:val="none"/>
                      <w:u w:val="none"/>
                      <w:lang w:val="en-US" w:eastAsia="zh-CN"/>
                    </w:rPr>
                    <w:t>柴油发电机废气</w:t>
                  </w:r>
                  <w:r>
                    <w:rPr>
                      <w:rFonts w:hint="default" w:ascii="Times New Roman" w:hAnsi="Times New Roman" w:cs="Times New Roman"/>
                      <w:color w:val="auto"/>
                      <w:highlight w:val="none"/>
                      <w:u w:val="none"/>
                      <w:lang w:val="en-US" w:eastAsia="zh-CN"/>
                    </w:rPr>
                    <w:t>：采用优质柴油，产生的烟气经自带的烟气净化系统处理后自然扩散。</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48" w:type="pct"/>
                  <w:vMerge w:val="continue"/>
                  <w:tcBorders>
                    <w:tl2br w:val="nil"/>
                    <w:tr2bl w:val="nil"/>
                  </w:tcBorders>
                  <w:noWrap w:val="0"/>
                  <w:vAlign w:val="center"/>
                </w:tcPr>
                <w:p>
                  <w:pPr>
                    <w:pStyle w:val="15"/>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u w:val="none"/>
                      <w:lang w:eastAsia="zh-CN"/>
                    </w:rPr>
                  </w:pPr>
                </w:p>
              </w:tc>
              <w:tc>
                <w:tcPr>
                  <w:tcW w:w="231" w:type="pct"/>
                  <w:vMerge w:val="continue"/>
                  <w:tcBorders>
                    <w:tl2br w:val="nil"/>
                    <w:tr2bl w:val="nil"/>
                  </w:tcBorders>
                  <w:noWrap w:val="0"/>
                  <w:vAlign w:val="center"/>
                </w:tcPr>
                <w:p>
                  <w:pPr>
                    <w:pStyle w:val="15"/>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cs="Times New Roman"/>
                      <w:color w:val="auto"/>
                      <w:sz w:val="21"/>
                      <w:highlight w:val="none"/>
                      <w:u w:val="none"/>
                      <w:lang w:val="en-US" w:eastAsia="zh-CN"/>
                    </w:rPr>
                  </w:pPr>
                </w:p>
              </w:tc>
              <w:tc>
                <w:tcPr>
                  <w:tcW w:w="242" w:type="pct"/>
                  <w:tcBorders>
                    <w:tl2br w:val="nil"/>
                    <w:tr2bl w:val="nil"/>
                  </w:tcBorders>
                  <w:noWrap w:val="0"/>
                  <w:vAlign w:val="center"/>
                </w:tcPr>
                <w:p>
                  <w:pPr>
                    <w:pStyle w:val="15"/>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运营期</w:t>
                  </w:r>
                </w:p>
              </w:tc>
              <w:tc>
                <w:tcPr>
                  <w:tcW w:w="4076" w:type="pct"/>
                  <w:tcBorders>
                    <w:tl2br w:val="nil"/>
                    <w:tr2bl w:val="nil"/>
                  </w:tcBorders>
                  <w:noWrap w:val="0"/>
                  <w:vAlign w:val="center"/>
                </w:tcPr>
                <w:p>
                  <w:pPr>
                    <w:pStyle w:val="15"/>
                    <w:keepNext w:val="0"/>
                    <w:keepLines w:val="0"/>
                    <w:suppressLineNumbers w:val="0"/>
                    <w:bidi w:val="0"/>
                    <w:spacing w:before="0" w:beforeAutospacing="0" w:after="0" w:afterAutospacing="0"/>
                    <w:ind w:left="0" w:leftChars="0" w:right="0" w:rightChars="0" w:firstLine="0" w:firstLineChars="0"/>
                    <w:jc w:val="left"/>
                    <w:rPr>
                      <w:rFonts w:hint="default" w:ascii="Times New Roman" w:hAnsi="Times New Roman" w:cs="Times New Roman"/>
                      <w:b/>
                      <w:bCs/>
                      <w:color w:val="auto"/>
                      <w:highlight w:val="none"/>
                      <w:u w:val="none"/>
                      <w:lang w:val="en-US" w:eastAsia="zh-CN"/>
                    </w:rPr>
                  </w:pPr>
                  <w:r>
                    <w:rPr>
                      <w:rFonts w:hint="default" w:ascii="Times New Roman" w:hAnsi="Times New Roman" w:cs="Times New Roman"/>
                      <w:color w:val="auto"/>
                      <w:highlight w:val="none"/>
                      <w:u w:val="none"/>
                    </w:rPr>
                    <w:t>工程建成后基本无大气污染。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48" w:type="pct"/>
                  <w:vMerge w:val="continue"/>
                  <w:tcBorders>
                    <w:tl2br w:val="nil"/>
                    <w:tr2bl w:val="nil"/>
                  </w:tcBorders>
                  <w:noWrap w:val="0"/>
                  <w:vAlign w:val="center"/>
                </w:tcPr>
                <w:p>
                  <w:pPr>
                    <w:pStyle w:val="15"/>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u w:val="none"/>
                      <w:lang w:eastAsia="zh-CN"/>
                    </w:rPr>
                  </w:pPr>
                </w:p>
              </w:tc>
              <w:tc>
                <w:tcPr>
                  <w:tcW w:w="231" w:type="pct"/>
                  <w:vMerge w:val="restart"/>
                  <w:tcBorders>
                    <w:tl2br w:val="nil"/>
                    <w:tr2bl w:val="nil"/>
                  </w:tcBorders>
                  <w:noWrap w:val="0"/>
                  <w:vAlign w:val="center"/>
                </w:tcPr>
                <w:p>
                  <w:pPr>
                    <w:pStyle w:val="15"/>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cs="Times New Roman"/>
                      <w:color w:val="auto"/>
                      <w:sz w:val="21"/>
                      <w:highlight w:val="none"/>
                      <w:u w:val="none"/>
                      <w:lang w:val="en-US" w:eastAsia="zh-CN"/>
                    </w:rPr>
                  </w:pPr>
                  <w:r>
                    <w:rPr>
                      <w:rFonts w:hint="default" w:ascii="Times New Roman" w:hAnsi="Times New Roman" w:cs="Times New Roman"/>
                      <w:color w:val="auto"/>
                      <w:sz w:val="21"/>
                      <w:highlight w:val="none"/>
                      <w:u w:val="none"/>
                    </w:rPr>
                    <w:t>噪声</w:t>
                  </w:r>
                  <w:r>
                    <w:rPr>
                      <w:rFonts w:hint="default" w:ascii="Times New Roman" w:hAnsi="Times New Roman" w:cs="Times New Roman"/>
                      <w:color w:val="auto"/>
                      <w:sz w:val="21"/>
                      <w:highlight w:val="none"/>
                      <w:u w:val="none"/>
                      <w:lang w:val="en-US" w:eastAsia="zh-CN"/>
                    </w:rPr>
                    <w:t>污染防治措施</w:t>
                  </w:r>
                </w:p>
              </w:tc>
              <w:tc>
                <w:tcPr>
                  <w:tcW w:w="242" w:type="pct"/>
                  <w:tcBorders>
                    <w:tl2br w:val="nil"/>
                    <w:tr2bl w:val="nil"/>
                  </w:tcBorders>
                  <w:noWrap w:val="0"/>
                  <w:vAlign w:val="center"/>
                </w:tcPr>
                <w:p>
                  <w:pPr>
                    <w:pStyle w:val="15"/>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施工期</w:t>
                  </w:r>
                </w:p>
              </w:tc>
              <w:tc>
                <w:tcPr>
                  <w:tcW w:w="4076" w:type="pct"/>
                  <w:tcBorders>
                    <w:tl2br w:val="nil"/>
                    <w:tr2bl w:val="nil"/>
                  </w:tcBorders>
                  <w:noWrap w:val="0"/>
                  <w:vAlign w:val="center"/>
                </w:tcPr>
                <w:p>
                  <w:pPr>
                    <w:pStyle w:val="15"/>
                    <w:keepNext w:val="0"/>
                    <w:keepLines w:val="0"/>
                    <w:suppressLineNumbers w:val="0"/>
                    <w:bidi w:val="0"/>
                    <w:spacing w:before="0" w:beforeAutospacing="0" w:after="0" w:afterAutospacing="0"/>
                    <w:ind w:left="0" w:right="0"/>
                    <w:jc w:val="left"/>
                    <w:rPr>
                      <w:rFonts w:hint="default" w:ascii="Times New Roman" w:hAnsi="Times New Roman" w:eastAsia="宋体" w:cs="Times New Roman"/>
                      <w:color w:val="auto"/>
                      <w:highlight w:val="none"/>
                      <w:u w:val="none"/>
                      <w:lang w:eastAsia="zh-CN"/>
                    </w:rPr>
                  </w:pPr>
                  <w:r>
                    <w:rPr>
                      <w:rFonts w:hint="default" w:ascii="Times New Roman" w:hAnsi="Times New Roman" w:cs="Times New Roman"/>
                      <w:color w:val="auto"/>
                      <w:highlight w:val="none"/>
                      <w:u w:val="none"/>
                    </w:rPr>
                    <w:t>在环境敏感点处施工时，对高噪声设备采用移动声屏障，减小噪声影响</w:t>
                  </w:r>
                  <w:r>
                    <w:rPr>
                      <w:rFonts w:hint="default" w:ascii="Times New Roman" w:hAnsi="Times New Roman" w:cs="Times New Roman"/>
                      <w:color w:val="auto"/>
                      <w:highlight w:val="none"/>
                      <w:u w:val="none"/>
                      <w:lang w:eastAsia="zh-CN"/>
                    </w:rPr>
                    <w:t>；</w:t>
                  </w:r>
                </w:p>
                <w:p>
                  <w:pPr>
                    <w:pStyle w:val="15"/>
                    <w:keepNext w:val="0"/>
                    <w:keepLines w:val="0"/>
                    <w:suppressLineNumbers w:val="0"/>
                    <w:bidi w:val="0"/>
                    <w:spacing w:before="0" w:beforeAutospacing="0" w:after="0" w:afterAutospacing="0"/>
                    <w:ind w:left="0" w:leftChars="0" w:right="0" w:rightChars="0" w:firstLine="0" w:firstLineChars="0"/>
                    <w:jc w:val="left"/>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rPr>
                    <w:t>施工场地围隔屏障，封闭施工，加强设备维护保养</w:t>
                  </w:r>
                  <w:r>
                    <w:rPr>
                      <w:rFonts w:hint="default" w:ascii="Times New Roman" w:hAnsi="Times New Roman" w:cs="Times New Roman"/>
                      <w:color w:val="auto"/>
                      <w:highlight w:val="none"/>
                      <w:u w:val="none"/>
                      <w:lang w:eastAsia="zh-CN"/>
                    </w:rPr>
                    <w:t>；</w:t>
                  </w:r>
                  <w:r>
                    <w:rPr>
                      <w:rFonts w:hint="default" w:ascii="Times New Roman" w:hAnsi="Times New Roman" w:cs="Times New Roman"/>
                      <w:color w:val="auto"/>
                      <w:highlight w:val="none"/>
                      <w:u w:val="none"/>
                    </w:rPr>
                    <w:t>禁止夜间及午间施工</w:t>
                  </w:r>
                  <w:r>
                    <w:rPr>
                      <w:rFonts w:hint="default" w:ascii="Times New Roman" w:hAnsi="Times New Roman" w:cs="Times New Roman"/>
                      <w:color w:val="auto"/>
                      <w:highlight w:val="none"/>
                      <w:u w:val="no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48" w:type="pct"/>
                  <w:vMerge w:val="continue"/>
                  <w:tcBorders>
                    <w:tl2br w:val="nil"/>
                    <w:tr2bl w:val="nil"/>
                  </w:tcBorders>
                  <w:noWrap w:val="0"/>
                  <w:vAlign w:val="center"/>
                </w:tcPr>
                <w:p>
                  <w:pPr>
                    <w:pStyle w:val="15"/>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u w:val="none"/>
                      <w:lang w:eastAsia="zh-CN"/>
                    </w:rPr>
                  </w:pPr>
                </w:p>
              </w:tc>
              <w:tc>
                <w:tcPr>
                  <w:tcW w:w="231" w:type="pct"/>
                  <w:vMerge w:val="continue"/>
                  <w:tcBorders>
                    <w:tl2br w:val="nil"/>
                    <w:tr2bl w:val="nil"/>
                  </w:tcBorders>
                  <w:noWrap w:val="0"/>
                  <w:vAlign w:val="center"/>
                </w:tcPr>
                <w:p>
                  <w:pPr>
                    <w:pStyle w:val="15"/>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cs="Times New Roman"/>
                      <w:color w:val="auto"/>
                      <w:sz w:val="21"/>
                      <w:highlight w:val="none"/>
                      <w:u w:val="none"/>
                    </w:rPr>
                  </w:pPr>
                </w:p>
              </w:tc>
              <w:tc>
                <w:tcPr>
                  <w:tcW w:w="242" w:type="pct"/>
                  <w:tcBorders>
                    <w:tl2br w:val="nil"/>
                    <w:tr2bl w:val="nil"/>
                  </w:tcBorders>
                  <w:noWrap w:val="0"/>
                  <w:vAlign w:val="center"/>
                </w:tcPr>
                <w:p>
                  <w:pPr>
                    <w:pStyle w:val="15"/>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运营期</w:t>
                  </w:r>
                </w:p>
              </w:tc>
              <w:tc>
                <w:tcPr>
                  <w:tcW w:w="4076" w:type="pct"/>
                  <w:tcBorders>
                    <w:tl2br w:val="nil"/>
                    <w:tr2bl w:val="nil"/>
                  </w:tcBorders>
                  <w:noWrap w:val="0"/>
                  <w:vAlign w:val="center"/>
                </w:tcPr>
                <w:p>
                  <w:pPr>
                    <w:pStyle w:val="15"/>
                    <w:keepNext w:val="0"/>
                    <w:keepLines w:val="0"/>
                    <w:suppressLineNumbers w:val="0"/>
                    <w:bidi w:val="0"/>
                    <w:spacing w:before="0" w:beforeAutospacing="0" w:after="0" w:afterAutospacing="0"/>
                    <w:ind w:left="0" w:leftChars="0" w:right="0" w:rightChars="0" w:firstLine="0" w:firstLineChars="0"/>
                    <w:jc w:val="left"/>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rPr>
                    <w:t>工程建成后基本无噪声污染。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48" w:type="pct"/>
                  <w:vMerge w:val="continue"/>
                  <w:tcBorders>
                    <w:tl2br w:val="nil"/>
                    <w:tr2bl w:val="nil"/>
                  </w:tcBorders>
                  <w:noWrap w:val="0"/>
                  <w:vAlign w:val="center"/>
                </w:tcPr>
                <w:p>
                  <w:pPr>
                    <w:pStyle w:val="15"/>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u w:val="none"/>
                      <w:lang w:eastAsia="zh-CN"/>
                    </w:rPr>
                  </w:pPr>
                </w:p>
              </w:tc>
              <w:tc>
                <w:tcPr>
                  <w:tcW w:w="231" w:type="pct"/>
                  <w:vMerge w:val="restart"/>
                  <w:tcBorders>
                    <w:tl2br w:val="nil"/>
                    <w:tr2bl w:val="nil"/>
                  </w:tcBorders>
                  <w:noWrap w:val="0"/>
                  <w:vAlign w:val="center"/>
                </w:tcPr>
                <w:p>
                  <w:pPr>
                    <w:pStyle w:val="15"/>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cs="Times New Roman"/>
                      <w:color w:val="auto"/>
                      <w:sz w:val="21"/>
                      <w:highlight w:val="none"/>
                      <w:u w:val="none"/>
                    </w:rPr>
                  </w:pPr>
                  <w:r>
                    <w:rPr>
                      <w:rFonts w:hint="default" w:ascii="Times New Roman" w:hAnsi="Times New Roman" w:cs="Times New Roman"/>
                      <w:color w:val="auto"/>
                      <w:highlight w:val="none"/>
                      <w:u w:val="none"/>
                    </w:rPr>
                    <w:t>固废</w:t>
                  </w:r>
                  <w:r>
                    <w:rPr>
                      <w:rFonts w:hint="default" w:ascii="Times New Roman" w:hAnsi="Times New Roman" w:cs="Times New Roman"/>
                      <w:color w:val="auto"/>
                      <w:highlight w:val="none"/>
                      <w:u w:val="none"/>
                      <w:lang w:val="en-US" w:eastAsia="zh-CN"/>
                    </w:rPr>
                    <w:t>污染防治措施</w:t>
                  </w:r>
                </w:p>
              </w:tc>
              <w:tc>
                <w:tcPr>
                  <w:tcW w:w="242" w:type="pct"/>
                  <w:vMerge w:val="restart"/>
                  <w:tcBorders>
                    <w:tl2br w:val="nil"/>
                    <w:tr2bl w:val="nil"/>
                  </w:tcBorders>
                  <w:noWrap w:val="0"/>
                  <w:vAlign w:val="center"/>
                </w:tcPr>
                <w:p>
                  <w:pPr>
                    <w:pStyle w:val="15"/>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施工期</w:t>
                  </w:r>
                </w:p>
              </w:tc>
              <w:tc>
                <w:tcPr>
                  <w:tcW w:w="4076" w:type="pct"/>
                  <w:tcBorders>
                    <w:tl2br w:val="nil"/>
                    <w:tr2bl w:val="nil"/>
                  </w:tcBorders>
                  <w:noWrap w:val="0"/>
                  <w:vAlign w:val="center"/>
                </w:tcPr>
                <w:p>
                  <w:pPr>
                    <w:spacing w:line="244" w:lineRule="auto"/>
                    <w:ind w:left="0" w:leftChars="0" w:right="93" w:firstLine="0" w:firstLineChars="0"/>
                    <w:jc w:val="left"/>
                    <w:rPr>
                      <w:rFonts w:hint="default" w:ascii="Times New Roman" w:hAnsi="Times New Roman" w:cs="Times New Roman"/>
                      <w:color w:val="auto"/>
                      <w:highlight w:val="none"/>
                      <w:u w:val="none"/>
                    </w:rPr>
                  </w:pPr>
                  <w:r>
                    <w:rPr>
                      <w:rFonts w:hint="default" w:ascii="Times New Roman" w:hAnsi="Times New Roman" w:cs="Times New Roman"/>
                      <w:b/>
                      <w:bCs w:val="0"/>
                      <w:color w:val="auto"/>
                      <w:sz w:val="21"/>
                      <w:highlight w:val="none"/>
                      <w:u w:val="none"/>
                    </w:rPr>
                    <w:t>建筑垃圾</w:t>
                  </w:r>
                  <w:r>
                    <w:rPr>
                      <w:rFonts w:hint="default" w:ascii="Times New Roman" w:hAnsi="Times New Roman" w:cs="Times New Roman"/>
                      <w:b w:val="0"/>
                      <w:bCs/>
                      <w:color w:val="auto"/>
                      <w:sz w:val="21"/>
                      <w:highlight w:val="none"/>
                      <w:u w:val="none"/>
                    </w:rPr>
                    <w:t>：</w:t>
                  </w:r>
                  <w:r>
                    <w:rPr>
                      <w:rFonts w:hint="default" w:ascii="Times New Roman" w:hAnsi="Times New Roman" w:cs="Times New Roman"/>
                      <w:b w:val="0"/>
                      <w:bCs/>
                      <w:color w:val="auto"/>
                      <w:spacing w:val="-1"/>
                      <w:sz w:val="21"/>
                      <w:highlight w:val="none"/>
                      <w:u w:val="none"/>
                    </w:rPr>
                    <w:t>施工建筑废物需集中收集，进行回收利用，无法回收</w:t>
                  </w:r>
                  <w:r>
                    <w:rPr>
                      <w:rFonts w:hint="default" w:ascii="Times New Roman" w:hAnsi="Times New Roman" w:cs="Times New Roman"/>
                      <w:b w:val="0"/>
                      <w:bCs/>
                      <w:color w:val="auto"/>
                      <w:spacing w:val="-3"/>
                      <w:sz w:val="21"/>
                      <w:highlight w:val="none"/>
                      <w:u w:val="none"/>
                    </w:rPr>
                    <w:t>利用的按相关管理部门要求运至指定地点规范化处置。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48" w:type="pct"/>
                  <w:vMerge w:val="continue"/>
                  <w:tcBorders>
                    <w:tl2br w:val="nil"/>
                    <w:tr2bl w:val="nil"/>
                  </w:tcBorders>
                  <w:noWrap w:val="0"/>
                  <w:vAlign w:val="center"/>
                </w:tcPr>
                <w:p>
                  <w:pPr>
                    <w:pStyle w:val="15"/>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u w:val="none"/>
                      <w:lang w:eastAsia="zh-CN"/>
                    </w:rPr>
                  </w:pPr>
                </w:p>
              </w:tc>
              <w:tc>
                <w:tcPr>
                  <w:tcW w:w="231" w:type="pct"/>
                  <w:vMerge w:val="continue"/>
                  <w:tcBorders>
                    <w:tl2br w:val="nil"/>
                    <w:tr2bl w:val="nil"/>
                  </w:tcBorders>
                  <w:noWrap w:val="0"/>
                  <w:vAlign w:val="center"/>
                </w:tcPr>
                <w:p>
                  <w:pPr>
                    <w:pStyle w:val="15"/>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cs="Times New Roman"/>
                      <w:color w:val="auto"/>
                      <w:highlight w:val="none"/>
                      <w:u w:val="none"/>
                    </w:rPr>
                  </w:pPr>
                </w:p>
              </w:tc>
              <w:tc>
                <w:tcPr>
                  <w:tcW w:w="242" w:type="pct"/>
                  <w:vMerge w:val="continue"/>
                  <w:tcBorders>
                    <w:tl2br w:val="nil"/>
                    <w:tr2bl w:val="nil"/>
                  </w:tcBorders>
                  <w:noWrap w:val="0"/>
                  <w:vAlign w:val="center"/>
                </w:tcPr>
                <w:p>
                  <w:pPr>
                    <w:pStyle w:val="15"/>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cs="Times New Roman"/>
                      <w:color w:val="auto"/>
                      <w:highlight w:val="none"/>
                      <w:u w:val="none"/>
                      <w:lang w:val="en-US" w:eastAsia="zh-CN"/>
                    </w:rPr>
                  </w:pPr>
                </w:p>
              </w:tc>
              <w:tc>
                <w:tcPr>
                  <w:tcW w:w="4076" w:type="pct"/>
                  <w:tcBorders>
                    <w:tl2br w:val="nil"/>
                    <w:tr2bl w:val="nil"/>
                  </w:tcBorders>
                  <w:noWrap w:val="0"/>
                  <w:vAlign w:val="center"/>
                </w:tcPr>
                <w:p>
                  <w:pPr>
                    <w:spacing w:line="244" w:lineRule="auto"/>
                    <w:ind w:left="0" w:leftChars="0" w:right="93" w:firstLine="0" w:firstLineChars="0"/>
                    <w:jc w:val="left"/>
                    <w:rPr>
                      <w:rFonts w:hint="default" w:ascii="Times New Roman" w:hAnsi="Times New Roman" w:eastAsia="宋体" w:cs="Times New Roman"/>
                      <w:b/>
                      <w:bCs w:val="0"/>
                      <w:color w:val="auto"/>
                      <w:sz w:val="21"/>
                      <w:highlight w:val="none"/>
                      <w:u w:val="none"/>
                      <w:lang w:val="en-US" w:eastAsia="zh-CN"/>
                    </w:rPr>
                  </w:pPr>
                  <w:r>
                    <w:rPr>
                      <w:rFonts w:hint="default" w:ascii="Times New Roman" w:hAnsi="Times New Roman" w:eastAsia="宋体" w:cs="Times New Roman"/>
                      <w:b/>
                      <w:bCs w:val="0"/>
                      <w:color w:val="auto"/>
                      <w:spacing w:val="-3"/>
                      <w:sz w:val="21"/>
                      <w:highlight w:val="none"/>
                      <w:u w:val="none"/>
                      <w:lang w:val="en-US" w:eastAsia="zh-CN"/>
                    </w:rPr>
                    <w:t>土石方：</w:t>
                  </w:r>
                  <w:r>
                    <w:rPr>
                      <w:rFonts w:hint="default" w:ascii="Times New Roman" w:hAnsi="Times New Roman" w:cs="Times New Roman"/>
                      <w:b w:val="0"/>
                      <w:bCs/>
                      <w:color w:val="auto"/>
                      <w:spacing w:val="-3"/>
                      <w:sz w:val="21"/>
                      <w:highlight w:val="none"/>
                      <w:u w:val="none"/>
                      <w:lang w:val="en-US" w:eastAsia="zh-CN"/>
                    </w:rPr>
                    <w:t>土石方开挖，剥离的表土暂时堆存在临时堆渣场，施工结束后用于复耕复绿区域表土回覆，土石方部分用于堤防工程填筑，剩余土石方用</w:t>
                  </w:r>
                  <w:r>
                    <w:rPr>
                      <w:rFonts w:hint="eastAsia" w:cs="Times New Roman"/>
                      <w:b w:val="0"/>
                      <w:bCs/>
                      <w:color w:val="auto"/>
                      <w:spacing w:val="-3"/>
                      <w:sz w:val="21"/>
                      <w:highlight w:val="none"/>
                      <w:u w:val="none"/>
                      <w:lang w:val="en-US" w:eastAsia="zh-CN"/>
                    </w:rPr>
                    <w:t>运至胡家城市规划区内</w:t>
                  </w:r>
                  <w:r>
                    <w:rPr>
                      <w:rFonts w:hint="default" w:ascii="Times New Roman" w:hAnsi="Times New Roman" w:cs="Times New Roman"/>
                      <w:b w:val="0"/>
                      <w:bCs/>
                      <w:color w:val="auto"/>
                      <w:spacing w:val="-3"/>
                      <w:sz w:val="21"/>
                      <w:highlight w:val="none"/>
                      <w:u w:val="none"/>
                      <w:lang w:val="en-US" w:eastAsia="zh-CN"/>
                    </w:rPr>
                    <w:t>。土石方</w:t>
                  </w:r>
                  <w:r>
                    <w:rPr>
                      <w:rFonts w:hint="default" w:ascii="Times New Roman" w:hAnsi="Times New Roman" w:eastAsia="宋体" w:cs="Times New Roman"/>
                      <w:b w:val="0"/>
                      <w:bCs/>
                      <w:color w:val="auto"/>
                      <w:spacing w:val="-3"/>
                      <w:sz w:val="21"/>
                      <w:highlight w:val="none"/>
                      <w:u w:val="none"/>
                    </w:rPr>
                    <w:t>堆置期间采用拦挡和</w:t>
                  </w:r>
                  <w:r>
                    <w:rPr>
                      <w:rFonts w:hint="default" w:ascii="Times New Roman" w:hAnsi="Times New Roman" w:cs="Times New Roman"/>
                      <w:b w:val="0"/>
                      <w:bCs/>
                      <w:color w:val="auto"/>
                      <w:spacing w:val="-3"/>
                      <w:sz w:val="21"/>
                      <w:highlight w:val="none"/>
                      <w:u w:val="none"/>
                      <w:lang w:val="en-US" w:eastAsia="zh-CN"/>
                    </w:rPr>
                    <w:t>截排、</w:t>
                  </w:r>
                  <w:r>
                    <w:rPr>
                      <w:rFonts w:hint="default" w:ascii="Times New Roman" w:hAnsi="Times New Roman" w:eastAsia="宋体" w:cs="Times New Roman"/>
                      <w:b w:val="0"/>
                      <w:bCs/>
                      <w:color w:val="auto"/>
                      <w:spacing w:val="-3"/>
                      <w:sz w:val="21"/>
                      <w:highlight w:val="none"/>
                      <w:u w:val="none"/>
                    </w:rPr>
                    <w:t>苫盖措施，防止水土流失。</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48" w:type="pct"/>
                  <w:vMerge w:val="continue"/>
                  <w:tcBorders>
                    <w:tl2br w:val="nil"/>
                    <w:tr2bl w:val="nil"/>
                  </w:tcBorders>
                  <w:noWrap w:val="0"/>
                  <w:vAlign w:val="center"/>
                </w:tcPr>
                <w:p>
                  <w:pPr>
                    <w:pStyle w:val="15"/>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u w:val="none"/>
                      <w:lang w:eastAsia="zh-CN"/>
                    </w:rPr>
                  </w:pPr>
                </w:p>
              </w:tc>
              <w:tc>
                <w:tcPr>
                  <w:tcW w:w="231" w:type="pct"/>
                  <w:vMerge w:val="continue"/>
                  <w:tcBorders>
                    <w:tl2br w:val="nil"/>
                    <w:tr2bl w:val="nil"/>
                  </w:tcBorders>
                  <w:noWrap w:val="0"/>
                  <w:vAlign w:val="center"/>
                </w:tcPr>
                <w:p>
                  <w:pPr>
                    <w:pStyle w:val="15"/>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cs="Times New Roman"/>
                      <w:color w:val="auto"/>
                      <w:highlight w:val="none"/>
                      <w:u w:val="none"/>
                    </w:rPr>
                  </w:pPr>
                </w:p>
              </w:tc>
              <w:tc>
                <w:tcPr>
                  <w:tcW w:w="242" w:type="pct"/>
                  <w:vMerge w:val="continue"/>
                  <w:tcBorders>
                    <w:tl2br w:val="nil"/>
                    <w:tr2bl w:val="nil"/>
                  </w:tcBorders>
                  <w:noWrap w:val="0"/>
                  <w:vAlign w:val="center"/>
                </w:tcPr>
                <w:p>
                  <w:pPr>
                    <w:pStyle w:val="15"/>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cs="Times New Roman"/>
                      <w:color w:val="auto"/>
                      <w:highlight w:val="none"/>
                      <w:u w:val="none"/>
                      <w:lang w:val="en-US" w:eastAsia="zh-CN"/>
                    </w:rPr>
                  </w:pPr>
                </w:p>
              </w:tc>
              <w:tc>
                <w:tcPr>
                  <w:tcW w:w="4076" w:type="pct"/>
                  <w:tcBorders>
                    <w:tl2br w:val="nil"/>
                    <w:tr2bl w:val="nil"/>
                  </w:tcBorders>
                  <w:noWrap w:val="0"/>
                  <w:vAlign w:val="center"/>
                </w:tcPr>
                <w:p>
                  <w:pPr>
                    <w:pStyle w:val="15"/>
                    <w:bidi w:val="0"/>
                    <w:jc w:val="left"/>
                    <w:rPr>
                      <w:rFonts w:hint="default" w:ascii="Times New Roman" w:hAnsi="Times New Roman" w:eastAsia="宋体" w:cs="Times New Roman"/>
                      <w:b/>
                      <w:bCs w:val="0"/>
                      <w:color w:val="auto"/>
                      <w:spacing w:val="-3"/>
                      <w:sz w:val="21"/>
                      <w:highlight w:val="none"/>
                      <w:u w:val="none"/>
                      <w:lang w:val="en-US" w:eastAsia="zh-CN"/>
                    </w:rPr>
                  </w:pPr>
                  <w:r>
                    <w:rPr>
                      <w:rFonts w:hint="eastAsia" w:cs="Times New Roman"/>
                      <w:b/>
                      <w:bCs/>
                      <w:color w:val="auto"/>
                      <w:highlight w:val="none"/>
                      <w:lang w:val="en-US" w:eastAsia="zh-CN" w:bidi="ar-SA"/>
                    </w:rPr>
                    <w:t>沉淀池污泥：</w:t>
                  </w:r>
                  <w:r>
                    <w:rPr>
                      <w:rFonts w:hint="eastAsia" w:cs="Times New Roman"/>
                      <w:color w:val="auto"/>
                      <w:highlight w:val="none"/>
                      <w:lang w:val="en-US" w:eastAsia="zh-CN" w:bidi="ar-SA"/>
                    </w:rPr>
                    <w:t>用于建筑砂浆回用。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48" w:type="pct"/>
                  <w:vMerge w:val="continue"/>
                  <w:tcBorders>
                    <w:tl2br w:val="nil"/>
                    <w:tr2bl w:val="nil"/>
                  </w:tcBorders>
                  <w:noWrap w:val="0"/>
                  <w:vAlign w:val="center"/>
                </w:tcPr>
                <w:p>
                  <w:pPr>
                    <w:pStyle w:val="15"/>
                    <w:keepNext w:val="0"/>
                    <w:keepLines w:val="0"/>
                    <w:suppressLineNumbers w:val="0"/>
                    <w:bidi w:val="0"/>
                    <w:spacing w:before="0" w:beforeAutospacing="0" w:after="0" w:afterAutospacing="0"/>
                    <w:ind w:left="0" w:leftChars="0" w:right="0" w:rightChars="0" w:firstLine="0" w:firstLineChars="0"/>
                    <w:jc w:val="both"/>
                    <w:rPr>
                      <w:rFonts w:hint="default" w:ascii="Times New Roman" w:hAnsi="Times New Roman" w:cs="Times New Roman"/>
                      <w:highlight w:val="none"/>
                    </w:rPr>
                  </w:pPr>
                </w:p>
              </w:tc>
              <w:tc>
                <w:tcPr>
                  <w:tcW w:w="231" w:type="pct"/>
                  <w:vMerge w:val="continue"/>
                  <w:tcBorders>
                    <w:tl2br w:val="nil"/>
                    <w:tr2bl w:val="nil"/>
                  </w:tcBorders>
                  <w:noWrap w:val="0"/>
                  <w:vAlign w:val="center"/>
                </w:tcPr>
                <w:p>
                  <w:pPr>
                    <w:pStyle w:val="15"/>
                    <w:keepNext w:val="0"/>
                    <w:keepLines w:val="0"/>
                    <w:suppressLineNumbers w:val="0"/>
                    <w:bidi w:val="0"/>
                    <w:spacing w:before="0" w:beforeAutospacing="0" w:after="0" w:afterAutospacing="0"/>
                    <w:ind w:left="0" w:leftChars="0" w:right="0" w:rightChars="0" w:firstLine="0" w:firstLineChars="0"/>
                    <w:jc w:val="both"/>
                    <w:rPr>
                      <w:rFonts w:hint="default" w:ascii="Times New Roman" w:hAnsi="Times New Roman" w:cs="Times New Roman"/>
                      <w:highlight w:val="none"/>
                    </w:rPr>
                  </w:pPr>
                </w:p>
              </w:tc>
              <w:tc>
                <w:tcPr>
                  <w:tcW w:w="242" w:type="pct"/>
                  <w:vMerge w:val="continue"/>
                  <w:tcBorders>
                    <w:tl2br w:val="nil"/>
                    <w:tr2bl w:val="nil"/>
                  </w:tcBorders>
                  <w:noWrap w:val="0"/>
                  <w:vAlign w:val="center"/>
                </w:tcPr>
                <w:p>
                  <w:pPr>
                    <w:pStyle w:val="15"/>
                    <w:keepNext w:val="0"/>
                    <w:keepLines w:val="0"/>
                    <w:suppressLineNumbers w:val="0"/>
                    <w:bidi w:val="0"/>
                    <w:spacing w:before="0" w:beforeAutospacing="0" w:after="0" w:afterAutospacing="0"/>
                    <w:ind w:left="0" w:leftChars="0" w:right="0" w:rightChars="0" w:firstLine="0" w:firstLineChars="0"/>
                    <w:jc w:val="both"/>
                    <w:rPr>
                      <w:rFonts w:hint="default" w:ascii="Times New Roman" w:hAnsi="Times New Roman" w:cs="Times New Roman"/>
                      <w:highlight w:val="none"/>
                    </w:rPr>
                  </w:pPr>
                </w:p>
              </w:tc>
              <w:tc>
                <w:tcPr>
                  <w:tcW w:w="4076" w:type="pct"/>
                  <w:tcBorders>
                    <w:tl2br w:val="nil"/>
                    <w:tr2bl w:val="nil"/>
                  </w:tcBorders>
                  <w:noWrap w:val="0"/>
                  <w:vAlign w:val="center"/>
                </w:tcPr>
                <w:p>
                  <w:pPr>
                    <w:pStyle w:val="15"/>
                    <w:keepNext w:val="0"/>
                    <w:keepLines w:val="0"/>
                    <w:suppressLineNumbers w:val="0"/>
                    <w:bidi w:val="0"/>
                    <w:spacing w:before="0" w:beforeAutospacing="0" w:after="0" w:afterAutospacing="0"/>
                    <w:ind w:left="0" w:leftChars="0" w:right="0" w:rightChars="0" w:firstLine="0" w:firstLineChars="0"/>
                    <w:jc w:val="left"/>
                    <w:rPr>
                      <w:rFonts w:hint="default" w:ascii="Times New Roman" w:hAnsi="Times New Roman" w:cs="Times New Roman"/>
                      <w:b/>
                      <w:bCs w:val="0"/>
                      <w:color w:val="auto"/>
                      <w:sz w:val="21"/>
                      <w:highlight w:val="none"/>
                      <w:u w:val="none"/>
                    </w:rPr>
                  </w:pPr>
                  <w:r>
                    <w:rPr>
                      <w:rFonts w:hint="default" w:ascii="Times New Roman" w:hAnsi="Times New Roman" w:cs="Times New Roman"/>
                      <w:b/>
                      <w:bCs w:val="0"/>
                      <w:color w:val="auto"/>
                      <w:sz w:val="21"/>
                      <w:highlight w:val="none"/>
                      <w:u w:val="none"/>
                    </w:rPr>
                    <w:t>生活垃圾</w:t>
                  </w:r>
                  <w:r>
                    <w:rPr>
                      <w:rFonts w:hint="default" w:ascii="Times New Roman" w:hAnsi="Times New Roman" w:cs="Times New Roman"/>
                      <w:b w:val="0"/>
                      <w:bCs/>
                      <w:color w:val="auto"/>
                      <w:sz w:val="21"/>
                      <w:highlight w:val="none"/>
                      <w:u w:val="none"/>
                    </w:rPr>
                    <w:t>：</w:t>
                  </w:r>
                  <w:r>
                    <w:rPr>
                      <w:rFonts w:hint="default" w:ascii="Times New Roman" w:hAnsi="Times New Roman" w:cs="Times New Roman"/>
                      <w:color w:val="auto"/>
                      <w:sz w:val="21"/>
                      <w:highlight w:val="none"/>
                      <w:u w:val="none"/>
                    </w:rPr>
                    <w:t>设置生活垃圾桶，统一收集后就近运至附近居民区垃圾收集点，由当地环卫部门清运处置</w:t>
                  </w:r>
                  <w:r>
                    <w:rPr>
                      <w:rFonts w:hint="default" w:ascii="Times New Roman" w:hAnsi="Times New Roman" w:cs="Times New Roman"/>
                      <w:color w:val="auto"/>
                      <w:sz w:val="21"/>
                      <w:highlight w:val="none"/>
                      <w:u w:val="no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48" w:type="pct"/>
                  <w:vMerge w:val="continue"/>
                  <w:tcBorders>
                    <w:tl2br w:val="nil"/>
                    <w:tr2bl w:val="nil"/>
                  </w:tcBorders>
                  <w:noWrap w:val="0"/>
                  <w:vAlign w:val="center"/>
                </w:tcPr>
                <w:p>
                  <w:pPr>
                    <w:pStyle w:val="15"/>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u w:val="none"/>
                      <w:lang w:eastAsia="zh-CN"/>
                    </w:rPr>
                  </w:pPr>
                </w:p>
              </w:tc>
              <w:tc>
                <w:tcPr>
                  <w:tcW w:w="231" w:type="pct"/>
                  <w:vMerge w:val="continue"/>
                  <w:tcBorders>
                    <w:tl2br w:val="nil"/>
                    <w:tr2bl w:val="nil"/>
                  </w:tcBorders>
                  <w:noWrap w:val="0"/>
                  <w:vAlign w:val="center"/>
                </w:tcPr>
                <w:p>
                  <w:pPr>
                    <w:pStyle w:val="15"/>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cs="Times New Roman"/>
                      <w:color w:val="auto"/>
                      <w:sz w:val="21"/>
                      <w:highlight w:val="none"/>
                      <w:u w:val="none"/>
                    </w:rPr>
                  </w:pPr>
                </w:p>
              </w:tc>
              <w:tc>
                <w:tcPr>
                  <w:tcW w:w="242" w:type="pct"/>
                  <w:tcBorders>
                    <w:tl2br w:val="nil"/>
                    <w:tr2bl w:val="nil"/>
                  </w:tcBorders>
                  <w:noWrap w:val="0"/>
                  <w:vAlign w:val="center"/>
                </w:tcPr>
                <w:p>
                  <w:pPr>
                    <w:pStyle w:val="15"/>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运营期</w:t>
                  </w:r>
                </w:p>
              </w:tc>
              <w:tc>
                <w:tcPr>
                  <w:tcW w:w="4076" w:type="pct"/>
                  <w:tcBorders>
                    <w:tl2br w:val="nil"/>
                    <w:tr2bl w:val="nil"/>
                  </w:tcBorders>
                  <w:noWrap w:val="0"/>
                  <w:vAlign w:val="center"/>
                </w:tcPr>
                <w:p>
                  <w:pPr>
                    <w:pStyle w:val="15"/>
                    <w:keepNext w:val="0"/>
                    <w:keepLines w:val="0"/>
                    <w:suppressLineNumbers w:val="0"/>
                    <w:bidi w:val="0"/>
                    <w:spacing w:before="0" w:beforeAutospacing="0" w:after="0" w:afterAutospacing="0"/>
                    <w:ind w:left="0" w:leftChars="0" w:right="0" w:rightChars="0" w:firstLine="0" w:firstLineChars="0"/>
                    <w:jc w:val="left"/>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rPr>
                    <w:t>工程建成后基本无固体废物污染。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48" w:type="pct"/>
                  <w:vMerge w:val="continue"/>
                  <w:tcBorders>
                    <w:tl2br w:val="nil"/>
                    <w:tr2bl w:val="nil"/>
                  </w:tcBorders>
                  <w:noWrap w:val="0"/>
                  <w:vAlign w:val="center"/>
                </w:tcPr>
                <w:p>
                  <w:pPr>
                    <w:pStyle w:val="15"/>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u w:val="none"/>
                      <w:lang w:eastAsia="zh-CN"/>
                    </w:rPr>
                  </w:pPr>
                </w:p>
              </w:tc>
              <w:tc>
                <w:tcPr>
                  <w:tcW w:w="231" w:type="pct"/>
                  <w:vMerge w:val="restart"/>
                  <w:tcBorders>
                    <w:tl2br w:val="nil"/>
                    <w:tr2bl w:val="nil"/>
                  </w:tcBorders>
                  <w:noWrap w:val="0"/>
                  <w:vAlign w:val="center"/>
                </w:tcPr>
                <w:p>
                  <w:pPr>
                    <w:pStyle w:val="15"/>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cs="Times New Roman"/>
                      <w:color w:val="auto"/>
                      <w:sz w:val="21"/>
                      <w:highlight w:val="none"/>
                      <w:u w:val="none"/>
                    </w:rPr>
                  </w:pPr>
                  <w:r>
                    <w:rPr>
                      <w:rFonts w:hint="default" w:ascii="Times New Roman" w:hAnsi="Times New Roman" w:cs="Times New Roman"/>
                      <w:color w:val="auto"/>
                      <w:highlight w:val="none"/>
                      <w:u w:val="none"/>
                    </w:rPr>
                    <w:t>生态</w:t>
                  </w:r>
                  <w:r>
                    <w:rPr>
                      <w:rFonts w:hint="default" w:ascii="Times New Roman" w:hAnsi="Times New Roman" w:cs="Times New Roman"/>
                      <w:color w:val="auto"/>
                      <w:highlight w:val="none"/>
                      <w:u w:val="none"/>
                      <w:lang w:val="en-US" w:eastAsia="zh-CN"/>
                    </w:rPr>
                    <w:t>保护措施</w:t>
                  </w:r>
                </w:p>
              </w:tc>
              <w:tc>
                <w:tcPr>
                  <w:tcW w:w="242" w:type="pct"/>
                  <w:tcBorders>
                    <w:tl2br w:val="nil"/>
                    <w:tr2bl w:val="nil"/>
                  </w:tcBorders>
                  <w:noWrap w:val="0"/>
                  <w:vAlign w:val="center"/>
                </w:tcPr>
                <w:p>
                  <w:pPr>
                    <w:pStyle w:val="15"/>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施工期</w:t>
                  </w:r>
                </w:p>
              </w:tc>
              <w:tc>
                <w:tcPr>
                  <w:tcW w:w="4076" w:type="pct"/>
                  <w:tcBorders>
                    <w:tl2br w:val="nil"/>
                    <w:tr2bl w:val="nil"/>
                  </w:tcBorders>
                  <w:noWrap w:val="0"/>
                  <w:vAlign w:val="center"/>
                </w:tcPr>
                <w:p>
                  <w:pPr>
                    <w:pStyle w:val="15"/>
                    <w:keepNext w:val="0"/>
                    <w:keepLines w:val="0"/>
                    <w:suppressLineNumbers w:val="0"/>
                    <w:bidi w:val="0"/>
                    <w:spacing w:before="0" w:beforeAutospacing="0" w:after="0" w:afterAutospacing="0"/>
                    <w:ind w:left="0" w:leftChars="0" w:right="0" w:rightChars="0" w:firstLine="0" w:firstLineChars="0"/>
                    <w:jc w:val="left"/>
                    <w:rPr>
                      <w:rFonts w:hint="default" w:ascii="Times New Roman" w:hAnsi="Times New Roman" w:eastAsia="宋体" w:cs="Times New Roman"/>
                      <w:color w:val="auto"/>
                      <w:highlight w:val="none"/>
                      <w:u w:val="none"/>
                      <w:lang w:val="en-US" w:eastAsia="zh-CN"/>
                    </w:rPr>
                  </w:pPr>
                  <w:r>
                    <w:rPr>
                      <w:rFonts w:hint="default" w:ascii="Times New Roman" w:hAnsi="Times New Roman" w:cs="Times New Roman"/>
                      <w:color w:val="auto"/>
                      <w:highlight w:val="none"/>
                      <w:u w:val="none"/>
                    </w:rPr>
                    <w:t>堤防工程采用人工种草护坡，通过人工在边坡坡面简单播撒草，并通过人工洒水保养。临时施工</w:t>
                  </w:r>
                  <w:r>
                    <w:rPr>
                      <w:rFonts w:hint="default" w:ascii="Times New Roman" w:hAnsi="Times New Roman" w:cs="Times New Roman"/>
                      <w:color w:val="auto"/>
                      <w:highlight w:val="none"/>
                      <w:u w:val="none"/>
                      <w:lang w:val="en-US" w:eastAsia="zh-CN"/>
                    </w:rPr>
                    <w:t>工区、</w:t>
                  </w:r>
                  <w:r>
                    <w:rPr>
                      <w:rFonts w:hint="eastAsia" w:cs="Times New Roman"/>
                      <w:color w:val="auto"/>
                      <w:highlight w:val="none"/>
                      <w:u w:val="none"/>
                      <w:lang w:val="en-US" w:eastAsia="zh-CN"/>
                    </w:rPr>
                    <w:t>临时堆渣场</w:t>
                  </w:r>
                  <w:r>
                    <w:rPr>
                      <w:rFonts w:hint="default" w:ascii="Times New Roman" w:hAnsi="Times New Roman" w:cs="Times New Roman"/>
                      <w:color w:val="auto"/>
                      <w:highlight w:val="none"/>
                      <w:u w:val="none"/>
                    </w:rPr>
                    <w:t>等场地待施工结束后，拆除建筑物，对场地进行平整、复耕，恢复植被</w:t>
                  </w:r>
                  <w:r>
                    <w:rPr>
                      <w:rFonts w:hint="default" w:ascii="Times New Roman" w:hAnsi="Times New Roman" w:cs="Times New Roman"/>
                      <w:color w:val="auto"/>
                      <w:highlight w:val="none"/>
                      <w:u w:val="none"/>
                      <w:lang w:eastAsia="zh-CN"/>
                    </w:rPr>
                    <w:t>；</w:t>
                  </w:r>
                  <w:r>
                    <w:rPr>
                      <w:rFonts w:hint="default" w:ascii="Times New Roman" w:hAnsi="Times New Roman" w:cs="Times New Roman"/>
                      <w:color w:val="auto"/>
                      <w:highlight w:val="none"/>
                      <w:u w:val="none"/>
                      <w:lang w:val="en-US" w:eastAsia="zh-CN"/>
                    </w:rPr>
                    <w:t>选择枯水期施工期，施工围堰进行覆膜，防治河水浑浊；</w:t>
                  </w:r>
                  <w:r>
                    <w:rPr>
                      <w:rFonts w:hint="default" w:ascii="Times New Roman" w:hAnsi="Times New Roman" w:cs="Times New Roman"/>
                      <w:color w:val="auto"/>
                      <w:highlight w:val="none"/>
                      <w:lang w:val="en-US" w:eastAsia="zh-CN"/>
                    </w:rPr>
                    <w:t>设置截排水沟，防止水土流失。</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48" w:type="pct"/>
                  <w:vMerge w:val="continue"/>
                  <w:tcBorders>
                    <w:tl2br w:val="nil"/>
                    <w:tr2bl w:val="nil"/>
                  </w:tcBorders>
                  <w:noWrap w:val="0"/>
                  <w:vAlign w:val="center"/>
                </w:tcPr>
                <w:p>
                  <w:pPr>
                    <w:pStyle w:val="15"/>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u w:val="none"/>
                      <w:lang w:eastAsia="zh-CN"/>
                    </w:rPr>
                  </w:pPr>
                </w:p>
              </w:tc>
              <w:tc>
                <w:tcPr>
                  <w:tcW w:w="231" w:type="pct"/>
                  <w:vMerge w:val="continue"/>
                  <w:tcBorders>
                    <w:tl2br w:val="nil"/>
                    <w:tr2bl w:val="nil"/>
                  </w:tcBorders>
                  <w:noWrap w:val="0"/>
                  <w:vAlign w:val="center"/>
                </w:tcPr>
                <w:p>
                  <w:pPr>
                    <w:pStyle w:val="15"/>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cs="Times New Roman"/>
                      <w:color w:val="auto"/>
                      <w:sz w:val="21"/>
                      <w:highlight w:val="none"/>
                      <w:u w:val="none"/>
                    </w:rPr>
                  </w:pPr>
                </w:p>
              </w:tc>
              <w:tc>
                <w:tcPr>
                  <w:tcW w:w="242" w:type="pct"/>
                  <w:tcBorders>
                    <w:tl2br w:val="nil"/>
                    <w:tr2bl w:val="nil"/>
                  </w:tcBorders>
                  <w:noWrap w:val="0"/>
                  <w:vAlign w:val="center"/>
                </w:tcPr>
                <w:p>
                  <w:pPr>
                    <w:pStyle w:val="15"/>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运营期</w:t>
                  </w:r>
                </w:p>
              </w:tc>
              <w:tc>
                <w:tcPr>
                  <w:tcW w:w="4076" w:type="pct"/>
                  <w:tcBorders>
                    <w:tl2br w:val="nil"/>
                    <w:tr2bl w:val="nil"/>
                  </w:tcBorders>
                  <w:noWrap w:val="0"/>
                  <w:vAlign w:val="center"/>
                </w:tcPr>
                <w:p>
                  <w:pPr>
                    <w:pStyle w:val="15"/>
                    <w:keepNext w:val="0"/>
                    <w:keepLines w:val="0"/>
                    <w:suppressLineNumbers w:val="0"/>
                    <w:bidi w:val="0"/>
                    <w:spacing w:before="0" w:beforeAutospacing="0" w:after="0" w:afterAutospacing="0"/>
                    <w:ind w:left="0" w:leftChars="0" w:right="0" w:rightChars="0" w:firstLine="0" w:firstLineChars="0"/>
                    <w:jc w:val="left"/>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rPr>
                    <w:t>加强堤防沿线植被管理，及时进行绿化植物的补种、修剪和维护，并定期喷洒农药，减少病虫害，保证区域绿化植被的景观效果及防治水土流失效果</w:t>
                  </w:r>
                  <w:r>
                    <w:rPr>
                      <w:rFonts w:hint="default" w:ascii="Times New Roman" w:hAnsi="Times New Roman" w:cs="Times New Roman"/>
                      <w:color w:val="auto"/>
                      <w:highlight w:val="none"/>
                      <w:u w:val="none"/>
                      <w:lang w:eastAsia="zh-CN"/>
                    </w:rPr>
                    <w:t>。</w:t>
                  </w:r>
                </w:p>
              </w:tc>
            </w:tr>
          </w:tbl>
          <w:p>
            <w:pPr>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lang w:val="en-US" w:eastAsia="zh-CN"/>
              </w:rPr>
              <w:t>三、</w:t>
            </w:r>
            <w:r>
              <w:rPr>
                <w:rFonts w:hint="default" w:ascii="Times New Roman" w:hAnsi="Times New Roman" w:cs="Times New Roman"/>
                <w:b/>
                <w:bCs/>
                <w:color w:val="auto"/>
                <w:highlight w:val="none"/>
              </w:rPr>
              <w:t>主要工程量汇总表</w:t>
            </w:r>
          </w:p>
          <w:p>
            <w:pPr>
              <w:keepNext w:val="0"/>
              <w:keepLines w:val="0"/>
              <w:suppressLineNumbers w:val="0"/>
              <w:spacing w:before="0" w:beforeAutospacing="0" w:after="0" w:afterAutospacing="0" w:line="360" w:lineRule="auto"/>
              <w:ind w:left="0" w:leftChars="0" w:right="0" w:firstLine="480" w:firstLineChars="20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根据</w:t>
            </w:r>
            <w:r>
              <w:rPr>
                <w:rFonts w:hint="default" w:ascii="Times New Roman" w:hAnsi="Times New Roman" w:cs="Times New Roman"/>
                <w:highlight w:val="none"/>
                <w:lang w:val="en-US" w:eastAsia="zh-CN"/>
              </w:rPr>
              <w:t>《</w:t>
            </w:r>
            <w:r>
              <w:rPr>
                <w:rFonts w:hint="eastAsia" w:cs="Times New Roman"/>
                <w:highlight w:val="none"/>
                <w:lang w:val="en-US" w:eastAsia="zh-CN"/>
              </w:rPr>
              <w:t>宣汉县胡家镇胡家河防洪</w:t>
            </w:r>
            <w:r>
              <w:rPr>
                <w:rFonts w:hint="default" w:ascii="Times New Roman" w:hAnsi="Times New Roman" w:cs="Times New Roman"/>
                <w:highlight w:val="none"/>
                <w:lang w:val="en-US" w:eastAsia="zh-CN"/>
              </w:rPr>
              <w:t>治理工程初步设计报告》</w:t>
            </w:r>
            <w:r>
              <w:rPr>
                <w:rFonts w:hint="default" w:ascii="Times New Roman" w:hAnsi="Times New Roman" w:cs="Times New Roman"/>
                <w:color w:val="auto"/>
                <w:highlight w:val="none"/>
              </w:rPr>
              <w:t>，本项目各工程主要工程量见表2-</w:t>
            </w:r>
            <w:r>
              <w:rPr>
                <w:rFonts w:hint="eastAsia" w:cs="Times New Roman"/>
                <w:color w:val="auto"/>
                <w:highlight w:val="none"/>
                <w:lang w:val="en-US" w:eastAsia="zh-CN"/>
              </w:rPr>
              <w:t>3</w:t>
            </w:r>
            <w:r>
              <w:rPr>
                <w:rFonts w:hint="default" w:ascii="Times New Roman" w:hAnsi="Times New Roman" w:cs="Times New Roman"/>
                <w:color w:val="auto"/>
                <w:highlight w:val="none"/>
                <w:lang w:val="en-US" w:eastAsia="zh-CN"/>
              </w:rPr>
              <w:t>。</w:t>
            </w:r>
          </w:p>
          <w:p>
            <w:pPr>
              <w:pStyle w:val="16"/>
              <w:bidi w:val="0"/>
              <w:rPr>
                <w:rFonts w:hint="default"/>
                <w:highlight w:val="none"/>
                <w:lang w:val="en-US" w:eastAsia="zh-CN"/>
              </w:rPr>
            </w:pPr>
            <w:r>
              <w:rPr>
                <w:rFonts w:hint="default"/>
                <w:highlight w:val="none"/>
                <w:lang w:val="en-US" w:eastAsia="zh-CN"/>
              </w:rPr>
              <w:t>表2-</w:t>
            </w:r>
            <w:r>
              <w:rPr>
                <w:rFonts w:hint="eastAsia"/>
                <w:highlight w:val="none"/>
                <w:lang w:val="en-US" w:eastAsia="zh-CN"/>
              </w:rPr>
              <w:t>3</w:t>
            </w:r>
            <w:r>
              <w:rPr>
                <w:rFonts w:hint="default"/>
                <w:highlight w:val="none"/>
                <w:lang w:val="en-US" w:eastAsia="zh-CN"/>
              </w:rPr>
              <w:t xml:space="preserve">  主要工程量汇总表</w:t>
            </w:r>
          </w:p>
          <w:tbl>
            <w:tblPr>
              <w:tblStyle w:val="19"/>
              <w:tblW w:w="4997" w:type="pct"/>
              <w:tblInd w:w="7"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1121"/>
              <w:gridCol w:w="1369"/>
              <w:gridCol w:w="1511"/>
              <w:gridCol w:w="1451"/>
              <w:gridCol w:w="1690"/>
              <w:gridCol w:w="1413"/>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755" w:hRule="atLeast"/>
              </w:trPr>
              <w:tc>
                <w:tcPr>
                  <w:tcW w:w="655" w:type="pct"/>
                  <w:tcBorders>
                    <w:tl2br w:val="nil"/>
                    <w:tr2bl w:val="nil"/>
                  </w:tcBorders>
                  <w:vAlign w:val="center"/>
                </w:tcPr>
                <w:p>
                  <w:pPr>
                    <w:pStyle w:val="15"/>
                    <w:bidi w:val="0"/>
                    <w:rPr>
                      <w:rFonts w:hint="default" w:eastAsia="宋体"/>
                      <w:b/>
                      <w:bCs/>
                      <w:highlight w:val="none"/>
                      <w:lang w:val="en-US" w:eastAsia="zh-CN"/>
                    </w:rPr>
                  </w:pPr>
                  <w:r>
                    <w:rPr>
                      <w:rFonts w:hint="eastAsia"/>
                      <w:b/>
                      <w:bCs/>
                      <w:highlight w:val="none"/>
                      <w:lang w:val="en-US" w:eastAsia="zh-CN"/>
                    </w:rPr>
                    <w:t>类别</w:t>
                  </w:r>
                </w:p>
              </w:tc>
              <w:tc>
                <w:tcPr>
                  <w:tcW w:w="800" w:type="pct"/>
                  <w:tcBorders>
                    <w:tl2br w:val="nil"/>
                    <w:tr2bl w:val="nil"/>
                  </w:tcBorders>
                  <w:vAlign w:val="center"/>
                </w:tcPr>
                <w:p>
                  <w:pPr>
                    <w:pStyle w:val="15"/>
                    <w:bidi w:val="0"/>
                    <w:rPr>
                      <w:b/>
                      <w:bCs/>
                      <w:highlight w:val="none"/>
                    </w:rPr>
                  </w:pPr>
                  <w:r>
                    <w:rPr>
                      <w:b/>
                      <w:bCs/>
                      <w:highlight w:val="none"/>
                    </w:rPr>
                    <w:t>项目</w:t>
                  </w:r>
                </w:p>
              </w:tc>
              <w:tc>
                <w:tcPr>
                  <w:tcW w:w="883" w:type="pct"/>
                  <w:tcBorders>
                    <w:tl2br w:val="nil"/>
                    <w:tr2bl w:val="nil"/>
                  </w:tcBorders>
                  <w:vAlign w:val="center"/>
                </w:tcPr>
                <w:p>
                  <w:pPr>
                    <w:pStyle w:val="15"/>
                    <w:bidi w:val="0"/>
                    <w:rPr>
                      <w:b/>
                      <w:bCs/>
                      <w:highlight w:val="none"/>
                    </w:rPr>
                  </w:pPr>
                  <w:r>
                    <w:rPr>
                      <w:b/>
                      <w:bCs/>
                      <w:highlight w:val="none"/>
                    </w:rPr>
                    <w:t>土方工程</w:t>
                  </w:r>
                </w:p>
                <w:p>
                  <w:pPr>
                    <w:pStyle w:val="15"/>
                    <w:bidi w:val="0"/>
                    <w:rPr>
                      <w:b/>
                      <w:bCs/>
                      <w:highlight w:val="none"/>
                    </w:rPr>
                  </w:pPr>
                  <w:r>
                    <w:rPr>
                      <w:b/>
                      <w:bCs/>
                      <w:highlight w:val="none"/>
                    </w:rPr>
                    <w:t>(m</w:t>
                  </w:r>
                  <w:r>
                    <w:rPr>
                      <w:b/>
                      <w:bCs/>
                      <w:highlight w:val="none"/>
                      <w:vertAlign w:val="superscript"/>
                    </w:rPr>
                    <w:t>3</w:t>
                  </w:r>
                  <w:r>
                    <w:rPr>
                      <w:b/>
                      <w:bCs/>
                      <w:highlight w:val="none"/>
                    </w:rPr>
                    <w:t>)</w:t>
                  </w:r>
                </w:p>
              </w:tc>
              <w:tc>
                <w:tcPr>
                  <w:tcW w:w="848" w:type="pct"/>
                  <w:tcBorders>
                    <w:tl2br w:val="nil"/>
                    <w:tr2bl w:val="nil"/>
                  </w:tcBorders>
                  <w:vAlign w:val="center"/>
                </w:tcPr>
                <w:p>
                  <w:pPr>
                    <w:pStyle w:val="15"/>
                    <w:bidi w:val="0"/>
                    <w:rPr>
                      <w:b/>
                      <w:bCs/>
                      <w:highlight w:val="none"/>
                    </w:rPr>
                  </w:pPr>
                  <w:r>
                    <w:rPr>
                      <w:b/>
                      <w:bCs/>
                      <w:highlight w:val="none"/>
                    </w:rPr>
                    <w:t>石方工程</w:t>
                  </w:r>
                </w:p>
                <w:p>
                  <w:pPr>
                    <w:pStyle w:val="15"/>
                    <w:bidi w:val="0"/>
                    <w:rPr>
                      <w:b/>
                      <w:bCs/>
                      <w:highlight w:val="none"/>
                    </w:rPr>
                  </w:pPr>
                  <w:r>
                    <w:rPr>
                      <w:b/>
                      <w:bCs/>
                      <w:highlight w:val="none"/>
                    </w:rPr>
                    <w:t>(m</w:t>
                  </w:r>
                  <w:r>
                    <w:rPr>
                      <w:b/>
                      <w:bCs/>
                      <w:highlight w:val="none"/>
                      <w:vertAlign w:val="superscript"/>
                    </w:rPr>
                    <w:t>3</w:t>
                  </w:r>
                  <w:r>
                    <w:rPr>
                      <w:b/>
                      <w:bCs/>
                      <w:highlight w:val="none"/>
                    </w:rPr>
                    <w:t>)</w:t>
                  </w:r>
                </w:p>
              </w:tc>
              <w:tc>
                <w:tcPr>
                  <w:tcW w:w="987" w:type="pct"/>
                  <w:tcBorders>
                    <w:tl2br w:val="nil"/>
                    <w:tr2bl w:val="nil"/>
                  </w:tcBorders>
                  <w:vAlign w:val="center"/>
                </w:tcPr>
                <w:p>
                  <w:pPr>
                    <w:pStyle w:val="15"/>
                    <w:bidi w:val="0"/>
                    <w:rPr>
                      <w:b/>
                      <w:bCs/>
                      <w:highlight w:val="none"/>
                    </w:rPr>
                  </w:pPr>
                  <w:r>
                    <w:rPr>
                      <w:b/>
                      <w:bCs/>
                      <w:highlight w:val="none"/>
                    </w:rPr>
                    <w:t>混凝土浇筑工程</w:t>
                  </w:r>
                </w:p>
                <w:p>
                  <w:pPr>
                    <w:pStyle w:val="15"/>
                    <w:bidi w:val="0"/>
                    <w:rPr>
                      <w:b/>
                      <w:bCs/>
                      <w:highlight w:val="none"/>
                    </w:rPr>
                  </w:pPr>
                  <w:r>
                    <w:rPr>
                      <w:b/>
                      <w:bCs/>
                      <w:highlight w:val="none"/>
                    </w:rPr>
                    <w:t>(m</w:t>
                  </w:r>
                  <w:r>
                    <w:rPr>
                      <w:b/>
                      <w:bCs/>
                      <w:highlight w:val="none"/>
                      <w:vertAlign w:val="superscript"/>
                    </w:rPr>
                    <w:t>3</w:t>
                  </w:r>
                  <w:r>
                    <w:rPr>
                      <w:b/>
                      <w:bCs/>
                      <w:highlight w:val="none"/>
                    </w:rPr>
                    <w:t>)</w:t>
                  </w:r>
                </w:p>
              </w:tc>
              <w:tc>
                <w:tcPr>
                  <w:tcW w:w="825" w:type="pct"/>
                  <w:tcBorders>
                    <w:tl2br w:val="nil"/>
                    <w:tr2bl w:val="nil"/>
                  </w:tcBorders>
                  <w:vAlign w:val="center"/>
                </w:tcPr>
                <w:p>
                  <w:pPr>
                    <w:pStyle w:val="15"/>
                    <w:bidi w:val="0"/>
                    <w:rPr>
                      <w:b/>
                      <w:bCs/>
                      <w:highlight w:val="none"/>
                    </w:rPr>
                  </w:pPr>
                  <w:r>
                    <w:rPr>
                      <w:b/>
                      <w:bCs/>
                      <w:highlight w:val="none"/>
                    </w:rPr>
                    <w:t>模板工程</w:t>
                  </w:r>
                </w:p>
                <w:p>
                  <w:pPr>
                    <w:pStyle w:val="15"/>
                    <w:bidi w:val="0"/>
                    <w:rPr>
                      <w:b/>
                      <w:bCs/>
                      <w:highlight w:val="none"/>
                    </w:rPr>
                  </w:pPr>
                  <w:r>
                    <w:rPr>
                      <w:b/>
                      <w:bCs/>
                      <w:highlight w:val="none"/>
                    </w:rPr>
                    <w:t>(m</w:t>
                  </w:r>
                  <w:r>
                    <w:rPr>
                      <w:b/>
                      <w:bCs/>
                      <w:highlight w:val="none"/>
                      <w:vertAlign w:val="superscript"/>
                    </w:rPr>
                    <w:t>2</w:t>
                  </w:r>
                  <w:r>
                    <w:rPr>
                      <w:b/>
                      <w:bCs/>
                      <w:highlight w:val="none"/>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51" w:hRule="atLeast"/>
              </w:trPr>
              <w:tc>
                <w:tcPr>
                  <w:tcW w:w="655" w:type="pct"/>
                  <w:tcBorders>
                    <w:tl2br w:val="nil"/>
                    <w:tr2bl w:val="nil"/>
                  </w:tcBorders>
                  <w:vAlign w:val="center"/>
                </w:tcPr>
                <w:p>
                  <w:pPr>
                    <w:pStyle w:val="15"/>
                    <w:bidi w:val="0"/>
                    <w:rPr>
                      <w:highlight w:val="none"/>
                    </w:rPr>
                  </w:pPr>
                  <w:r>
                    <w:rPr>
                      <w:highlight w:val="none"/>
                    </w:rPr>
                    <w:t>建筑工程</w:t>
                  </w:r>
                </w:p>
              </w:tc>
              <w:tc>
                <w:tcPr>
                  <w:tcW w:w="800" w:type="pct"/>
                  <w:tcBorders>
                    <w:tl2br w:val="nil"/>
                    <w:tr2bl w:val="nil"/>
                  </w:tcBorders>
                  <w:vAlign w:val="center"/>
                </w:tcPr>
                <w:p>
                  <w:pPr>
                    <w:pStyle w:val="15"/>
                    <w:bidi w:val="0"/>
                    <w:rPr>
                      <w:highlight w:val="none"/>
                    </w:rPr>
                  </w:pPr>
                  <w:r>
                    <w:rPr>
                      <w:highlight w:val="none"/>
                    </w:rPr>
                    <w:t>堤防工程</w:t>
                  </w:r>
                </w:p>
              </w:tc>
              <w:tc>
                <w:tcPr>
                  <w:tcW w:w="883" w:type="pct"/>
                  <w:tcBorders>
                    <w:tl2br w:val="nil"/>
                    <w:tr2bl w:val="nil"/>
                  </w:tcBorders>
                  <w:vAlign w:val="center"/>
                </w:tcPr>
                <w:p>
                  <w:pPr>
                    <w:pStyle w:val="15"/>
                    <w:bidi w:val="0"/>
                    <w:rPr>
                      <w:highlight w:val="none"/>
                    </w:rPr>
                  </w:pPr>
                  <w:r>
                    <w:rPr>
                      <w:highlight w:val="none"/>
                    </w:rPr>
                    <w:t>29785.65</w:t>
                  </w:r>
                </w:p>
              </w:tc>
              <w:tc>
                <w:tcPr>
                  <w:tcW w:w="848" w:type="pct"/>
                  <w:tcBorders>
                    <w:tl2br w:val="nil"/>
                    <w:tr2bl w:val="nil"/>
                  </w:tcBorders>
                  <w:vAlign w:val="center"/>
                </w:tcPr>
                <w:p>
                  <w:pPr>
                    <w:pStyle w:val="15"/>
                    <w:bidi w:val="0"/>
                    <w:rPr>
                      <w:highlight w:val="none"/>
                    </w:rPr>
                  </w:pPr>
                  <w:r>
                    <w:rPr>
                      <w:highlight w:val="none"/>
                    </w:rPr>
                    <w:t>5314.50</w:t>
                  </w:r>
                </w:p>
              </w:tc>
              <w:tc>
                <w:tcPr>
                  <w:tcW w:w="987" w:type="pct"/>
                  <w:tcBorders>
                    <w:tl2br w:val="nil"/>
                    <w:tr2bl w:val="nil"/>
                  </w:tcBorders>
                  <w:vAlign w:val="center"/>
                </w:tcPr>
                <w:p>
                  <w:pPr>
                    <w:pStyle w:val="15"/>
                    <w:bidi w:val="0"/>
                    <w:rPr>
                      <w:highlight w:val="none"/>
                    </w:rPr>
                  </w:pPr>
                  <w:r>
                    <w:rPr>
                      <w:highlight w:val="none"/>
                    </w:rPr>
                    <w:t>10627.29</w:t>
                  </w:r>
                </w:p>
              </w:tc>
              <w:tc>
                <w:tcPr>
                  <w:tcW w:w="825" w:type="pct"/>
                  <w:tcBorders>
                    <w:tl2br w:val="nil"/>
                    <w:tr2bl w:val="nil"/>
                  </w:tcBorders>
                  <w:vAlign w:val="center"/>
                </w:tcPr>
                <w:p>
                  <w:pPr>
                    <w:pStyle w:val="15"/>
                    <w:bidi w:val="0"/>
                    <w:rPr>
                      <w:highlight w:val="none"/>
                    </w:rPr>
                  </w:pPr>
                  <w:r>
                    <w:rPr>
                      <w:highlight w:val="none"/>
                    </w:rPr>
                    <w:t>12917.00</w:t>
                  </w:r>
                </w:p>
              </w:tc>
            </w:tr>
          </w:tbl>
          <w:p>
            <w:pPr>
              <w:numPr>
                <w:ilvl w:val="0"/>
                <w:numId w:val="4"/>
              </w:numPr>
              <w:bidi w:val="0"/>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主要工程设备</w:t>
            </w:r>
          </w:p>
          <w:p>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根据施工方案，本项目使用的主要工程</w:t>
            </w:r>
            <w:r>
              <w:rPr>
                <w:rFonts w:hint="eastAsia" w:cs="Times New Roman"/>
                <w:color w:val="auto"/>
                <w:highlight w:val="none"/>
                <w:lang w:val="en-US" w:eastAsia="zh-CN"/>
              </w:rPr>
              <w:t>机械</w:t>
            </w:r>
            <w:r>
              <w:rPr>
                <w:rFonts w:hint="default" w:ascii="Times New Roman" w:hAnsi="Times New Roman" w:cs="Times New Roman"/>
                <w:color w:val="auto"/>
                <w:highlight w:val="none"/>
              </w:rPr>
              <w:t>设备见表</w:t>
            </w:r>
            <w:r>
              <w:rPr>
                <w:rFonts w:hint="default" w:ascii="Times New Roman" w:hAnsi="Times New Roman" w:cs="Times New Roman"/>
                <w:color w:val="auto"/>
                <w:highlight w:val="none"/>
                <w:lang w:val="en-US" w:eastAsia="zh-CN"/>
              </w:rPr>
              <w:t>2-</w:t>
            </w:r>
            <w:r>
              <w:rPr>
                <w:rFonts w:hint="eastAsia" w:cs="Times New Roman"/>
                <w:color w:val="auto"/>
                <w:highlight w:val="none"/>
                <w:lang w:val="en-US" w:eastAsia="zh-CN"/>
              </w:rPr>
              <w:t>4</w:t>
            </w:r>
            <w:r>
              <w:rPr>
                <w:rFonts w:hint="default" w:ascii="Times New Roman" w:hAnsi="Times New Roman" w:cs="Times New Roman"/>
                <w:color w:val="auto"/>
                <w:highlight w:val="none"/>
                <w:lang w:val="en-US" w:eastAsia="zh-CN"/>
              </w:rPr>
              <w:t>。</w:t>
            </w:r>
          </w:p>
          <w:p>
            <w:pPr>
              <w:pStyle w:val="16"/>
              <w:keepNext w:val="0"/>
              <w:keepLines w:val="0"/>
              <w:suppressLineNumbers w:val="0"/>
              <w:spacing w:beforeAutospacing="0" w:after="0" w:afterAutospacing="0"/>
              <w:ind w:left="0" w:right="0"/>
              <w:rPr>
                <w:rFonts w:hint="default" w:ascii="Times New Roman" w:hAnsi="Times New Roman" w:cs="Times New Roman"/>
                <w:b/>
                <w:color w:val="auto"/>
                <w:kern w:val="0"/>
                <w:sz w:val="24"/>
                <w:highlight w:val="none"/>
              </w:rPr>
            </w:pPr>
            <w:r>
              <w:rPr>
                <w:rFonts w:hint="default" w:ascii="Times New Roman" w:hAnsi="Times New Roman" w:cs="Times New Roman"/>
                <w:b/>
                <w:color w:val="auto"/>
                <w:kern w:val="0"/>
                <w:sz w:val="24"/>
                <w:highlight w:val="none"/>
              </w:rPr>
              <w:t>表2-</w:t>
            </w:r>
            <w:r>
              <w:rPr>
                <w:rFonts w:hint="eastAsia" w:ascii="Times New Roman" w:hAnsi="Times New Roman" w:cs="Times New Roman"/>
                <w:b/>
                <w:color w:val="auto"/>
                <w:kern w:val="0"/>
                <w:sz w:val="24"/>
                <w:highlight w:val="none"/>
                <w:lang w:val="en-US" w:eastAsia="zh-CN"/>
              </w:rPr>
              <w:t>4</w:t>
            </w:r>
            <w:r>
              <w:rPr>
                <w:rFonts w:hint="default" w:ascii="Times New Roman" w:hAnsi="Times New Roman" w:cs="Times New Roman"/>
                <w:b/>
                <w:color w:val="auto"/>
                <w:kern w:val="0"/>
                <w:sz w:val="24"/>
                <w:highlight w:val="none"/>
              </w:rPr>
              <w:t xml:space="preserve">  主要施工设备一览表</w:t>
            </w:r>
          </w:p>
          <w:tbl>
            <w:tblPr>
              <w:tblStyle w:val="11"/>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02"/>
              <w:gridCol w:w="2428"/>
              <w:gridCol w:w="2582"/>
              <w:gridCol w:w="1327"/>
              <w:gridCol w:w="131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blHeader/>
              </w:trPr>
              <w:tc>
                <w:tcPr>
                  <w:tcW w:w="527" w:type="pct"/>
                  <w:tcBorders>
                    <w:tl2br w:val="nil"/>
                    <w:tr2bl w:val="nil"/>
                  </w:tcBorders>
                  <w:shd w:val="clear" w:color="auto" w:fill="auto"/>
                  <w:noWrap/>
                  <w:vAlign w:val="center"/>
                </w:tcPr>
                <w:p>
                  <w:pPr>
                    <w:pStyle w:val="15"/>
                    <w:bidi w:val="0"/>
                    <w:rPr>
                      <w:b/>
                      <w:bCs/>
                      <w:highlight w:val="none"/>
                    </w:rPr>
                  </w:pPr>
                  <w:r>
                    <w:rPr>
                      <w:rFonts w:hint="eastAsia"/>
                      <w:b/>
                      <w:bCs/>
                      <w:highlight w:val="none"/>
                      <w:lang w:val="en-US" w:eastAsia="zh-CN"/>
                    </w:rPr>
                    <w:t>序</w:t>
                  </w:r>
                  <w:r>
                    <w:rPr>
                      <w:rFonts w:hint="eastAsia"/>
                      <w:b/>
                      <w:bCs/>
                      <w:highlight w:val="none"/>
                    </w:rPr>
                    <w:t>号</w:t>
                  </w:r>
                </w:p>
              </w:tc>
              <w:tc>
                <w:tcPr>
                  <w:tcW w:w="1418" w:type="pct"/>
                  <w:tcBorders>
                    <w:tl2br w:val="nil"/>
                    <w:tr2bl w:val="nil"/>
                  </w:tcBorders>
                  <w:shd w:val="clear" w:color="auto" w:fill="auto"/>
                  <w:noWrap/>
                  <w:vAlign w:val="center"/>
                </w:tcPr>
                <w:p>
                  <w:pPr>
                    <w:pStyle w:val="15"/>
                    <w:bidi w:val="0"/>
                    <w:rPr>
                      <w:b/>
                      <w:bCs/>
                      <w:highlight w:val="none"/>
                    </w:rPr>
                  </w:pPr>
                  <w:r>
                    <w:rPr>
                      <w:rFonts w:hint="eastAsia"/>
                      <w:b/>
                      <w:bCs/>
                      <w:highlight w:val="none"/>
                    </w:rPr>
                    <w:t>名称</w:t>
                  </w:r>
                </w:p>
              </w:tc>
              <w:tc>
                <w:tcPr>
                  <w:tcW w:w="1508" w:type="pct"/>
                  <w:tcBorders>
                    <w:tl2br w:val="nil"/>
                    <w:tr2bl w:val="nil"/>
                  </w:tcBorders>
                  <w:shd w:val="clear" w:color="auto" w:fill="auto"/>
                  <w:noWrap/>
                  <w:vAlign w:val="center"/>
                </w:tcPr>
                <w:p>
                  <w:pPr>
                    <w:pStyle w:val="15"/>
                    <w:bidi w:val="0"/>
                    <w:rPr>
                      <w:rFonts w:hint="eastAsia"/>
                      <w:b/>
                      <w:bCs/>
                      <w:highlight w:val="none"/>
                    </w:rPr>
                  </w:pPr>
                  <w:r>
                    <w:rPr>
                      <w:rFonts w:hint="default"/>
                      <w:b/>
                      <w:bCs/>
                      <w:highlight w:val="none"/>
                    </w:rPr>
                    <w:t>规格型号</w:t>
                  </w:r>
                </w:p>
              </w:tc>
              <w:tc>
                <w:tcPr>
                  <w:tcW w:w="775" w:type="pct"/>
                  <w:tcBorders>
                    <w:tl2br w:val="nil"/>
                    <w:tr2bl w:val="nil"/>
                  </w:tcBorders>
                  <w:shd w:val="clear" w:color="auto" w:fill="auto"/>
                  <w:noWrap/>
                  <w:vAlign w:val="center"/>
                </w:tcPr>
                <w:p>
                  <w:pPr>
                    <w:pStyle w:val="15"/>
                    <w:bidi w:val="0"/>
                    <w:rPr>
                      <w:b/>
                      <w:bCs/>
                      <w:highlight w:val="none"/>
                    </w:rPr>
                  </w:pPr>
                  <w:r>
                    <w:rPr>
                      <w:rFonts w:hint="eastAsia"/>
                      <w:b/>
                      <w:bCs/>
                      <w:highlight w:val="none"/>
                    </w:rPr>
                    <w:t>单位</w:t>
                  </w:r>
                </w:p>
              </w:tc>
              <w:tc>
                <w:tcPr>
                  <w:tcW w:w="770" w:type="pct"/>
                  <w:tcBorders>
                    <w:tl2br w:val="nil"/>
                    <w:tr2bl w:val="nil"/>
                  </w:tcBorders>
                  <w:shd w:val="clear" w:color="auto" w:fill="auto"/>
                  <w:vAlign w:val="center"/>
                </w:tcPr>
                <w:p>
                  <w:pPr>
                    <w:pStyle w:val="15"/>
                    <w:bidi w:val="0"/>
                    <w:rPr>
                      <w:rFonts w:hint="eastAsia"/>
                      <w:b/>
                      <w:bCs/>
                      <w:highlight w:val="none"/>
                      <w:lang w:eastAsia="zh-CN"/>
                    </w:rPr>
                  </w:pPr>
                  <w:r>
                    <w:rPr>
                      <w:rFonts w:hint="eastAsia"/>
                      <w:b/>
                      <w:bCs/>
                      <w:highlight w:val="none"/>
                      <w:lang w:val="en-US" w:eastAsia="zh-CN"/>
                    </w:rPr>
                    <w:t>数量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527" w:type="pct"/>
                  <w:tcBorders>
                    <w:tl2br w:val="nil"/>
                    <w:tr2bl w:val="nil"/>
                  </w:tcBorders>
                  <w:shd w:val="clear" w:color="auto" w:fill="auto"/>
                  <w:vAlign w:val="center"/>
                </w:tcPr>
                <w:p>
                  <w:pPr>
                    <w:pStyle w:val="15"/>
                    <w:bidi w:val="0"/>
                    <w:rPr>
                      <w:highlight w:val="none"/>
                    </w:rPr>
                  </w:pPr>
                  <w:r>
                    <w:rPr>
                      <w:highlight w:val="none"/>
                    </w:rPr>
                    <w:t>1</w:t>
                  </w:r>
                </w:p>
              </w:tc>
              <w:tc>
                <w:tcPr>
                  <w:tcW w:w="1418" w:type="pct"/>
                  <w:tcBorders>
                    <w:tl2br w:val="nil"/>
                    <w:tr2bl w:val="nil"/>
                  </w:tcBorders>
                  <w:shd w:val="clear" w:color="auto" w:fill="auto"/>
                  <w:vAlign w:val="center"/>
                </w:tcPr>
                <w:p>
                  <w:pPr>
                    <w:pStyle w:val="15"/>
                    <w:bidi w:val="0"/>
                    <w:rPr>
                      <w:highlight w:val="none"/>
                    </w:rPr>
                  </w:pPr>
                  <w:r>
                    <w:rPr>
                      <w:highlight w:val="none"/>
                    </w:rPr>
                    <w:t>挖土机</w:t>
                  </w:r>
                </w:p>
              </w:tc>
              <w:tc>
                <w:tcPr>
                  <w:tcW w:w="1508" w:type="pct"/>
                  <w:tcBorders>
                    <w:tl2br w:val="nil"/>
                    <w:tr2bl w:val="nil"/>
                  </w:tcBorders>
                  <w:shd w:val="clear" w:color="auto" w:fill="auto"/>
                  <w:vAlign w:val="center"/>
                </w:tcPr>
                <w:p>
                  <w:pPr>
                    <w:pStyle w:val="15"/>
                    <w:bidi w:val="0"/>
                    <w:rPr>
                      <w:rFonts w:hint="eastAsia"/>
                      <w:highlight w:val="none"/>
                      <w:lang w:val="en-US" w:eastAsia="zh-CN"/>
                    </w:rPr>
                  </w:pPr>
                  <w:r>
                    <w:rPr>
                      <w:highlight w:val="none"/>
                    </w:rPr>
                    <w:t>1.6~2.0m</w:t>
                  </w:r>
                  <w:r>
                    <w:rPr>
                      <w:rFonts w:hint="eastAsia"/>
                      <w:highlight w:val="none"/>
                      <w:vertAlign w:val="superscript"/>
                      <w:lang w:val="en-US" w:eastAsia="zh-CN"/>
                    </w:rPr>
                    <w:t>3</w:t>
                  </w:r>
                </w:p>
              </w:tc>
              <w:tc>
                <w:tcPr>
                  <w:tcW w:w="775" w:type="pct"/>
                  <w:tcBorders>
                    <w:tl2br w:val="nil"/>
                    <w:tr2bl w:val="nil"/>
                  </w:tcBorders>
                  <w:shd w:val="clear" w:color="auto" w:fill="auto"/>
                  <w:vAlign w:val="center"/>
                </w:tcPr>
                <w:p>
                  <w:pPr>
                    <w:pStyle w:val="15"/>
                    <w:bidi w:val="0"/>
                    <w:rPr>
                      <w:highlight w:val="none"/>
                    </w:rPr>
                  </w:pPr>
                  <w:r>
                    <w:rPr>
                      <w:rFonts w:hint="eastAsia"/>
                      <w:highlight w:val="none"/>
                    </w:rPr>
                    <w:t>台</w:t>
                  </w:r>
                </w:p>
              </w:tc>
              <w:tc>
                <w:tcPr>
                  <w:tcW w:w="770" w:type="pct"/>
                  <w:tcBorders>
                    <w:tl2br w:val="nil"/>
                    <w:tr2bl w:val="nil"/>
                  </w:tcBorders>
                  <w:shd w:val="clear" w:color="auto" w:fill="auto"/>
                  <w:vAlign w:val="center"/>
                </w:tcPr>
                <w:p>
                  <w:pPr>
                    <w:pStyle w:val="15"/>
                    <w:bidi w:val="0"/>
                    <w:rPr>
                      <w:rFonts w:hint="eastAsia"/>
                      <w:highlight w:val="none"/>
                      <w:lang w:val="en-US" w:eastAsia="zh-CN"/>
                    </w:rPr>
                  </w:pPr>
                  <w:r>
                    <w:rPr>
                      <w:rFonts w:hint="eastAsia"/>
                      <w:highlight w:val="none"/>
                      <w:lang w:val="en-US" w:eastAsia="zh-CN"/>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527" w:type="pct"/>
                  <w:tcBorders>
                    <w:tl2br w:val="nil"/>
                    <w:tr2bl w:val="nil"/>
                  </w:tcBorders>
                  <w:shd w:val="clear" w:color="auto" w:fill="auto"/>
                  <w:vAlign w:val="center"/>
                </w:tcPr>
                <w:p>
                  <w:pPr>
                    <w:pStyle w:val="15"/>
                    <w:bidi w:val="0"/>
                    <w:rPr>
                      <w:highlight w:val="none"/>
                    </w:rPr>
                  </w:pPr>
                  <w:r>
                    <w:rPr>
                      <w:highlight w:val="none"/>
                    </w:rPr>
                    <w:t>2</w:t>
                  </w:r>
                </w:p>
              </w:tc>
              <w:tc>
                <w:tcPr>
                  <w:tcW w:w="1418" w:type="pct"/>
                  <w:tcBorders>
                    <w:tl2br w:val="nil"/>
                    <w:tr2bl w:val="nil"/>
                  </w:tcBorders>
                  <w:shd w:val="clear" w:color="auto" w:fill="auto"/>
                  <w:vAlign w:val="center"/>
                </w:tcPr>
                <w:p>
                  <w:pPr>
                    <w:pStyle w:val="15"/>
                    <w:bidi w:val="0"/>
                    <w:rPr>
                      <w:highlight w:val="none"/>
                    </w:rPr>
                  </w:pPr>
                  <w:r>
                    <w:rPr>
                      <w:highlight w:val="none"/>
                    </w:rPr>
                    <w:t>推土机</w:t>
                  </w:r>
                </w:p>
              </w:tc>
              <w:tc>
                <w:tcPr>
                  <w:tcW w:w="1508" w:type="pct"/>
                  <w:tcBorders>
                    <w:tl2br w:val="nil"/>
                    <w:tr2bl w:val="nil"/>
                  </w:tcBorders>
                  <w:shd w:val="clear" w:color="auto" w:fill="auto"/>
                  <w:vAlign w:val="center"/>
                </w:tcPr>
                <w:p>
                  <w:pPr>
                    <w:pStyle w:val="15"/>
                    <w:bidi w:val="0"/>
                    <w:rPr>
                      <w:rFonts w:hint="eastAsia"/>
                      <w:highlight w:val="none"/>
                    </w:rPr>
                  </w:pPr>
                  <w:r>
                    <w:rPr>
                      <w:highlight w:val="none"/>
                    </w:rPr>
                    <w:t>59kw</w:t>
                  </w:r>
                </w:p>
              </w:tc>
              <w:tc>
                <w:tcPr>
                  <w:tcW w:w="775" w:type="pct"/>
                  <w:tcBorders>
                    <w:tl2br w:val="nil"/>
                    <w:tr2bl w:val="nil"/>
                  </w:tcBorders>
                  <w:shd w:val="clear" w:color="auto" w:fill="auto"/>
                  <w:vAlign w:val="center"/>
                </w:tcPr>
                <w:p>
                  <w:pPr>
                    <w:pStyle w:val="15"/>
                    <w:bidi w:val="0"/>
                    <w:rPr>
                      <w:highlight w:val="none"/>
                    </w:rPr>
                  </w:pPr>
                  <w:r>
                    <w:rPr>
                      <w:rFonts w:hint="eastAsia"/>
                      <w:highlight w:val="none"/>
                    </w:rPr>
                    <w:t>台</w:t>
                  </w:r>
                </w:p>
              </w:tc>
              <w:tc>
                <w:tcPr>
                  <w:tcW w:w="770" w:type="pct"/>
                  <w:tcBorders>
                    <w:tl2br w:val="nil"/>
                    <w:tr2bl w:val="nil"/>
                  </w:tcBorders>
                  <w:shd w:val="clear" w:color="auto" w:fill="auto"/>
                  <w:vAlign w:val="center"/>
                </w:tcPr>
                <w:p>
                  <w:pPr>
                    <w:pStyle w:val="15"/>
                    <w:bidi w:val="0"/>
                    <w:rPr>
                      <w:rFonts w:hint="eastAsia"/>
                      <w:highlight w:val="none"/>
                      <w:lang w:val="en-US" w:eastAsia="zh-CN"/>
                    </w:rPr>
                  </w:pPr>
                  <w:r>
                    <w:rPr>
                      <w:rFonts w:hint="eastAsia"/>
                      <w:highlight w:val="none"/>
                      <w:lang w:val="en-US" w:eastAsia="zh-CN"/>
                    </w:rPr>
                    <w:t>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527" w:type="pct"/>
                  <w:tcBorders>
                    <w:tl2br w:val="nil"/>
                    <w:tr2bl w:val="nil"/>
                  </w:tcBorders>
                  <w:shd w:val="clear" w:color="auto" w:fill="auto"/>
                  <w:vAlign w:val="center"/>
                </w:tcPr>
                <w:p>
                  <w:pPr>
                    <w:pStyle w:val="15"/>
                    <w:bidi w:val="0"/>
                    <w:rPr>
                      <w:highlight w:val="none"/>
                    </w:rPr>
                  </w:pPr>
                  <w:r>
                    <w:rPr>
                      <w:highlight w:val="none"/>
                    </w:rPr>
                    <w:t>3</w:t>
                  </w:r>
                </w:p>
              </w:tc>
              <w:tc>
                <w:tcPr>
                  <w:tcW w:w="1418" w:type="pct"/>
                  <w:tcBorders>
                    <w:tl2br w:val="nil"/>
                    <w:tr2bl w:val="nil"/>
                  </w:tcBorders>
                  <w:shd w:val="clear" w:color="auto" w:fill="auto"/>
                  <w:vAlign w:val="center"/>
                </w:tcPr>
                <w:p>
                  <w:pPr>
                    <w:pStyle w:val="15"/>
                    <w:bidi w:val="0"/>
                    <w:rPr>
                      <w:highlight w:val="none"/>
                    </w:rPr>
                  </w:pPr>
                  <w:r>
                    <w:rPr>
                      <w:highlight w:val="none"/>
                    </w:rPr>
                    <w:t>装载机</w:t>
                  </w:r>
                </w:p>
              </w:tc>
              <w:tc>
                <w:tcPr>
                  <w:tcW w:w="1508" w:type="pct"/>
                  <w:tcBorders>
                    <w:tl2br w:val="nil"/>
                    <w:tr2bl w:val="nil"/>
                  </w:tcBorders>
                  <w:shd w:val="clear" w:color="auto" w:fill="auto"/>
                  <w:vAlign w:val="center"/>
                </w:tcPr>
                <w:p>
                  <w:pPr>
                    <w:pStyle w:val="15"/>
                    <w:bidi w:val="0"/>
                    <w:rPr>
                      <w:rFonts w:hint="eastAsia"/>
                      <w:highlight w:val="none"/>
                      <w:lang w:val="en-US" w:eastAsia="zh-CN"/>
                    </w:rPr>
                  </w:pPr>
                  <w:r>
                    <w:rPr>
                      <w:highlight w:val="none"/>
                    </w:rPr>
                    <w:t>1.5m</w:t>
                  </w:r>
                  <w:r>
                    <w:rPr>
                      <w:rFonts w:hint="eastAsia"/>
                      <w:highlight w:val="none"/>
                      <w:vertAlign w:val="superscript"/>
                      <w:lang w:val="en-US" w:eastAsia="zh-CN"/>
                    </w:rPr>
                    <w:t>3</w:t>
                  </w:r>
                </w:p>
              </w:tc>
              <w:tc>
                <w:tcPr>
                  <w:tcW w:w="775" w:type="pct"/>
                  <w:tcBorders>
                    <w:tl2br w:val="nil"/>
                    <w:tr2bl w:val="nil"/>
                  </w:tcBorders>
                  <w:shd w:val="clear" w:color="auto" w:fill="auto"/>
                  <w:vAlign w:val="center"/>
                </w:tcPr>
                <w:p>
                  <w:pPr>
                    <w:pStyle w:val="15"/>
                    <w:bidi w:val="0"/>
                    <w:rPr>
                      <w:highlight w:val="none"/>
                    </w:rPr>
                  </w:pPr>
                  <w:r>
                    <w:rPr>
                      <w:rFonts w:hint="eastAsia"/>
                      <w:highlight w:val="none"/>
                    </w:rPr>
                    <w:t>台</w:t>
                  </w:r>
                </w:p>
              </w:tc>
              <w:tc>
                <w:tcPr>
                  <w:tcW w:w="770" w:type="pct"/>
                  <w:tcBorders>
                    <w:tl2br w:val="nil"/>
                    <w:tr2bl w:val="nil"/>
                  </w:tcBorders>
                  <w:shd w:val="clear" w:color="auto" w:fill="auto"/>
                  <w:vAlign w:val="center"/>
                </w:tcPr>
                <w:p>
                  <w:pPr>
                    <w:pStyle w:val="15"/>
                    <w:bidi w:val="0"/>
                    <w:rPr>
                      <w:rFonts w:hint="eastAsia"/>
                      <w:highlight w:val="none"/>
                      <w:lang w:val="en-US" w:eastAsia="zh-CN"/>
                    </w:rPr>
                  </w:pPr>
                  <w:r>
                    <w:rPr>
                      <w:rFonts w:hint="eastAsia"/>
                      <w:highlight w:val="none"/>
                      <w:lang w:val="en-US" w:eastAsia="zh-CN"/>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527" w:type="pct"/>
                  <w:tcBorders>
                    <w:tl2br w:val="nil"/>
                    <w:tr2bl w:val="nil"/>
                  </w:tcBorders>
                  <w:shd w:val="clear" w:color="auto" w:fill="auto"/>
                  <w:vAlign w:val="center"/>
                </w:tcPr>
                <w:p>
                  <w:pPr>
                    <w:pStyle w:val="15"/>
                    <w:bidi w:val="0"/>
                    <w:rPr>
                      <w:highlight w:val="none"/>
                    </w:rPr>
                  </w:pPr>
                  <w:r>
                    <w:rPr>
                      <w:highlight w:val="none"/>
                    </w:rPr>
                    <w:t>4</w:t>
                  </w:r>
                </w:p>
              </w:tc>
              <w:tc>
                <w:tcPr>
                  <w:tcW w:w="1418" w:type="pct"/>
                  <w:tcBorders>
                    <w:tl2br w:val="nil"/>
                    <w:tr2bl w:val="nil"/>
                  </w:tcBorders>
                  <w:shd w:val="clear" w:color="auto" w:fill="auto"/>
                  <w:vAlign w:val="center"/>
                </w:tcPr>
                <w:p>
                  <w:pPr>
                    <w:pStyle w:val="15"/>
                    <w:bidi w:val="0"/>
                    <w:rPr>
                      <w:highlight w:val="none"/>
                    </w:rPr>
                  </w:pPr>
                  <w:r>
                    <w:rPr>
                      <w:highlight w:val="none"/>
                    </w:rPr>
                    <w:t>蛙夯机</w:t>
                  </w:r>
                </w:p>
              </w:tc>
              <w:tc>
                <w:tcPr>
                  <w:tcW w:w="1508" w:type="pct"/>
                  <w:tcBorders>
                    <w:tl2br w:val="nil"/>
                    <w:tr2bl w:val="nil"/>
                  </w:tcBorders>
                  <w:shd w:val="clear" w:color="auto" w:fill="auto"/>
                  <w:vAlign w:val="center"/>
                </w:tcPr>
                <w:p>
                  <w:pPr>
                    <w:pStyle w:val="15"/>
                    <w:bidi w:val="0"/>
                    <w:rPr>
                      <w:rFonts w:hint="eastAsia"/>
                      <w:highlight w:val="none"/>
                      <w:lang w:eastAsia="zh-CN"/>
                    </w:rPr>
                  </w:pPr>
                  <w:r>
                    <w:rPr>
                      <w:rFonts w:hint="eastAsia"/>
                      <w:highlight w:val="none"/>
                      <w:lang w:val="en-US" w:eastAsia="zh-CN"/>
                    </w:rPr>
                    <w:t>/</w:t>
                  </w:r>
                </w:p>
              </w:tc>
              <w:tc>
                <w:tcPr>
                  <w:tcW w:w="775" w:type="pct"/>
                  <w:tcBorders>
                    <w:tl2br w:val="nil"/>
                    <w:tr2bl w:val="nil"/>
                  </w:tcBorders>
                  <w:shd w:val="clear" w:color="auto" w:fill="auto"/>
                  <w:vAlign w:val="center"/>
                </w:tcPr>
                <w:p>
                  <w:pPr>
                    <w:pStyle w:val="15"/>
                    <w:bidi w:val="0"/>
                    <w:rPr>
                      <w:highlight w:val="none"/>
                    </w:rPr>
                  </w:pPr>
                  <w:r>
                    <w:rPr>
                      <w:rFonts w:hint="eastAsia"/>
                      <w:highlight w:val="none"/>
                    </w:rPr>
                    <w:t>台</w:t>
                  </w:r>
                </w:p>
              </w:tc>
              <w:tc>
                <w:tcPr>
                  <w:tcW w:w="770" w:type="pct"/>
                  <w:tcBorders>
                    <w:tl2br w:val="nil"/>
                    <w:tr2bl w:val="nil"/>
                  </w:tcBorders>
                  <w:shd w:val="clear" w:color="auto" w:fill="auto"/>
                  <w:vAlign w:val="center"/>
                </w:tcPr>
                <w:p>
                  <w:pPr>
                    <w:pStyle w:val="15"/>
                    <w:bidi w:val="0"/>
                    <w:rPr>
                      <w:rFonts w:hint="eastAsia"/>
                      <w:highlight w:val="none"/>
                      <w:lang w:val="en-US" w:eastAsia="zh-CN"/>
                    </w:rPr>
                  </w:pPr>
                  <w:r>
                    <w:rPr>
                      <w:rFonts w:hint="eastAsia"/>
                      <w:highlight w:val="none"/>
                      <w:lang w:val="en-US" w:eastAsia="zh-CN"/>
                    </w:rPr>
                    <w:t>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527" w:type="pct"/>
                  <w:tcBorders>
                    <w:tl2br w:val="nil"/>
                    <w:tr2bl w:val="nil"/>
                  </w:tcBorders>
                  <w:shd w:val="clear" w:color="auto" w:fill="auto"/>
                  <w:vAlign w:val="center"/>
                </w:tcPr>
                <w:p>
                  <w:pPr>
                    <w:pStyle w:val="15"/>
                    <w:bidi w:val="0"/>
                    <w:rPr>
                      <w:highlight w:val="none"/>
                    </w:rPr>
                  </w:pPr>
                  <w:r>
                    <w:rPr>
                      <w:highlight w:val="none"/>
                    </w:rPr>
                    <w:t>5</w:t>
                  </w:r>
                </w:p>
              </w:tc>
              <w:tc>
                <w:tcPr>
                  <w:tcW w:w="1418" w:type="pct"/>
                  <w:tcBorders>
                    <w:tl2br w:val="nil"/>
                    <w:tr2bl w:val="nil"/>
                  </w:tcBorders>
                  <w:shd w:val="clear" w:color="auto" w:fill="auto"/>
                  <w:vAlign w:val="center"/>
                </w:tcPr>
                <w:p>
                  <w:pPr>
                    <w:pStyle w:val="15"/>
                    <w:bidi w:val="0"/>
                    <w:rPr>
                      <w:highlight w:val="none"/>
                    </w:rPr>
                  </w:pPr>
                  <w:r>
                    <w:rPr>
                      <w:highlight w:val="none"/>
                    </w:rPr>
                    <w:t>气腿式风钻</w:t>
                  </w:r>
                </w:p>
              </w:tc>
              <w:tc>
                <w:tcPr>
                  <w:tcW w:w="1508" w:type="pct"/>
                  <w:tcBorders>
                    <w:tl2br w:val="nil"/>
                    <w:tr2bl w:val="nil"/>
                  </w:tcBorders>
                  <w:shd w:val="clear" w:color="auto" w:fill="auto"/>
                  <w:vAlign w:val="center"/>
                </w:tcPr>
                <w:p>
                  <w:pPr>
                    <w:pStyle w:val="15"/>
                    <w:bidi w:val="0"/>
                    <w:rPr>
                      <w:rFonts w:hint="eastAsia"/>
                      <w:highlight w:val="none"/>
                      <w:lang w:val="en-US" w:eastAsia="zh-CN"/>
                    </w:rPr>
                  </w:pPr>
                  <w:r>
                    <w:rPr>
                      <w:rFonts w:hint="eastAsia"/>
                      <w:highlight w:val="none"/>
                      <w:lang w:val="en-US" w:eastAsia="zh-CN"/>
                    </w:rPr>
                    <w:t>/</w:t>
                  </w:r>
                </w:p>
              </w:tc>
              <w:tc>
                <w:tcPr>
                  <w:tcW w:w="775" w:type="pct"/>
                  <w:tcBorders>
                    <w:tl2br w:val="nil"/>
                    <w:tr2bl w:val="nil"/>
                  </w:tcBorders>
                  <w:shd w:val="clear" w:color="auto" w:fill="auto"/>
                  <w:vAlign w:val="center"/>
                </w:tcPr>
                <w:p>
                  <w:pPr>
                    <w:pStyle w:val="15"/>
                    <w:bidi w:val="0"/>
                    <w:rPr>
                      <w:highlight w:val="none"/>
                    </w:rPr>
                  </w:pPr>
                  <w:r>
                    <w:rPr>
                      <w:rFonts w:hint="eastAsia"/>
                      <w:highlight w:val="none"/>
                    </w:rPr>
                    <w:t>台</w:t>
                  </w:r>
                </w:p>
              </w:tc>
              <w:tc>
                <w:tcPr>
                  <w:tcW w:w="770" w:type="pct"/>
                  <w:tcBorders>
                    <w:tl2br w:val="nil"/>
                    <w:tr2bl w:val="nil"/>
                  </w:tcBorders>
                  <w:shd w:val="clear" w:color="auto" w:fill="auto"/>
                  <w:vAlign w:val="center"/>
                </w:tcPr>
                <w:p>
                  <w:pPr>
                    <w:pStyle w:val="15"/>
                    <w:bidi w:val="0"/>
                    <w:rPr>
                      <w:rFonts w:hint="eastAsia"/>
                      <w:highlight w:val="none"/>
                      <w:lang w:val="en-US" w:eastAsia="zh-CN"/>
                    </w:rPr>
                  </w:pPr>
                  <w:r>
                    <w:rPr>
                      <w:rFonts w:hint="eastAsia"/>
                      <w:highlight w:val="none"/>
                      <w:lang w:val="en-US" w:eastAsia="zh-CN"/>
                    </w:rPr>
                    <w:t>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527" w:type="pct"/>
                  <w:tcBorders>
                    <w:tl2br w:val="nil"/>
                    <w:tr2bl w:val="nil"/>
                  </w:tcBorders>
                  <w:shd w:val="clear" w:color="auto" w:fill="auto"/>
                  <w:vAlign w:val="center"/>
                </w:tcPr>
                <w:p>
                  <w:pPr>
                    <w:pStyle w:val="15"/>
                    <w:bidi w:val="0"/>
                    <w:rPr>
                      <w:highlight w:val="none"/>
                    </w:rPr>
                  </w:pPr>
                  <w:r>
                    <w:rPr>
                      <w:highlight w:val="none"/>
                    </w:rPr>
                    <w:t>6</w:t>
                  </w:r>
                </w:p>
              </w:tc>
              <w:tc>
                <w:tcPr>
                  <w:tcW w:w="1418" w:type="pct"/>
                  <w:tcBorders>
                    <w:tl2br w:val="nil"/>
                    <w:tr2bl w:val="nil"/>
                  </w:tcBorders>
                  <w:shd w:val="clear" w:color="auto" w:fill="auto"/>
                  <w:vAlign w:val="center"/>
                </w:tcPr>
                <w:p>
                  <w:pPr>
                    <w:pStyle w:val="15"/>
                    <w:bidi w:val="0"/>
                    <w:rPr>
                      <w:highlight w:val="none"/>
                    </w:rPr>
                  </w:pPr>
                  <w:r>
                    <w:rPr>
                      <w:highlight w:val="none"/>
                    </w:rPr>
                    <w:t>砼振动器</w:t>
                  </w:r>
                </w:p>
              </w:tc>
              <w:tc>
                <w:tcPr>
                  <w:tcW w:w="1508" w:type="pct"/>
                  <w:tcBorders>
                    <w:tl2br w:val="nil"/>
                    <w:tr2bl w:val="nil"/>
                  </w:tcBorders>
                  <w:shd w:val="clear" w:color="auto" w:fill="auto"/>
                  <w:vAlign w:val="center"/>
                </w:tcPr>
                <w:p>
                  <w:pPr>
                    <w:pStyle w:val="15"/>
                    <w:bidi w:val="0"/>
                    <w:rPr>
                      <w:rFonts w:hint="eastAsia"/>
                      <w:highlight w:val="none"/>
                      <w:lang w:eastAsia="zh-CN"/>
                    </w:rPr>
                  </w:pPr>
                  <w:r>
                    <w:rPr>
                      <w:highlight w:val="none"/>
                    </w:rPr>
                    <w:t>插入式2.2KW</w:t>
                  </w:r>
                </w:p>
              </w:tc>
              <w:tc>
                <w:tcPr>
                  <w:tcW w:w="775" w:type="pct"/>
                  <w:tcBorders>
                    <w:tl2br w:val="nil"/>
                    <w:tr2bl w:val="nil"/>
                  </w:tcBorders>
                  <w:shd w:val="clear" w:color="auto" w:fill="auto"/>
                  <w:vAlign w:val="center"/>
                </w:tcPr>
                <w:p>
                  <w:pPr>
                    <w:pStyle w:val="15"/>
                    <w:bidi w:val="0"/>
                    <w:rPr>
                      <w:highlight w:val="none"/>
                    </w:rPr>
                  </w:pPr>
                  <w:r>
                    <w:rPr>
                      <w:rFonts w:hint="eastAsia"/>
                      <w:highlight w:val="none"/>
                    </w:rPr>
                    <w:t>台</w:t>
                  </w:r>
                </w:p>
              </w:tc>
              <w:tc>
                <w:tcPr>
                  <w:tcW w:w="770" w:type="pct"/>
                  <w:tcBorders>
                    <w:tl2br w:val="nil"/>
                    <w:tr2bl w:val="nil"/>
                  </w:tcBorders>
                  <w:shd w:val="clear" w:color="auto" w:fill="auto"/>
                  <w:vAlign w:val="center"/>
                </w:tcPr>
                <w:p>
                  <w:pPr>
                    <w:pStyle w:val="15"/>
                    <w:bidi w:val="0"/>
                    <w:rPr>
                      <w:rFonts w:hint="eastAsia"/>
                      <w:highlight w:val="none"/>
                      <w:lang w:val="en-US" w:eastAsia="zh-CN"/>
                    </w:rPr>
                  </w:pPr>
                  <w:r>
                    <w:rPr>
                      <w:rFonts w:hint="eastAsia"/>
                      <w:highlight w:val="none"/>
                      <w:lang w:val="en-US" w:eastAsia="zh-CN"/>
                    </w:rPr>
                    <w:t>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527" w:type="pct"/>
                  <w:tcBorders>
                    <w:tl2br w:val="nil"/>
                    <w:tr2bl w:val="nil"/>
                  </w:tcBorders>
                  <w:shd w:val="clear" w:color="auto" w:fill="auto"/>
                  <w:vAlign w:val="center"/>
                </w:tcPr>
                <w:p>
                  <w:pPr>
                    <w:pStyle w:val="15"/>
                    <w:bidi w:val="0"/>
                    <w:rPr>
                      <w:highlight w:val="none"/>
                    </w:rPr>
                  </w:pPr>
                  <w:r>
                    <w:rPr>
                      <w:highlight w:val="none"/>
                    </w:rPr>
                    <w:t>7</w:t>
                  </w:r>
                </w:p>
              </w:tc>
              <w:tc>
                <w:tcPr>
                  <w:tcW w:w="1418" w:type="pct"/>
                  <w:tcBorders>
                    <w:tl2br w:val="nil"/>
                    <w:tr2bl w:val="nil"/>
                  </w:tcBorders>
                  <w:shd w:val="clear" w:color="auto" w:fill="auto"/>
                  <w:vAlign w:val="center"/>
                </w:tcPr>
                <w:p>
                  <w:pPr>
                    <w:pStyle w:val="15"/>
                    <w:bidi w:val="0"/>
                    <w:rPr>
                      <w:highlight w:val="none"/>
                    </w:rPr>
                  </w:pPr>
                  <w:r>
                    <w:rPr>
                      <w:highlight w:val="none"/>
                    </w:rPr>
                    <w:t>自卸汽车</w:t>
                  </w:r>
                </w:p>
              </w:tc>
              <w:tc>
                <w:tcPr>
                  <w:tcW w:w="1508" w:type="pct"/>
                  <w:tcBorders>
                    <w:tl2br w:val="nil"/>
                    <w:tr2bl w:val="nil"/>
                  </w:tcBorders>
                  <w:shd w:val="clear" w:color="auto" w:fill="auto"/>
                  <w:vAlign w:val="center"/>
                </w:tcPr>
                <w:p>
                  <w:pPr>
                    <w:pStyle w:val="15"/>
                    <w:bidi w:val="0"/>
                    <w:rPr>
                      <w:rFonts w:hint="eastAsia"/>
                      <w:highlight w:val="none"/>
                      <w:lang w:val="en-US" w:eastAsia="zh-CN"/>
                    </w:rPr>
                  </w:pPr>
                  <w:r>
                    <w:rPr>
                      <w:highlight w:val="none"/>
                    </w:rPr>
                    <w:t>5～8t</w:t>
                  </w:r>
                </w:p>
              </w:tc>
              <w:tc>
                <w:tcPr>
                  <w:tcW w:w="775" w:type="pct"/>
                  <w:tcBorders>
                    <w:tl2br w:val="nil"/>
                    <w:tr2bl w:val="nil"/>
                  </w:tcBorders>
                  <w:shd w:val="clear" w:color="auto" w:fill="auto"/>
                  <w:vAlign w:val="center"/>
                </w:tcPr>
                <w:p>
                  <w:pPr>
                    <w:pStyle w:val="15"/>
                    <w:bidi w:val="0"/>
                    <w:rPr>
                      <w:highlight w:val="none"/>
                    </w:rPr>
                  </w:pPr>
                  <w:r>
                    <w:rPr>
                      <w:rFonts w:hint="eastAsia"/>
                      <w:highlight w:val="none"/>
                    </w:rPr>
                    <w:t>台</w:t>
                  </w:r>
                </w:p>
              </w:tc>
              <w:tc>
                <w:tcPr>
                  <w:tcW w:w="770" w:type="pct"/>
                  <w:tcBorders>
                    <w:tl2br w:val="nil"/>
                    <w:tr2bl w:val="nil"/>
                  </w:tcBorders>
                  <w:shd w:val="clear" w:color="auto" w:fill="auto"/>
                  <w:vAlign w:val="center"/>
                </w:tcPr>
                <w:p>
                  <w:pPr>
                    <w:pStyle w:val="15"/>
                    <w:bidi w:val="0"/>
                    <w:rPr>
                      <w:rFonts w:hint="eastAsia"/>
                      <w:highlight w:val="none"/>
                      <w:lang w:val="en-US" w:eastAsia="zh-CN"/>
                    </w:rPr>
                  </w:pPr>
                  <w:r>
                    <w:rPr>
                      <w:rFonts w:hint="eastAsia"/>
                      <w:highlight w:val="none"/>
                      <w:lang w:val="en-US" w:eastAsia="zh-CN"/>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527" w:type="pct"/>
                  <w:tcBorders>
                    <w:tl2br w:val="nil"/>
                    <w:tr2bl w:val="nil"/>
                  </w:tcBorders>
                  <w:shd w:val="clear" w:color="auto" w:fill="auto"/>
                  <w:vAlign w:val="center"/>
                </w:tcPr>
                <w:p>
                  <w:pPr>
                    <w:pStyle w:val="15"/>
                    <w:bidi w:val="0"/>
                    <w:rPr>
                      <w:highlight w:val="none"/>
                    </w:rPr>
                  </w:pPr>
                  <w:r>
                    <w:rPr>
                      <w:highlight w:val="none"/>
                    </w:rPr>
                    <w:t>8</w:t>
                  </w:r>
                </w:p>
              </w:tc>
              <w:tc>
                <w:tcPr>
                  <w:tcW w:w="1418" w:type="pct"/>
                  <w:tcBorders>
                    <w:tl2br w:val="nil"/>
                    <w:tr2bl w:val="nil"/>
                  </w:tcBorders>
                  <w:shd w:val="clear" w:color="auto" w:fill="auto"/>
                  <w:vAlign w:val="center"/>
                </w:tcPr>
                <w:p>
                  <w:pPr>
                    <w:pStyle w:val="15"/>
                    <w:bidi w:val="0"/>
                    <w:rPr>
                      <w:highlight w:val="none"/>
                    </w:rPr>
                  </w:pPr>
                  <w:r>
                    <w:rPr>
                      <w:highlight w:val="none"/>
                    </w:rPr>
                    <w:t>自卸汽车</w:t>
                  </w:r>
                </w:p>
              </w:tc>
              <w:tc>
                <w:tcPr>
                  <w:tcW w:w="1508" w:type="pct"/>
                  <w:tcBorders>
                    <w:tl2br w:val="nil"/>
                    <w:tr2bl w:val="nil"/>
                  </w:tcBorders>
                  <w:shd w:val="clear" w:color="auto" w:fill="auto"/>
                  <w:vAlign w:val="center"/>
                </w:tcPr>
                <w:p>
                  <w:pPr>
                    <w:pStyle w:val="15"/>
                    <w:bidi w:val="0"/>
                    <w:rPr>
                      <w:rFonts w:hint="eastAsia"/>
                      <w:highlight w:val="none"/>
                    </w:rPr>
                  </w:pPr>
                  <w:r>
                    <w:rPr>
                      <w:highlight w:val="none"/>
                    </w:rPr>
                    <w:t>10~15t</w:t>
                  </w:r>
                </w:p>
              </w:tc>
              <w:tc>
                <w:tcPr>
                  <w:tcW w:w="775" w:type="pct"/>
                  <w:tcBorders>
                    <w:tl2br w:val="nil"/>
                    <w:tr2bl w:val="nil"/>
                  </w:tcBorders>
                  <w:shd w:val="clear" w:color="auto" w:fill="auto"/>
                  <w:vAlign w:val="center"/>
                </w:tcPr>
                <w:p>
                  <w:pPr>
                    <w:pStyle w:val="15"/>
                    <w:bidi w:val="0"/>
                    <w:rPr>
                      <w:highlight w:val="none"/>
                    </w:rPr>
                  </w:pPr>
                  <w:r>
                    <w:rPr>
                      <w:rFonts w:hint="eastAsia"/>
                      <w:highlight w:val="none"/>
                    </w:rPr>
                    <w:t>台</w:t>
                  </w:r>
                </w:p>
              </w:tc>
              <w:tc>
                <w:tcPr>
                  <w:tcW w:w="770" w:type="pct"/>
                  <w:tcBorders>
                    <w:tl2br w:val="nil"/>
                    <w:tr2bl w:val="nil"/>
                  </w:tcBorders>
                  <w:shd w:val="clear" w:color="auto" w:fill="auto"/>
                  <w:vAlign w:val="center"/>
                </w:tcPr>
                <w:p>
                  <w:pPr>
                    <w:pStyle w:val="15"/>
                    <w:bidi w:val="0"/>
                    <w:rPr>
                      <w:rFonts w:hint="eastAsia"/>
                      <w:highlight w:val="none"/>
                      <w:lang w:val="en-US" w:eastAsia="zh-CN"/>
                    </w:rPr>
                  </w:pPr>
                  <w:r>
                    <w:rPr>
                      <w:rFonts w:hint="eastAsia"/>
                      <w:highlight w:val="none"/>
                      <w:lang w:val="en-US" w:eastAsia="zh-CN"/>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527" w:type="pct"/>
                  <w:tcBorders>
                    <w:tl2br w:val="nil"/>
                    <w:tr2bl w:val="nil"/>
                  </w:tcBorders>
                  <w:shd w:val="clear" w:color="auto" w:fill="auto"/>
                  <w:vAlign w:val="center"/>
                </w:tcPr>
                <w:p>
                  <w:pPr>
                    <w:pStyle w:val="15"/>
                    <w:bidi w:val="0"/>
                    <w:rPr>
                      <w:highlight w:val="none"/>
                    </w:rPr>
                  </w:pPr>
                  <w:r>
                    <w:rPr>
                      <w:highlight w:val="none"/>
                    </w:rPr>
                    <w:t>9</w:t>
                  </w:r>
                </w:p>
              </w:tc>
              <w:tc>
                <w:tcPr>
                  <w:tcW w:w="1418" w:type="pct"/>
                  <w:tcBorders>
                    <w:tl2br w:val="nil"/>
                    <w:tr2bl w:val="nil"/>
                  </w:tcBorders>
                  <w:shd w:val="clear" w:color="auto" w:fill="auto"/>
                  <w:vAlign w:val="center"/>
                </w:tcPr>
                <w:p>
                  <w:pPr>
                    <w:pStyle w:val="15"/>
                    <w:bidi w:val="0"/>
                    <w:rPr>
                      <w:highlight w:val="none"/>
                    </w:rPr>
                  </w:pPr>
                  <w:r>
                    <w:rPr>
                      <w:highlight w:val="none"/>
                    </w:rPr>
                    <w:t>双胶轮车</w:t>
                  </w:r>
                </w:p>
              </w:tc>
              <w:tc>
                <w:tcPr>
                  <w:tcW w:w="1508" w:type="pct"/>
                  <w:tcBorders>
                    <w:tl2br w:val="nil"/>
                    <w:tr2bl w:val="nil"/>
                  </w:tcBorders>
                  <w:shd w:val="clear" w:color="auto" w:fill="auto"/>
                  <w:vAlign w:val="center"/>
                </w:tcPr>
                <w:p>
                  <w:pPr>
                    <w:pStyle w:val="15"/>
                    <w:bidi w:val="0"/>
                    <w:rPr>
                      <w:rFonts w:hint="eastAsia"/>
                      <w:highlight w:val="none"/>
                      <w:lang w:val="en-US" w:eastAsia="zh-CN"/>
                    </w:rPr>
                  </w:pPr>
                  <w:r>
                    <w:rPr>
                      <w:rFonts w:hint="eastAsia"/>
                      <w:highlight w:val="none"/>
                      <w:lang w:val="en-US" w:eastAsia="zh-CN"/>
                    </w:rPr>
                    <w:t>/</w:t>
                  </w:r>
                </w:p>
              </w:tc>
              <w:tc>
                <w:tcPr>
                  <w:tcW w:w="775" w:type="pct"/>
                  <w:tcBorders>
                    <w:tl2br w:val="nil"/>
                    <w:tr2bl w:val="nil"/>
                  </w:tcBorders>
                  <w:shd w:val="clear" w:color="auto" w:fill="auto"/>
                  <w:vAlign w:val="center"/>
                </w:tcPr>
                <w:p>
                  <w:pPr>
                    <w:pStyle w:val="15"/>
                    <w:bidi w:val="0"/>
                    <w:rPr>
                      <w:highlight w:val="none"/>
                    </w:rPr>
                  </w:pPr>
                  <w:r>
                    <w:rPr>
                      <w:rFonts w:hint="eastAsia"/>
                      <w:highlight w:val="none"/>
                    </w:rPr>
                    <w:t>台</w:t>
                  </w:r>
                </w:p>
              </w:tc>
              <w:tc>
                <w:tcPr>
                  <w:tcW w:w="770" w:type="pct"/>
                  <w:tcBorders>
                    <w:tl2br w:val="nil"/>
                    <w:tr2bl w:val="nil"/>
                  </w:tcBorders>
                  <w:shd w:val="clear" w:color="auto" w:fill="auto"/>
                  <w:vAlign w:val="center"/>
                </w:tcPr>
                <w:p>
                  <w:pPr>
                    <w:pStyle w:val="15"/>
                    <w:bidi w:val="0"/>
                    <w:rPr>
                      <w:rFonts w:hint="default"/>
                      <w:highlight w:val="none"/>
                      <w:lang w:val="en-US" w:eastAsia="zh-CN"/>
                    </w:rPr>
                  </w:pPr>
                  <w:r>
                    <w:rPr>
                      <w:rFonts w:hint="eastAsia"/>
                      <w:highlight w:val="none"/>
                      <w:lang w:val="en-US" w:eastAsia="zh-CN"/>
                    </w:rPr>
                    <w:t>10</w:t>
                  </w:r>
                </w:p>
              </w:tc>
            </w:tr>
          </w:tbl>
          <w:p>
            <w:pPr>
              <w:bidi w:val="0"/>
              <w:ind w:left="0" w:leftChars="0" w:firstLine="482" w:firstLineChars="200"/>
              <w:rPr>
                <w:rFonts w:hint="default" w:ascii="Times New Roman" w:hAnsi="Times New Roman" w:cs="Times New Roman"/>
                <w:b/>
                <w:bCs/>
                <w:highlight w:val="none"/>
                <w:lang w:val="en-US" w:eastAsia="zh-CN"/>
              </w:rPr>
            </w:pPr>
            <w:r>
              <w:rPr>
                <w:rFonts w:hint="default" w:ascii="Times New Roman" w:hAnsi="Times New Roman" w:cs="Times New Roman"/>
                <w:b/>
                <w:bCs/>
                <w:highlight w:val="none"/>
                <w:lang w:val="en-US" w:eastAsia="zh-CN"/>
              </w:rPr>
              <w:t>五、土石方平衡</w:t>
            </w:r>
          </w:p>
          <w:p>
            <w:pPr>
              <w:rPr>
                <w:rFonts w:hint="eastAsia"/>
                <w:highlight w:val="none"/>
              </w:rPr>
            </w:pPr>
            <w:r>
              <w:rPr>
                <w:rFonts w:hint="eastAsia"/>
                <w:highlight w:val="none"/>
                <w:lang w:val="en-US" w:eastAsia="zh-CN"/>
              </w:rPr>
              <w:t>根据初步设计资料，</w:t>
            </w:r>
            <w:r>
              <w:rPr>
                <w:rFonts w:hint="eastAsia" w:cs="Times New Roman"/>
                <w:sz w:val="24"/>
                <w:szCs w:val="24"/>
                <w:highlight w:val="none"/>
                <w:lang w:val="en-US" w:eastAsia="zh-CN"/>
              </w:rPr>
              <w:t>本</w:t>
            </w:r>
            <w:r>
              <w:rPr>
                <w:rFonts w:hint="default"/>
                <w:highlight w:val="none"/>
                <w:lang w:val="en-US" w:eastAsia="zh-CN"/>
              </w:rPr>
              <w:t>项目设计</w:t>
            </w:r>
            <w:r>
              <w:rPr>
                <w:highlight w:val="none"/>
              </w:rPr>
              <w:t>挖土方29785m</w:t>
            </w:r>
            <w:r>
              <w:rPr>
                <w:highlight w:val="none"/>
                <w:vertAlign w:val="superscript"/>
              </w:rPr>
              <w:t>3</w:t>
            </w:r>
            <w:r>
              <w:rPr>
                <w:highlight w:val="none"/>
              </w:rPr>
              <w:t>，开挖石方5314m</w:t>
            </w:r>
            <w:r>
              <w:rPr>
                <w:highlight w:val="none"/>
                <w:vertAlign w:val="superscript"/>
              </w:rPr>
              <w:t>3</w:t>
            </w:r>
            <w:r>
              <w:rPr>
                <w:highlight w:val="none"/>
              </w:rPr>
              <w:t>，回填土方6563m</w:t>
            </w:r>
            <w:r>
              <w:rPr>
                <w:highlight w:val="none"/>
                <w:vertAlign w:val="superscript"/>
              </w:rPr>
              <w:t>3</w:t>
            </w:r>
            <w:r>
              <w:rPr>
                <w:highlight w:val="none"/>
              </w:rPr>
              <w:t>，经土石方平衡，累计弃渣</w:t>
            </w:r>
            <w:r>
              <w:rPr>
                <w:rFonts w:hint="eastAsia"/>
                <w:highlight w:val="none"/>
                <w:lang w:val="en-US" w:eastAsia="zh-CN"/>
              </w:rPr>
              <w:t>28536</w:t>
            </w:r>
            <w:r>
              <w:rPr>
                <w:highlight w:val="none"/>
              </w:rPr>
              <w:t>万m</w:t>
            </w:r>
            <w:r>
              <w:rPr>
                <w:rFonts w:hint="eastAsia"/>
                <w:highlight w:val="none"/>
                <w:vertAlign w:val="superscript"/>
                <w:lang w:val="en-US" w:eastAsia="zh-CN"/>
              </w:rPr>
              <w:t>3</w:t>
            </w:r>
            <w:r>
              <w:rPr>
                <w:rFonts w:hint="eastAsia"/>
                <w:highlight w:val="none"/>
                <w:lang w:eastAsia="zh-CN"/>
              </w:rPr>
              <w:t>，</w:t>
            </w:r>
            <w:r>
              <w:rPr>
                <w:highlight w:val="none"/>
              </w:rPr>
              <w:t>堆放在胡家城市规划区内</w:t>
            </w:r>
            <w:r>
              <w:rPr>
                <w:rFonts w:hint="eastAsia"/>
                <w:highlight w:val="none"/>
                <w:lang w:eastAsia="zh-CN"/>
              </w:rPr>
              <w:t>，</w:t>
            </w:r>
            <w:r>
              <w:rPr>
                <w:rFonts w:hint="eastAsia"/>
                <w:highlight w:val="none"/>
                <w:lang w:val="en-US" w:eastAsia="zh-CN"/>
              </w:rPr>
              <w:t>经10t</w:t>
            </w:r>
            <w:r>
              <w:rPr>
                <w:rFonts w:hint="default" w:ascii="Times New Roman" w:hAnsi="Times New Roman" w:eastAsia="微软雅黑" w:cs="Times New Roman"/>
                <w:highlight w:val="none"/>
                <w:lang w:val="en-US" w:eastAsia="zh-CN"/>
              </w:rPr>
              <w:t>~</w:t>
            </w:r>
            <w:r>
              <w:rPr>
                <w:rFonts w:hint="eastAsia" w:ascii="Times New Roman" w:hAnsi="Times New Roman" w:eastAsia="微软雅黑" w:cs="Times New Roman"/>
                <w:highlight w:val="none"/>
                <w:lang w:val="en-US" w:eastAsia="zh-CN"/>
              </w:rPr>
              <w:t>15t</w:t>
            </w:r>
            <w:r>
              <w:rPr>
                <w:rFonts w:hint="eastAsia" w:ascii="宋体" w:hAnsi="宋体" w:eastAsia="宋体" w:cs="宋体"/>
                <w:highlight w:val="none"/>
                <w:lang w:val="en-US" w:eastAsia="zh-CN"/>
              </w:rPr>
              <w:t>自卸汽车运输至</w:t>
            </w:r>
            <w:r>
              <w:rPr>
                <w:highlight w:val="none"/>
              </w:rPr>
              <w:t>胡家城市规划区内</w:t>
            </w:r>
            <w:r>
              <w:rPr>
                <w:rFonts w:hint="eastAsia"/>
                <w:highlight w:val="none"/>
                <w:lang w:eastAsia="zh-CN"/>
              </w:rPr>
              <w:t>，</w:t>
            </w:r>
            <w:r>
              <w:rPr>
                <w:rFonts w:hint="eastAsia"/>
                <w:highlight w:val="none"/>
                <w:lang w:val="en-US" w:eastAsia="zh-CN"/>
              </w:rPr>
              <w:t>平均</w:t>
            </w:r>
            <w:r>
              <w:rPr>
                <w:spacing w:val="4"/>
                <w:highlight w:val="none"/>
              </w:rPr>
              <w:t>运距</w:t>
            </w:r>
            <w:r>
              <w:rPr>
                <w:rFonts w:ascii="Times New Roman" w:hAnsi="Times New Roman" w:eastAsia="Times New Roman" w:cs="Times New Roman"/>
                <w:spacing w:val="4"/>
                <w:sz w:val="24"/>
                <w:szCs w:val="24"/>
                <w:highlight w:val="none"/>
              </w:rPr>
              <w:t>1.0</w:t>
            </w:r>
            <w:r>
              <w:rPr>
                <w:rFonts w:ascii="Times New Roman" w:hAnsi="Times New Roman" w:eastAsia="Times New Roman" w:cs="Times New Roman"/>
                <w:sz w:val="24"/>
                <w:szCs w:val="24"/>
                <w:highlight w:val="none"/>
              </w:rPr>
              <w:t>km</w:t>
            </w:r>
            <w:r>
              <w:rPr>
                <w:rFonts w:hint="eastAsia" w:eastAsia="宋体" w:cs="Times New Roman"/>
                <w:sz w:val="24"/>
                <w:szCs w:val="24"/>
                <w:highlight w:val="none"/>
                <w:lang w:eastAsia="zh-CN"/>
              </w:rPr>
              <w:t>。</w:t>
            </w:r>
          </w:p>
          <w:p>
            <w:pPr>
              <w:rPr>
                <w:rFonts w:hint="default" w:ascii="Times New Roman" w:hAnsi="Times New Roman" w:cs="Times New Roman"/>
                <w:highlight w:val="none"/>
                <w:lang w:val="en-US" w:eastAsia="zh-CN"/>
              </w:rPr>
            </w:pPr>
            <w:r>
              <w:rPr>
                <w:rFonts w:hint="default" w:ascii="Times New Roman" w:hAnsi="Times New Roman" w:cs="Times New Roman"/>
                <w:b/>
                <w:bCs/>
                <w:color w:val="auto"/>
                <w:highlight w:val="none"/>
                <w:vertAlign w:val="baseline"/>
                <w:lang w:val="en-US" w:eastAsia="zh-CN"/>
              </w:rPr>
              <w:t>六、工程占地</w:t>
            </w:r>
          </w:p>
          <w:p>
            <w:pPr>
              <w:rPr>
                <w:rFonts w:hint="default" w:ascii="Times New Roman" w:hAnsi="Times New Roman" w:cs="Times New Roman"/>
                <w:highlight w:val="none"/>
                <w:lang w:val="en-US" w:eastAsia="zh-CN"/>
              </w:rPr>
            </w:pPr>
            <w:r>
              <w:rPr>
                <w:rFonts w:hint="default" w:ascii="Times New Roman" w:hAnsi="Times New Roman" w:cs="Times New Roman"/>
                <w:highlight w:val="none"/>
              </w:rPr>
              <w:t>根据工程总体布置及施工总布置方案，工程建设征地范围包括工程永久占和施工临时占地，其中永久征地范围主要为防洪堤建筑物用地，施工临时用地范围包括施工临时设施、临时堆渣场等占地区域。</w:t>
            </w:r>
          </w:p>
          <w:p>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根据初步设计资料，</w:t>
            </w:r>
            <w:r>
              <w:rPr>
                <w:rFonts w:hint="default" w:ascii="Times New Roman" w:hAnsi="Times New Roman" w:cs="Times New Roman"/>
                <w:highlight w:val="none"/>
              </w:rPr>
              <w:t>本工程建设征占地总面积</w:t>
            </w:r>
            <w:r>
              <w:rPr>
                <w:rFonts w:hint="eastAsia" w:cs="Times New Roman"/>
                <w:highlight w:val="none"/>
                <w:lang w:val="en-US" w:eastAsia="zh-CN"/>
              </w:rPr>
              <w:t>19.7</w:t>
            </w:r>
            <w:r>
              <w:rPr>
                <w:rFonts w:hint="default" w:ascii="Times New Roman" w:hAnsi="Times New Roman" w:cs="Times New Roman"/>
                <w:highlight w:val="none"/>
              </w:rPr>
              <w:t>亩，不涉及基本农田</w:t>
            </w:r>
            <w:r>
              <w:rPr>
                <w:rFonts w:hint="eastAsia" w:cs="Times New Roman"/>
                <w:highlight w:val="none"/>
                <w:lang w:eastAsia="zh-CN"/>
              </w:rPr>
              <w:t>，</w:t>
            </w:r>
            <w:r>
              <w:rPr>
                <w:rFonts w:hint="eastAsia" w:cs="Times New Roman"/>
                <w:highlight w:val="none"/>
                <w:lang w:val="en-US" w:eastAsia="zh-CN"/>
              </w:rPr>
              <w:t>占地类型为内陆滩涂。其占地情况详见下表</w:t>
            </w:r>
            <w:r>
              <w:rPr>
                <w:rFonts w:hint="default" w:ascii="Times New Roman" w:hAnsi="Times New Roman" w:cs="Times New Roman"/>
                <w:highlight w:val="none"/>
                <w:lang w:val="en-US" w:eastAsia="zh-CN"/>
              </w:rPr>
              <w:t>。</w:t>
            </w:r>
          </w:p>
          <w:p>
            <w:pPr>
              <w:pStyle w:val="16"/>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表2-</w:t>
            </w:r>
            <w:r>
              <w:rPr>
                <w:rFonts w:hint="eastAsia" w:ascii="Times New Roman" w:hAnsi="Times New Roman" w:cs="Times New Roman"/>
                <w:color w:val="auto"/>
                <w:highlight w:val="none"/>
                <w:u w:val="none"/>
                <w:lang w:val="en-US" w:eastAsia="zh-CN"/>
              </w:rPr>
              <w:t>5</w:t>
            </w:r>
            <w:r>
              <w:rPr>
                <w:rFonts w:hint="default" w:ascii="Times New Roman" w:hAnsi="Times New Roman" w:cs="Times New Roman"/>
                <w:color w:val="auto"/>
                <w:highlight w:val="none"/>
                <w:u w:val="none"/>
                <w:lang w:val="en-US" w:eastAsia="zh-CN"/>
              </w:rPr>
              <w:t xml:space="preserve">  项目占地情况一览表</w:t>
            </w:r>
          </w:p>
          <w:tbl>
            <w:tblPr>
              <w:tblStyle w:val="19"/>
              <w:tblW w:w="4998"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Layout w:type="fixed"/>
              <w:tblCellMar>
                <w:top w:w="0" w:type="dxa"/>
                <w:left w:w="0" w:type="dxa"/>
                <w:bottom w:w="0" w:type="dxa"/>
                <w:right w:w="0" w:type="dxa"/>
              </w:tblCellMar>
            </w:tblPr>
            <w:tblGrid>
              <w:gridCol w:w="3077"/>
              <w:gridCol w:w="3078"/>
              <w:gridCol w:w="2402"/>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0" w:type="dxa"/>
                  <w:bottom w:w="0" w:type="dxa"/>
                  <w:right w:w="0" w:type="dxa"/>
                </w:tblCellMar>
              </w:tblPrEx>
              <w:trPr>
                <w:trHeight w:val="397" w:hRule="atLeast"/>
              </w:trPr>
              <w:tc>
                <w:tcPr>
                  <w:tcW w:w="1798" w:type="pct"/>
                  <w:vMerge w:val="restart"/>
                  <w:tcBorders>
                    <w:tl2br w:val="nil"/>
                    <w:tr2bl w:val="nil"/>
                  </w:tcBorders>
                  <w:vAlign w:val="center"/>
                </w:tcPr>
                <w:p>
                  <w:pPr>
                    <w:pStyle w:val="15"/>
                    <w:bidi w:val="0"/>
                    <w:jc w:val="center"/>
                    <w:rPr>
                      <w:rFonts w:hint="default" w:eastAsia="宋体"/>
                      <w:b/>
                      <w:bCs/>
                      <w:color w:val="auto"/>
                      <w:highlight w:val="none"/>
                      <w:u w:val="none"/>
                      <w:lang w:val="en-US" w:eastAsia="zh-CN"/>
                    </w:rPr>
                  </w:pPr>
                  <w:r>
                    <w:rPr>
                      <w:rFonts w:hint="eastAsia"/>
                      <w:b/>
                      <w:bCs/>
                      <w:color w:val="auto"/>
                      <w:highlight w:val="none"/>
                      <w:u w:val="none"/>
                      <w:lang w:val="en-US" w:eastAsia="zh-CN"/>
                    </w:rPr>
                    <w:t>占地类型</w:t>
                  </w:r>
                </w:p>
              </w:tc>
              <w:tc>
                <w:tcPr>
                  <w:tcW w:w="1798" w:type="pct"/>
                  <w:vMerge w:val="restart"/>
                  <w:tcBorders>
                    <w:tl2br w:val="nil"/>
                    <w:tr2bl w:val="nil"/>
                  </w:tcBorders>
                  <w:vAlign w:val="center"/>
                </w:tcPr>
                <w:p>
                  <w:pPr>
                    <w:pStyle w:val="15"/>
                    <w:bidi w:val="0"/>
                    <w:jc w:val="center"/>
                    <w:rPr>
                      <w:b/>
                      <w:bCs/>
                      <w:color w:val="auto"/>
                      <w:highlight w:val="none"/>
                      <w:u w:val="none"/>
                    </w:rPr>
                  </w:pPr>
                  <w:r>
                    <w:rPr>
                      <w:b/>
                      <w:bCs/>
                      <w:color w:val="auto"/>
                      <w:highlight w:val="none"/>
                      <w:u w:val="none"/>
                    </w:rPr>
                    <w:t>项目</w:t>
                  </w:r>
                </w:p>
              </w:tc>
              <w:tc>
                <w:tcPr>
                  <w:tcW w:w="1403" w:type="pct"/>
                  <w:tcBorders>
                    <w:right w:val="nil"/>
                  </w:tcBorders>
                  <w:vAlign w:val="center"/>
                </w:tcPr>
                <w:p>
                  <w:pPr>
                    <w:pStyle w:val="15"/>
                    <w:bidi w:val="0"/>
                    <w:jc w:val="center"/>
                    <w:rPr>
                      <w:b/>
                      <w:bCs/>
                      <w:color w:val="auto"/>
                      <w:highlight w:val="none"/>
                      <w:u w:val="none"/>
                    </w:rPr>
                  </w:pPr>
                  <w:r>
                    <w:rPr>
                      <w:b/>
                      <w:bCs/>
                      <w:color w:val="auto"/>
                      <w:highlight w:val="none"/>
                      <w:u w:val="none"/>
                    </w:rPr>
                    <w:t>占地面积</w:t>
                  </w:r>
                  <w:r>
                    <w:rPr>
                      <w:rFonts w:hint="eastAsia"/>
                      <w:b/>
                      <w:bCs/>
                      <w:color w:val="auto"/>
                      <w:highlight w:val="none"/>
                      <w:u w:val="none"/>
                      <w:lang w:eastAsia="zh-CN"/>
                    </w:rPr>
                    <w:t>（</w:t>
                  </w:r>
                  <w:r>
                    <w:rPr>
                      <w:rFonts w:hint="eastAsia"/>
                      <w:b/>
                      <w:bCs/>
                      <w:color w:val="auto"/>
                      <w:highlight w:val="none"/>
                      <w:u w:val="none"/>
                      <w:lang w:val="en-US" w:eastAsia="zh-CN"/>
                    </w:rPr>
                    <w:t>亩</w:t>
                  </w:r>
                  <w:r>
                    <w:rPr>
                      <w:rFonts w:hint="eastAsia"/>
                      <w:b/>
                      <w:bCs/>
                      <w:color w:val="auto"/>
                      <w:highlight w:val="none"/>
                      <w:u w:val="none"/>
                      <w:lang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0" w:type="dxa"/>
                  <w:bottom w:w="0" w:type="dxa"/>
                  <w:right w:w="0" w:type="dxa"/>
                </w:tblCellMar>
              </w:tblPrEx>
              <w:trPr>
                <w:trHeight w:val="393" w:hRule="atLeast"/>
              </w:trPr>
              <w:tc>
                <w:tcPr>
                  <w:tcW w:w="1798" w:type="pct"/>
                  <w:vMerge w:val="continue"/>
                  <w:tcBorders>
                    <w:tl2br w:val="nil"/>
                    <w:tr2bl w:val="nil"/>
                  </w:tcBorders>
                  <w:vAlign w:val="center"/>
                </w:tcPr>
                <w:p>
                  <w:pPr>
                    <w:pStyle w:val="15"/>
                    <w:bidi w:val="0"/>
                    <w:jc w:val="center"/>
                    <w:rPr>
                      <w:b/>
                      <w:bCs/>
                      <w:color w:val="auto"/>
                      <w:highlight w:val="none"/>
                      <w:u w:val="none"/>
                    </w:rPr>
                  </w:pPr>
                </w:p>
              </w:tc>
              <w:tc>
                <w:tcPr>
                  <w:tcW w:w="1798" w:type="pct"/>
                  <w:vMerge w:val="continue"/>
                  <w:tcBorders>
                    <w:tl2br w:val="nil"/>
                    <w:tr2bl w:val="nil"/>
                  </w:tcBorders>
                  <w:vAlign w:val="center"/>
                </w:tcPr>
                <w:p>
                  <w:pPr>
                    <w:pStyle w:val="15"/>
                    <w:bidi w:val="0"/>
                    <w:jc w:val="center"/>
                    <w:rPr>
                      <w:b/>
                      <w:bCs/>
                      <w:color w:val="auto"/>
                      <w:highlight w:val="none"/>
                      <w:u w:val="none"/>
                    </w:rPr>
                  </w:pPr>
                </w:p>
              </w:tc>
              <w:tc>
                <w:tcPr>
                  <w:tcW w:w="1403" w:type="pct"/>
                  <w:tcBorders>
                    <w:right w:val="nil"/>
                  </w:tcBorders>
                  <w:vAlign w:val="center"/>
                </w:tcPr>
                <w:p>
                  <w:pPr>
                    <w:pStyle w:val="15"/>
                    <w:bidi w:val="0"/>
                    <w:jc w:val="center"/>
                    <w:rPr>
                      <w:b/>
                      <w:bCs/>
                      <w:color w:val="auto"/>
                      <w:highlight w:val="none"/>
                      <w:u w:val="none"/>
                    </w:rPr>
                  </w:pPr>
                  <w:r>
                    <w:rPr>
                      <w:b/>
                      <w:bCs/>
                      <w:color w:val="auto"/>
                      <w:highlight w:val="none"/>
                      <w:u w:val="none"/>
                    </w:rPr>
                    <w:t>内陆滩涂</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0" w:type="dxa"/>
                  <w:bottom w:w="0" w:type="dxa"/>
                  <w:right w:w="0" w:type="dxa"/>
                </w:tblCellMar>
              </w:tblPrEx>
              <w:trPr>
                <w:trHeight w:val="392" w:hRule="atLeast"/>
              </w:trPr>
              <w:tc>
                <w:tcPr>
                  <w:tcW w:w="1798" w:type="pct"/>
                  <w:tcBorders>
                    <w:tl2br w:val="nil"/>
                    <w:tr2bl w:val="nil"/>
                  </w:tcBorders>
                  <w:vAlign w:val="center"/>
                </w:tcPr>
                <w:p>
                  <w:pPr>
                    <w:pStyle w:val="15"/>
                    <w:bidi w:val="0"/>
                    <w:jc w:val="center"/>
                    <w:rPr>
                      <w:rFonts w:hint="default" w:eastAsia="宋体"/>
                      <w:color w:val="auto"/>
                      <w:highlight w:val="none"/>
                      <w:u w:val="none"/>
                      <w:lang w:val="en-US" w:eastAsia="zh-CN"/>
                    </w:rPr>
                  </w:pPr>
                  <w:r>
                    <w:rPr>
                      <w:rFonts w:hint="eastAsia"/>
                      <w:color w:val="auto"/>
                      <w:highlight w:val="none"/>
                      <w:u w:val="none"/>
                      <w:lang w:val="en-US" w:eastAsia="zh-CN"/>
                    </w:rPr>
                    <w:t>永久占地</w:t>
                  </w:r>
                </w:p>
              </w:tc>
              <w:tc>
                <w:tcPr>
                  <w:tcW w:w="1798" w:type="pct"/>
                  <w:tcBorders>
                    <w:tl2br w:val="nil"/>
                    <w:tr2bl w:val="nil"/>
                  </w:tcBorders>
                  <w:vAlign w:val="center"/>
                </w:tcPr>
                <w:p>
                  <w:pPr>
                    <w:pStyle w:val="15"/>
                    <w:bidi w:val="0"/>
                    <w:jc w:val="center"/>
                    <w:rPr>
                      <w:color w:val="auto"/>
                      <w:highlight w:val="none"/>
                      <w:u w:val="none"/>
                    </w:rPr>
                  </w:pPr>
                  <w:r>
                    <w:rPr>
                      <w:rFonts w:hint="default" w:ascii="Times New Roman" w:hAnsi="Times New Roman" w:cs="Times New Roman"/>
                      <w:color w:val="auto"/>
                      <w:highlight w:val="none"/>
                      <w:u w:val="none"/>
                    </w:rPr>
                    <w:t>主体工程区</w:t>
                  </w:r>
                </w:p>
              </w:tc>
              <w:tc>
                <w:tcPr>
                  <w:tcW w:w="1403" w:type="pct"/>
                  <w:tcBorders>
                    <w:tl2br w:val="nil"/>
                    <w:tr2bl w:val="nil"/>
                  </w:tcBorders>
                  <w:vAlign w:val="center"/>
                </w:tcPr>
                <w:p>
                  <w:pPr>
                    <w:pStyle w:val="15"/>
                    <w:bidi w:val="0"/>
                    <w:jc w:val="center"/>
                    <w:rPr>
                      <w:rFonts w:hint="default" w:eastAsia="宋体"/>
                      <w:color w:val="auto"/>
                      <w:highlight w:val="none"/>
                      <w:u w:val="none"/>
                      <w:lang w:val="en-US" w:eastAsia="zh-CN"/>
                    </w:rPr>
                  </w:pPr>
                  <w:r>
                    <w:rPr>
                      <w:rFonts w:hint="eastAsia"/>
                      <w:color w:val="auto"/>
                      <w:highlight w:val="none"/>
                      <w:u w:val="none"/>
                      <w:lang w:val="en-US" w:eastAsia="zh-CN"/>
                    </w:rPr>
                    <w:t>19.7</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0" w:type="dxa"/>
                  <w:bottom w:w="0" w:type="dxa"/>
                  <w:right w:w="0" w:type="dxa"/>
                </w:tblCellMar>
              </w:tblPrEx>
              <w:trPr>
                <w:trHeight w:val="392" w:hRule="atLeast"/>
              </w:trPr>
              <w:tc>
                <w:tcPr>
                  <w:tcW w:w="1798" w:type="pct"/>
                  <w:vMerge w:val="restart"/>
                  <w:tcBorders>
                    <w:tl2br w:val="nil"/>
                    <w:tr2bl w:val="nil"/>
                  </w:tcBorders>
                  <w:vAlign w:val="center"/>
                </w:tcPr>
                <w:p>
                  <w:pPr>
                    <w:pStyle w:val="15"/>
                    <w:bidi w:val="0"/>
                    <w:jc w:val="center"/>
                    <w:rPr>
                      <w:rFonts w:hint="default" w:eastAsia="宋体"/>
                      <w:color w:val="auto"/>
                      <w:highlight w:val="none"/>
                      <w:u w:val="none"/>
                      <w:lang w:val="en-US" w:eastAsia="zh-CN"/>
                    </w:rPr>
                  </w:pPr>
                  <w:r>
                    <w:rPr>
                      <w:rFonts w:hint="eastAsia"/>
                      <w:color w:val="auto"/>
                      <w:highlight w:val="none"/>
                      <w:u w:val="none"/>
                      <w:lang w:val="en-US" w:eastAsia="zh-CN"/>
                    </w:rPr>
                    <w:t>临时占地</w:t>
                  </w:r>
                </w:p>
              </w:tc>
              <w:tc>
                <w:tcPr>
                  <w:tcW w:w="1798" w:type="pct"/>
                  <w:tcBorders>
                    <w:tl2br w:val="nil"/>
                    <w:tr2bl w:val="nil"/>
                  </w:tcBorders>
                  <w:vAlign w:val="center"/>
                </w:tcPr>
                <w:p>
                  <w:pPr>
                    <w:pStyle w:val="15"/>
                    <w:bidi w:val="0"/>
                    <w:jc w:val="center"/>
                    <w:rPr>
                      <w:rFonts w:hint="default" w:eastAsia="宋体"/>
                      <w:color w:val="auto"/>
                      <w:highlight w:val="none"/>
                      <w:u w:val="none"/>
                      <w:lang w:val="en-US" w:eastAsia="zh-CN"/>
                    </w:rPr>
                  </w:pPr>
                  <w:r>
                    <w:rPr>
                      <w:rFonts w:hint="eastAsia"/>
                      <w:color w:val="auto"/>
                      <w:highlight w:val="none"/>
                      <w:u w:val="none"/>
                      <w:lang w:val="en-US" w:eastAsia="zh-CN"/>
                    </w:rPr>
                    <w:t>施工工区</w:t>
                  </w:r>
                </w:p>
              </w:tc>
              <w:tc>
                <w:tcPr>
                  <w:tcW w:w="1403" w:type="pct"/>
                  <w:tcBorders>
                    <w:tl2br w:val="nil"/>
                    <w:tr2bl w:val="nil"/>
                  </w:tcBorders>
                  <w:vAlign w:val="center"/>
                </w:tcPr>
                <w:p>
                  <w:pPr>
                    <w:pStyle w:val="15"/>
                    <w:bidi w:val="0"/>
                    <w:jc w:val="center"/>
                    <w:rPr>
                      <w:rFonts w:hint="default" w:eastAsia="宋体"/>
                      <w:color w:val="auto"/>
                      <w:highlight w:val="none"/>
                      <w:u w:val="none"/>
                      <w:lang w:val="en-US" w:eastAsia="zh-CN"/>
                    </w:rPr>
                  </w:pPr>
                  <w:r>
                    <w:rPr>
                      <w:rFonts w:hint="eastAsia"/>
                      <w:color w:val="auto"/>
                      <w:highlight w:val="none"/>
                      <w:u w:val="none"/>
                      <w:lang w:val="en-US" w:eastAsia="zh-CN"/>
                    </w:rPr>
                    <w:t>0.30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0" w:type="dxa"/>
                  <w:bottom w:w="0" w:type="dxa"/>
                  <w:right w:w="0" w:type="dxa"/>
                </w:tblCellMar>
              </w:tblPrEx>
              <w:trPr>
                <w:trHeight w:val="391" w:hRule="atLeast"/>
              </w:trPr>
              <w:tc>
                <w:tcPr>
                  <w:tcW w:w="1798" w:type="pct"/>
                  <w:vMerge w:val="continue"/>
                  <w:tcBorders>
                    <w:tl2br w:val="nil"/>
                    <w:tr2bl w:val="nil"/>
                  </w:tcBorders>
                  <w:vAlign w:val="center"/>
                </w:tcPr>
                <w:p>
                  <w:pPr>
                    <w:pStyle w:val="15"/>
                    <w:bidi w:val="0"/>
                    <w:jc w:val="center"/>
                    <w:rPr>
                      <w:color w:val="auto"/>
                      <w:highlight w:val="none"/>
                      <w:u w:val="none"/>
                    </w:rPr>
                  </w:pPr>
                </w:p>
              </w:tc>
              <w:tc>
                <w:tcPr>
                  <w:tcW w:w="1798" w:type="pct"/>
                  <w:tcBorders>
                    <w:tl2br w:val="nil"/>
                    <w:tr2bl w:val="nil"/>
                  </w:tcBorders>
                  <w:vAlign w:val="center"/>
                </w:tcPr>
                <w:p>
                  <w:pPr>
                    <w:pStyle w:val="15"/>
                    <w:bidi w:val="0"/>
                    <w:jc w:val="center"/>
                    <w:rPr>
                      <w:color w:val="auto"/>
                      <w:highlight w:val="none"/>
                      <w:u w:val="none"/>
                    </w:rPr>
                  </w:pPr>
                  <w:r>
                    <w:rPr>
                      <w:color w:val="auto"/>
                      <w:highlight w:val="none"/>
                      <w:u w:val="none"/>
                    </w:rPr>
                    <w:t>临时堆渣场</w:t>
                  </w:r>
                </w:p>
              </w:tc>
              <w:tc>
                <w:tcPr>
                  <w:tcW w:w="1403" w:type="pct"/>
                  <w:tcBorders>
                    <w:tl2br w:val="nil"/>
                    <w:tr2bl w:val="nil"/>
                  </w:tcBorders>
                  <w:vAlign w:val="center"/>
                </w:tcPr>
                <w:p>
                  <w:pPr>
                    <w:pStyle w:val="15"/>
                    <w:bidi w:val="0"/>
                    <w:jc w:val="center"/>
                    <w:rPr>
                      <w:rFonts w:hint="default" w:eastAsia="宋体"/>
                      <w:color w:val="auto"/>
                      <w:highlight w:val="none"/>
                      <w:u w:val="none"/>
                      <w:lang w:val="en-US" w:eastAsia="zh-CN"/>
                    </w:rPr>
                  </w:pPr>
                  <w:r>
                    <w:rPr>
                      <w:rFonts w:hint="eastAsia"/>
                      <w:color w:val="auto"/>
                      <w:highlight w:val="none"/>
                      <w:u w:val="none"/>
                      <w:lang w:val="en-US" w:eastAsia="zh-CN"/>
                    </w:rPr>
                    <w:t>2.4</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0" w:type="dxa"/>
                  <w:bottom w:w="0" w:type="dxa"/>
                  <w:right w:w="0" w:type="dxa"/>
                </w:tblCellMar>
              </w:tblPrEx>
              <w:trPr>
                <w:trHeight w:val="397" w:hRule="atLeast"/>
              </w:trPr>
              <w:tc>
                <w:tcPr>
                  <w:tcW w:w="1798" w:type="pct"/>
                  <w:vMerge w:val="continue"/>
                  <w:tcBorders>
                    <w:tl2br w:val="nil"/>
                    <w:tr2bl w:val="nil"/>
                  </w:tcBorders>
                  <w:vAlign w:val="center"/>
                </w:tcPr>
                <w:p>
                  <w:pPr>
                    <w:pStyle w:val="15"/>
                    <w:bidi w:val="0"/>
                    <w:jc w:val="center"/>
                    <w:rPr>
                      <w:color w:val="auto"/>
                      <w:highlight w:val="none"/>
                      <w:u w:val="none"/>
                    </w:rPr>
                  </w:pPr>
                </w:p>
              </w:tc>
              <w:tc>
                <w:tcPr>
                  <w:tcW w:w="1798" w:type="pct"/>
                  <w:tcBorders>
                    <w:tl2br w:val="nil"/>
                    <w:tr2bl w:val="nil"/>
                  </w:tcBorders>
                  <w:vAlign w:val="center"/>
                </w:tcPr>
                <w:p>
                  <w:pPr>
                    <w:pStyle w:val="15"/>
                    <w:bidi w:val="0"/>
                    <w:jc w:val="center"/>
                    <w:rPr>
                      <w:color w:val="auto"/>
                      <w:highlight w:val="none"/>
                      <w:u w:val="none"/>
                    </w:rPr>
                  </w:pPr>
                  <w:r>
                    <w:rPr>
                      <w:color w:val="auto"/>
                      <w:highlight w:val="none"/>
                      <w:u w:val="none"/>
                    </w:rPr>
                    <w:t>合        计</w:t>
                  </w:r>
                </w:p>
              </w:tc>
              <w:tc>
                <w:tcPr>
                  <w:tcW w:w="1403" w:type="pct"/>
                  <w:tcBorders>
                    <w:tl2br w:val="nil"/>
                    <w:tr2bl w:val="nil"/>
                  </w:tcBorders>
                  <w:vAlign w:val="center"/>
                </w:tcPr>
                <w:p>
                  <w:pPr>
                    <w:pStyle w:val="15"/>
                    <w:bidi w:val="0"/>
                    <w:jc w:val="center"/>
                    <w:rPr>
                      <w:rFonts w:hint="default" w:eastAsia="宋体"/>
                      <w:color w:val="auto"/>
                      <w:highlight w:val="none"/>
                      <w:u w:val="none"/>
                      <w:lang w:val="en-US" w:eastAsia="zh-CN"/>
                    </w:rPr>
                  </w:pPr>
                  <w:r>
                    <w:rPr>
                      <w:rFonts w:hint="eastAsia"/>
                      <w:color w:val="auto"/>
                      <w:highlight w:val="none"/>
                      <w:u w:val="none"/>
                      <w:lang w:val="en-US" w:eastAsia="zh-CN"/>
                    </w:rPr>
                    <w:t>19.7</w:t>
                  </w:r>
                </w:p>
              </w:tc>
            </w:tr>
          </w:tbl>
          <w:p>
            <w:pPr>
              <w:rPr>
                <w:rFonts w:hint="default" w:ascii="Times New Roman" w:hAnsi="Times New Roman" w:cs="Times New Roman"/>
                <w:highlight w:val="none"/>
                <w:lang w:val="en-US" w:eastAsia="zh-CN"/>
              </w:rPr>
            </w:pPr>
            <w:r>
              <w:rPr>
                <w:rFonts w:hint="default" w:ascii="Times New Roman" w:hAnsi="Times New Roman" w:cs="Times New Roman"/>
                <w:b/>
                <w:bCs/>
                <w:highlight w:val="none"/>
                <w:lang w:val="en-US" w:eastAsia="zh-CN"/>
              </w:rPr>
              <w:t>七、公用工程</w:t>
            </w:r>
          </w:p>
          <w:p>
            <w:pPr>
              <w:bidi w:val="0"/>
              <w:rPr>
                <w:rFonts w:hint="default" w:ascii="Times New Roman" w:hAnsi="Times New Roman" w:cs="Times New Roman"/>
                <w:highlight w:val="none"/>
              </w:rPr>
            </w:pPr>
            <w:r>
              <w:rPr>
                <w:rFonts w:hint="default" w:ascii="Times New Roman" w:hAnsi="Times New Roman" w:cs="Times New Roman"/>
                <w:b/>
                <w:bCs/>
                <w:highlight w:val="none"/>
                <w:lang w:val="en-US" w:eastAsia="zh-CN"/>
              </w:rPr>
              <w:t>1、</w:t>
            </w:r>
            <w:r>
              <w:rPr>
                <w:rFonts w:hint="default" w:ascii="Times New Roman" w:hAnsi="Times New Roman" w:cs="Times New Roman"/>
                <w:b/>
                <w:bCs/>
                <w:highlight w:val="none"/>
              </w:rPr>
              <w:t>施工用水</w:t>
            </w:r>
          </w:p>
          <w:p>
            <w:pPr>
              <w:rPr>
                <w:rFonts w:hint="default" w:ascii="Times New Roman" w:hAnsi="Times New Roman" w:cs="Times New Roman"/>
                <w:highlight w:val="none"/>
              </w:rPr>
            </w:pPr>
            <w:r>
              <w:rPr>
                <w:rFonts w:hint="default" w:ascii="Times New Roman" w:hAnsi="Times New Roman" w:cs="Times New Roman"/>
                <w:highlight w:val="none"/>
              </w:rPr>
              <w:t>施工区沿线村庄分布较广，施工生活用水从附近村庄取用；施工用水利用移动式抽水泵从原河道内取水即可满足施工用水要求。</w:t>
            </w:r>
          </w:p>
          <w:p>
            <w:pPr>
              <w:bidi w:val="0"/>
              <w:rPr>
                <w:rFonts w:hint="default" w:ascii="Times New Roman" w:hAnsi="Times New Roman" w:cs="Times New Roman"/>
                <w:b/>
                <w:bCs/>
                <w:highlight w:val="none"/>
              </w:rPr>
            </w:pPr>
            <w:r>
              <w:rPr>
                <w:rFonts w:hint="default" w:ascii="Times New Roman" w:hAnsi="Times New Roman" w:cs="Times New Roman"/>
                <w:b/>
                <w:bCs/>
                <w:highlight w:val="none"/>
                <w:lang w:val="en-US" w:eastAsia="zh-CN"/>
              </w:rPr>
              <w:t>2、</w:t>
            </w:r>
            <w:r>
              <w:rPr>
                <w:rFonts w:hint="default" w:ascii="Times New Roman" w:hAnsi="Times New Roman" w:cs="Times New Roman"/>
                <w:b/>
                <w:bCs/>
                <w:highlight w:val="none"/>
              </w:rPr>
              <w:t>施工供电</w:t>
            </w:r>
          </w:p>
          <w:p>
            <w:pPr>
              <w:rPr>
                <w:rFonts w:hint="default" w:ascii="Times New Roman" w:hAnsi="Times New Roman" w:cs="Times New Roman"/>
                <w:highlight w:val="none"/>
                <w:lang w:val="en-US" w:eastAsia="zh-CN"/>
              </w:rPr>
            </w:pPr>
            <w:r>
              <w:rPr>
                <w:rFonts w:hint="eastAsia"/>
                <w:highlight w:val="none"/>
                <w:lang w:val="en-US" w:eastAsia="zh-CN"/>
              </w:rPr>
              <w:t>本工程</w:t>
            </w:r>
            <w:r>
              <w:rPr>
                <w:highlight w:val="none"/>
              </w:rPr>
              <w:t>施工供电就近接长0.4</w:t>
            </w:r>
            <w:r>
              <w:rPr>
                <w:rFonts w:hint="eastAsia"/>
                <w:highlight w:val="none"/>
                <w:lang w:val="en-US" w:eastAsia="zh-CN"/>
              </w:rPr>
              <w:t>k</w:t>
            </w:r>
            <w:r>
              <w:rPr>
                <w:highlight w:val="none"/>
              </w:rPr>
              <w:t>m的10KV输电线至堤防施工区降压站，降压站2座（分别布置胡家河左上段和油坊沟右上段，其余两段堤防直接从</w:t>
            </w:r>
            <w:r>
              <w:rPr>
                <w:rFonts w:hint="eastAsia"/>
                <w:highlight w:val="none"/>
                <w:lang w:val="en-US" w:eastAsia="zh-CN"/>
              </w:rPr>
              <w:t>附近</w:t>
            </w:r>
            <w:r>
              <w:rPr>
                <w:highlight w:val="none"/>
              </w:rPr>
              <w:t>用电户接入），容量100KVA（大于施工最大供电计算容量75KVA）</w:t>
            </w:r>
            <w:r>
              <w:rPr>
                <w:rFonts w:hint="eastAsia"/>
                <w:highlight w:val="none"/>
                <w:lang w:eastAsia="zh-CN"/>
              </w:rPr>
              <w:t>。</w:t>
            </w:r>
            <w:r>
              <w:rPr>
                <w:rFonts w:hint="default"/>
                <w:highlight w:val="none"/>
              </w:rPr>
              <w:t>考虑电网停电因素，本工程每个工区配备1台50kw的柴油发电机，作为自备电源。</w:t>
            </w:r>
          </w:p>
          <w:p>
            <w:pPr>
              <w:bidi w:val="0"/>
              <w:rPr>
                <w:rFonts w:hint="default" w:ascii="Times New Roman" w:hAnsi="Times New Roman" w:cs="Times New Roman"/>
                <w:b/>
                <w:bCs/>
                <w:highlight w:val="none"/>
              </w:rPr>
            </w:pPr>
            <w:r>
              <w:rPr>
                <w:rFonts w:hint="default" w:ascii="Times New Roman" w:hAnsi="Times New Roman" w:cs="Times New Roman"/>
                <w:b/>
                <w:bCs/>
                <w:highlight w:val="none"/>
                <w:lang w:val="en-US" w:eastAsia="zh-CN"/>
              </w:rPr>
              <w:t>3、</w:t>
            </w:r>
            <w:r>
              <w:rPr>
                <w:rFonts w:hint="default" w:ascii="Times New Roman" w:hAnsi="Times New Roman" w:cs="Times New Roman"/>
                <w:b/>
                <w:bCs/>
                <w:highlight w:val="none"/>
              </w:rPr>
              <w:t>通讯系统</w:t>
            </w:r>
          </w:p>
          <w:p>
            <w:pPr>
              <w:rPr>
                <w:rFonts w:hint="default" w:ascii="Times New Roman" w:hAnsi="Times New Roman" w:cs="Times New Roman"/>
                <w:highlight w:val="none"/>
                <w:lang w:val="en-US" w:eastAsia="zh-CN"/>
              </w:rPr>
            </w:pPr>
            <w:r>
              <w:rPr>
                <w:rFonts w:hint="default" w:ascii="Times New Roman" w:hAnsi="Times New Roman" w:cs="Times New Roman"/>
                <w:highlight w:val="none"/>
              </w:rPr>
              <w:t>施工区移动电话的信号好，不需架设固定电话的通讯线，施工通讯采用移动电话，能满足施工通讯要求。</w:t>
            </w:r>
          </w:p>
          <w:p>
            <w:pPr>
              <w:numPr>
                <w:ilvl w:val="0"/>
                <w:numId w:val="5"/>
              </w:numPr>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主要施工材料及来源</w:t>
            </w:r>
          </w:p>
          <w:p>
            <w:pPr>
              <w:bidi w:val="0"/>
              <w:rPr>
                <w:rFonts w:hint="eastAsia" w:eastAsia="宋体"/>
                <w:highlight w:val="none"/>
                <w:lang w:val="en-US" w:eastAsia="zh-CN"/>
              </w:rPr>
            </w:pPr>
            <w:r>
              <w:rPr>
                <w:rFonts w:hint="default"/>
                <w:highlight w:val="none"/>
                <w:lang w:val="en-US" w:eastAsia="zh-CN"/>
              </w:rPr>
              <w:t>根据初步设计资料</w:t>
            </w:r>
            <w:r>
              <w:rPr>
                <w:rFonts w:hint="eastAsia"/>
                <w:highlight w:val="none"/>
                <w:lang w:val="en-US" w:eastAsia="zh-CN"/>
              </w:rPr>
              <w:t>，</w:t>
            </w:r>
            <w:r>
              <w:rPr>
                <w:rFonts w:hint="default"/>
                <w:highlight w:val="none"/>
              </w:rPr>
              <w:t>本工程混凝土采用自拌解决</w:t>
            </w:r>
            <w:r>
              <w:rPr>
                <w:rFonts w:hint="eastAsia"/>
                <w:highlight w:val="none"/>
                <w:lang w:eastAsia="zh-CN"/>
              </w:rPr>
              <w:t>，</w:t>
            </w:r>
            <w:r>
              <w:rPr>
                <w:highlight w:val="none"/>
              </w:rPr>
              <w:t>各施工堤防段分别</w:t>
            </w:r>
            <w:r>
              <w:rPr>
                <w:rFonts w:hint="eastAsia"/>
                <w:highlight w:val="none"/>
                <w:lang w:val="en-US" w:eastAsia="zh-CN"/>
              </w:rPr>
              <w:t>设置</w:t>
            </w:r>
            <w:r>
              <w:rPr>
                <w:highlight w:val="none"/>
              </w:rPr>
              <w:t>0.8m</w:t>
            </w:r>
            <w:r>
              <w:rPr>
                <w:rFonts w:hint="eastAsia"/>
                <w:highlight w:val="none"/>
                <w:vertAlign w:val="superscript"/>
                <w:lang w:val="en-US" w:eastAsia="zh-CN"/>
              </w:rPr>
              <w:t>3</w:t>
            </w:r>
            <w:r>
              <w:rPr>
                <w:highlight w:val="none"/>
              </w:rPr>
              <w:t>砼搅拌机，承担其砼的供应砼</w:t>
            </w:r>
            <w:r>
              <w:rPr>
                <w:rFonts w:hint="eastAsia"/>
                <w:highlight w:val="none"/>
                <w:lang w:eastAsia="zh-CN"/>
              </w:rPr>
              <w:t>。</w:t>
            </w:r>
            <w:r>
              <w:rPr>
                <w:highlight w:val="none"/>
              </w:rPr>
              <w:t>粗、细骨料至胡家镇人工加工骨料场</w:t>
            </w:r>
            <w:r>
              <w:rPr>
                <w:rFonts w:hint="eastAsia"/>
                <w:highlight w:val="none"/>
                <w:lang w:eastAsia="zh-CN"/>
              </w:rPr>
              <w:t>（</w:t>
            </w:r>
            <w:r>
              <w:rPr>
                <w:highlight w:val="none"/>
              </w:rPr>
              <w:t>安佛洞石厂</w:t>
            </w:r>
            <w:r>
              <w:rPr>
                <w:rFonts w:hint="eastAsia"/>
                <w:highlight w:val="none"/>
                <w:lang w:eastAsia="zh-CN"/>
              </w:rPr>
              <w:t>）</w:t>
            </w:r>
            <w:r>
              <w:rPr>
                <w:highlight w:val="none"/>
              </w:rPr>
              <w:t>外购，运距15km</w:t>
            </w:r>
            <w:r>
              <w:rPr>
                <w:rFonts w:hint="eastAsia"/>
                <w:highlight w:val="none"/>
                <w:lang w:eastAsia="zh-CN"/>
              </w:rPr>
              <w:t>；</w:t>
            </w:r>
            <w:r>
              <w:rPr>
                <w:highlight w:val="none"/>
              </w:rPr>
              <w:t>模板采用钢模，就近至宣汉县城区购</w:t>
            </w:r>
            <w:r>
              <w:rPr>
                <w:rFonts w:hint="eastAsia"/>
                <w:highlight w:val="none"/>
                <w:lang w:val="en-US" w:eastAsia="zh-CN"/>
              </w:rPr>
              <w:t>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57" w:type="dxa"/>
            <w:tcBorders>
              <w:tl2br w:val="nil"/>
              <w:tr2bl w:val="nil"/>
            </w:tcBorders>
          </w:tcPr>
          <w:p>
            <w:pPr>
              <w:bidi w:val="0"/>
              <w:ind w:left="0" w:leftChars="0" w:firstLine="0" w:firstLineChars="0"/>
              <w:rPr>
                <w:rFonts w:hint="eastAsia"/>
                <w:b/>
                <w:bCs/>
                <w:color w:val="auto"/>
                <w:highlight w:val="none"/>
                <w:vertAlign w:val="baseline"/>
                <w:lang w:val="en-US" w:eastAsia="zh-CN"/>
              </w:rPr>
            </w:pPr>
            <w:r>
              <w:rPr>
                <w:rFonts w:hint="default" w:ascii="Times New Roman" w:hAnsi="Times New Roman" w:cs="Times New Roman"/>
                <w:b/>
                <w:bCs/>
                <w:color w:val="auto"/>
                <w:highlight w:val="none"/>
                <w:vertAlign w:val="baseline"/>
                <w:lang w:val="en-US" w:eastAsia="zh-CN"/>
              </w:rPr>
              <w:t>总平面及现场布置</w:t>
            </w:r>
          </w:p>
        </w:tc>
        <w:tc>
          <w:tcPr>
            <w:tcW w:w="8776" w:type="dxa"/>
            <w:tcBorders>
              <w:tl2br w:val="nil"/>
              <w:tr2bl w:val="nil"/>
            </w:tcBorders>
          </w:tcPr>
          <w:p>
            <w:pPr>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lang w:val="en-US" w:eastAsia="zh-CN"/>
              </w:rPr>
              <w:t>一、</w:t>
            </w:r>
            <w:r>
              <w:rPr>
                <w:rFonts w:hint="default" w:ascii="Times New Roman" w:hAnsi="Times New Roman" w:cs="Times New Roman"/>
                <w:b/>
                <w:bCs/>
                <w:color w:val="auto"/>
                <w:highlight w:val="none"/>
              </w:rPr>
              <w:t>工程布局情况</w:t>
            </w:r>
          </w:p>
          <w:p>
            <w:pPr>
              <w:bidi w:val="0"/>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1、堤防工程</w:t>
            </w:r>
          </w:p>
          <w:p>
            <w:pPr>
              <w:bidi w:val="0"/>
              <w:rPr>
                <w:rFonts w:hint="eastAsia"/>
                <w:highlight w:val="none"/>
                <w:lang w:val="en-US" w:eastAsia="zh-CN"/>
              </w:rPr>
            </w:pPr>
            <w:r>
              <w:rPr>
                <w:rFonts w:hint="eastAsia"/>
                <w:highlight w:val="none"/>
                <w:lang w:val="en-US" w:eastAsia="zh-CN"/>
              </w:rPr>
              <w:t>本项目</w:t>
            </w:r>
            <w:r>
              <w:rPr>
                <w:highlight w:val="none"/>
                <w:lang w:val="en-US" w:eastAsia="zh-CN"/>
              </w:rPr>
              <w:t>位于宣汉县胡家镇，按河沟分主要</w:t>
            </w:r>
            <w:r>
              <w:rPr>
                <w:rFonts w:hint="eastAsia"/>
                <w:highlight w:val="none"/>
                <w:lang w:val="en-US" w:eastAsia="zh-CN"/>
              </w:rPr>
              <w:t>分布在油坊沟和胡家河两条河上。油坊沟上设计有上下两段堤防，油坊沟右岸上段堤防起点为黄家湾桥至下游已成堤防，该段堤防长为</w:t>
            </w:r>
            <w:r>
              <w:rPr>
                <w:rFonts w:hint="default"/>
                <w:highlight w:val="none"/>
                <w:lang w:val="en-US" w:eastAsia="zh-CN"/>
              </w:rPr>
              <w:t>406.16m</w:t>
            </w:r>
            <w:r>
              <w:rPr>
                <w:rFonts w:hint="eastAsia"/>
                <w:highlight w:val="none"/>
                <w:lang w:val="en-US" w:eastAsia="zh-CN"/>
              </w:rPr>
              <w:t>；油坊沟左下段堤防位于冯家坝</w:t>
            </w:r>
            <w:r>
              <w:rPr>
                <w:rFonts w:hint="eastAsia" w:cs="Times New Roman"/>
                <w:highlight w:val="none"/>
                <w:lang w:eastAsia="zh-CN"/>
              </w:rPr>
              <w:t>，</w:t>
            </w:r>
            <w:r>
              <w:rPr>
                <w:rFonts w:hint="eastAsia"/>
                <w:highlight w:val="none"/>
                <w:lang w:val="en-US" w:eastAsia="zh-CN"/>
              </w:rPr>
              <w:t>堤防设计长度为</w:t>
            </w:r>
            <w:r>
              <w:rPr>
                <w:rFonts w:hint="default"/>
                <w:highlight w:val="none"/>
                <w:lang w:val="en-US" w:eastAsia="zh-CN"/>
              </w:rPr>
              <w:t>160.65m</w:t>
            </w:r>
            <w:r>
              <w:rPr>
                <w:rFonts w:hint="eastAsia"/>
                <w:highlight w:val="none"/>
                <w:lang w:val="en-US" w:eastAsia="zh-CN"/>
              </w:rPr>
              <w:t>。</w:t>
            </w:r>
          </w:p>
          <w:p>
            <w:pPr>
              <w:bidi w:val="0"/>
              <w:rPr>
                <w:rFonts w:hint="eastAsia"/>
                <w:highlight w:val="none"/>
                <w:lang w:val="en-US" w:eastAsia="zh-CN"/>
              </w:rPr>
            </w:pPr>
            <w:r>
              <w:rPr>
                <w:rFonts w:hint="eastAsia"/>
                <w:highlight w:val="none"/>
                <w:lang w:val="en-US" w:eastAsia="zh-CN"/>
              </w:rPr>
              <w:t>胡家河上设计有上下两段堤防，胡家河左上段堤防起点为花房子公路桥至黄花城段堤防，该段堤防长</w:t>
            </w:r>
            <w:r>
              <w:rPr>
                <w:rFonts w:hint="default"/>
                <w:highlight w:val="none"/>
                <w:lang w:val="en-US" w:eastAsia="zh-CN"/>
              </w:rPr>
              <w:t>564.19m</w:t>
            </w:r>
            <w:r>
              <w:rPr>
                <w:rFonts w:hint="eastAsia"/>
                <w:highlight w:val="none"/>
                <w:lang w:val="en-US" w:eastAsia="zh-CN"/>
              </w:rPr>
              <w:t>；胡家河右下段堤防位于后营坝，堤防设计长度</w:t>
            </w:r>
            <w:r>
              <w:rPr>
                <w:rFonts w:hint="default"/>
                <w:highlight w:val="none"/>
                <w:lang w:val="en-US" w:eastAsia="zh-CN"/>
              </w:rPr>
              <w:t>194.28m</w:t>
            </w:r>
            <w:r>
              <w:rPr>
                <w:rFonts w:hint="eastAsia"/>
                <w:highlight w:val="none"/>
                <w:lang w:val="en-US" w:eastAsia="zh-CN"/>
              </w:rPr>
              <w:t>。胡家镇胡家河山洪沟防洪治理工程四段堤防总长</w:t>
            </w:r>
            <w:r>
              <w:rPr>
                <w:rFonts w:hint="default"/>
                <w:highlight w:val="none"/>
                <w:lang w:val="en-US" w:eastAsia="zh-CN"/>
              </w:rPr>
              <w:t>1325.28m</w:t>
            </w:r>
            <w:r>
              <w:rPr>
                <w:rFonts w:hint="eastAsia"/>
                <w:highlight w:val="none"/>
                <w:lang w:val="en-US" w:eastAsia="zh-CN"/>
              </w:rPr>
              <w:t>，河道治理方式为新建堤防、护坡相结合。</w:t>
            </w:r>
          </w:p>
          <w:p>
            <w:pPr>
              <w:pStyle w:val="16"/>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表2-7  项目堤防工程布设情况一览表</w:t>
            </w:r>
          </w:p>
          <w:tbl>
            <w:tblPr>
              <w:tblStyle w:val="12"/>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10"/>
              <w:gridCol w:w="512"/>
              <w:gridCol w:w="512"/>
              <w:gridCol w:w="954"/>
              <w:gridCol w:w="1298"/>
              <w:gridCol w:w="1336"/>
              <w:gridCol w:w="1724"/>
              <w:gridCol w:w="171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2" w:hRule="atLeast"/>
              </w:trPr>
              <w:tc>
                <w:tcPr>
                  <w:tcW w:w="298" w:type="pct"/>
                  <w:vMerge w:val="restart"/>
                  <w:tcBorders>
                    <w:tl2br w:val="nil"/>
                    <w:tr2bl w:val="nil"/>
                  </w:tcBorders>
                  <w:vAlign w:val="center"/>
                </w:tcPr>
                <w:p>
                  <w:pPr>
                    <w:pStyle w:val="15"/>
                    <w:bidi w:val="0"/>
                    <w:rPr>
                      <w:rFonts w:hint="default" w:ascii="Times New Roman" w:hAnsi="Times New Roman" w:cs="Times New Roman"/>
                      <w:b/>
                      <w:bCs/>
                      <w:highlight w:val="none"/>
                      <w:lang w:val="en-US" w:eastAsia="zh-CN"/>
                    </w:rPr>
                  </w:pPr>
                  <w:r>
                    <w:rPr>
                      <w:rFonts w:hint="default" w:ascii="Times New Roman" w:hAnsi="Times New Roman" w:cs="Times New Roman"/>
                      <w:b/>
                      <w:bCs/>
                      <w:highlight w:val="none"/>
                      <w:lang w:val="en-US" w:eastAsia="zh-CN"/>
                    </w:rPr>
                    <w:t>工程措施</w:t>
                  </w:r>
                </w:p>
              </w:tc>
              <w:tc>
                <w:tcPr>
                  <w:tcW w:w="299" w:type="pct"/>
                  <w:vMerge w:val="restart"/>
                  <w:tcBorders>
                    <w:tl2br w:val="nil"/>
                    <w:tr2bl w:val="nil"/>
                  </w:tcBorders>
                  <w:vAlign w:val="center"/>
                </w:tcPr>
                <w:p>
                  <w:pPr>
                    <w:pStyle w:val="15"/>
                    <w:bidi w:val="0"/>
                    <w:rPr>
                      <w:rFonts w:hint="default" w:ascii="Times New Roman" w:hAnsi="Times New Roman" w:cs="Times New Roman"/>
                      <w:b/>
                      <w:bCs/>
                      <w:highlight w:val="none"/>
                      <w:lang w:val="en-US" w:eastAsia="zh-CN"/>
                    </w:rPr>
                  </w:pPr>
                  <w:r>
                    <w:rPr>
                      <w:rFonts w:hint="eastAsia" w:cs="Times New Roman"/>
                      <w:b/>
                      <w:bCs/>
                      <w:highlight w:val="none"/>
                      <w:lang w:val="en-US" w:eastAsia="zh-CN"/>
                    </w:rPr>
                    <w:t>工程河段</w:t>
                  </w:r>
                </w:p>
              </w:tc>
              <w:tc>
                <w:tcPr>
                  <w:tcW w:w="299" w:type="pct"/>
                  <w:vMerge w:val="restart"/>
                  <w:tcBorders>
                    <w:tl2br w:val="nil"/>
                    <w:tr2bl w:val="nil"/>
                  </w:tcBorders>
                  <w:vAlign w:val="center"/>
                </w:tcPr>
                <w:p>
                  <w:pPr>
                    <w:pStyle w:val="15"/>
                    <w:bidi w:val="0"/>
                    <w:rPr>
                      <w:rFonts w:hint="default" w:ascii="Times New Roman" w:hAnsi="Times New Roman" w:cs="Times New Roman"/>
                      <w:b/>
                      <w:bCs/>
                      <w:highlight w:val="none"/>
                      <w:lang w:val="en-US" w:eastAsia="zh-CN"/>
                    </w:rPr>
                  </w:pPr>
                  <w:r>
                    <w:rPr>
                      <w:rFonts w:hint="eastAsia" w:cs="Times New Roman"/>
                      <w:b/>
                      <w:bCs/>
                      <w:highlight w:val="none"/>
                      <w:lang w:val="en-US" w:eastAsia="zh-CN"/>
                    </w:rPr>
                    <w:t>岸别</w:t>
                  </w:r>
                </w:p>
              </w:tc>
              <w:tc>
                <w:tcPr>
                  <w:tcW w:w="557" w:type="pct"/>
                  <w:vMerge w:val="restart"/>
                  <w:tcBorders>
                    <w:tl2br w:val="nil"/>
                    <w:tr2bl w:val="nil"/>
                  </w:tcBorders>
                  <w:vAlign w:val="center"/>
                </w:tcPr>
                <w:p>
                  <w:pPr>
                    <w:pStyle w:val="15"/>
                    <w:bidi w:val="0"/>
                    <w:rPr>
                      <w:rFonts w:hint="default" w:ascii="Times New Roman" w:hAnsi="Times New Roman" w:cs="Times New Roman"/>
                      <w:b/>
                      <w:bCs/>
                      <w:highlight w:val="none"/>
                      <w:lang w:val="en-US" w:eastAsia="zh-CN"/>
                    </w:rPr>
                  </w:pPr>
                  <w:r>
                    <w:rPr>
                      <w:rFonts w:hint="default" w:ascii="Times New Roman" w:hAnsi="Times New Roman" w:cs="Times New Roman"/>
                      <w:b/>
                      <w:bCs/>
                      <w:highlight w:val="none"/>
                      <w:lang w:val="en-US" w:eastAsia="zh-CN"/>
                    </w:rPr>
                    <w:t>长度</w:t>
                  </w:r>
                </w:p>
                <w:p>
                  <w:pPr>
                    <w:pStyle w:val="15"/>
                    <w:bidi w:val="0"/>
                    <w:rPr>
                      <w:rFonts w:hint="default" w:ascii="Times New Roman" w:hAnsi="Times New Roman" w:cs="Times New Roman"/>
                      <w:b/>
                      <w:bCs/>
                      <w:highlight w:val="none"/>
                      <w:lang w:val="en-US" w:eastAsia="zh-CN"/>
                    </w:rPr>
                  </w:pPr>
                  <w:r>
                    <w:rPr>
                      <w:rFonts w:hint="eastAsia" w:cs="Times New Roman"/>
                      <w:b/>
                      <w:bCs/>
                      <w:highlight w:val="none"/>
                      <w:lang w:val="en-US" w:eastAsia="zh-CN"/>
                    </w:rPr>
                    <w:t>（</w:t>
                  </w:r>
                  <w:r>
                    <w:rPr>
                      <w:rFonts w:hint="default" w:ascii="Times New Roman" w:hAnsi="Times New Roman" w:cs="Times New Roman"/>
                      <w:b/>
                      <w:bCs/>
                      <w:highlight w:val="none"/>
                      <w:lang w:val="en-US" w:eastAsia="zh-CN"/>
                    </w:rPr>
                    <w:t>m</w:t>
                  </w:r>
                  <w:r>
                    <w:rPr>
                      <w:rFonts w:hint="eastAsia" w:cs="Times New Roman"/>
                      <w:b/>
                      <w:bCs/>
                      <w:highlight w:val="none"/>
                      <w:lang w:val="en-US" w:eastAsia="zh-CN"/>
                    </w:rPr>
                    <w:t>）</w:t>
                  </w:r>
                </w:p>
              </w:tc>
              <w:tc>
                <w:tcPr>
                  <w:tcW w:w="1538" w:type="pct"/>
                  <w:gridSpan w:val="2"/>
                  <w:tcBorders>
                    <w:right w:val="single" w:color="auto" w:sz="4" w:space="0"/>
                    <w:tl2br w:val="nil"/>
                    <w:tr2bl w:val="nil"/>
                  </w:tcBorders>
                  <w:vAlign w:val="center"/>
                </w:tcPr>
                <w:p>
                  <w:pPr>
                    <w:pStyle w:val="15"/>
                    <w:bidi w:val="0"/>
                    <w:rPr>
                      <w:rFonts w:hint="default" w:ascii="Times New Roman" w:hAnsi="Times New Roman" w:cs="Times New Roman"/>
                      <w:b/>
                      <w:bCs/>
                      <w:highlight w:val="none"/>
                    </w:rPr>
                  </w:pPr>
                  <w:r>
                    <w:rPr>
                      <w:rFonts w:hint="default" w:ascii="Times New Roman" w:hAnsi="Times New Roman" w:cs="Times New Roman"/>
                      <w:b/>
                      <w:bCs/>
                      <w:highlight w:val="none"/>
                      <w:lang w:val="en-US" w:eastAsia="zh-CN"/>
                    </w:rPr>
                    <w:t>桩号</w:t>
                  </w:r>
                </w:p>
              </w:tc>
              <w:tc>
                <w:tcPr>
                  <w:tcW w:w="1007" w:type="pct"/>
                  <w:tcBorders>
                    <w:left w:val="single" w:color="auto" w:sz="4" w:space="0"/>
                    <w:right w:val="single" w:color="auto" w:sz="4" w:space="0"/>
                  </w:tcBorders>
                  <w:vAlign w:val="center"/>
                </w:tcPr>
                <w:p>
                  <w:pPr>
                    <w:pStyle w:val="15"/>
                    <w:bidi w:val="0"/>
                    <w:rPr>
                      <w:rFonts w:hint="default" w:ascii="Times New Roman" w:hAnsi="Times New Roman" w:cs="Times New Roman"/>
                      <w:b/>
                      <w:bCs/>
                      <w:highlight w:val="none"/>
                      <w:lang w:val="en-US" w:eastAsia="zh-CN"/>
                    </w:rPr>
                  </w:pPr>
                  <w:r>
                    <w:rPr>
                      <w:rFonts w:hint="default" w:ascii="Times New Roman" w:hAnsi="Times New Roman" w:cs="Times New Roman"/>
                      <w:b/>
                      <w:bCs/>
                      <w:highlight w:val="none"/>
                      <w:lang w:val="en-US" w:eastAsia="zh-CN"/>
                    </w:rPr>
                    <w:t>起点</w:t>
                  </w:r>
                </w:p>
              </w:tc>
              <w:tc>
                <w:tcPr>
                  <w:tcW w:w="999" w:type="pct"/>
                  <w:tcBorders>
                    <w:left w:val="single" w:color="auto" w:sz="4" w:space="0"/>
                  </w:tcBorders>
                  <w:vAlign w:val="center"/>
                </w:tcPr>
                <w:p>
                  <w:pPr>
                    <w:pStyle w:val="15"/>
                    <w:bidi w:val="0"/>
                    <w:rPr>
                      <w:rFonts w:hint="default" w:ascii="Times New Roman" w:hAnsi="Times New Roman" w:cs="Times New Roman"/>
                      <w:b/>
                      <w:bCs/>
                      <w:highlight w:val="none"/>
                      <w:lang w:val="en-US" w:eastAsia="zh-CN"/>
                    </w:rPr>
                  </w:pPr>
                  <w:r>
                    <w:rPr>
                      <w:rFonts w:hint="eastAsia" w:cs="Times New Roman"/>
                      <w:b/>
                      <w:bCs/>
                      <w:highlight w:val="none"/>
                      <w:lang w:val="en-US" w:eastAsia="zh-CN"/>
                    </w:rPr>
                    <w:t>终点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98" w:type="pct"/>
                  <w:vMerge w:val="continue"/>
                  <w:tcBorders>
                    <w:tl2br w:val="nil"/>
                    <w:tr2bl w:val="nil"/>
                  </w:tcBorders>
                  <w:vAlign w:val="center"/>
                </w:tcPr>
                <w:p>
                  <w:pPr>
                    <w:pStyle w:val="15"/>
                    <w:bidi w:val="0"/>
                    <w:rPr>
                      <w:rFonts w:hint="default" w:ascii="Times New Roman" w:hAnsi="Times New Roman" w:cs="Times New Roman"/>
                      <w:b/>
                      <w:bCs/>
                      <w:highlight w:val="none"/>
                      <w:lang w:val="en-US" w:eastAsia="zh-CN"/>
                    </w:rPr>
                  </w:pPr>
                </w:p>
              </w:tc>
              <w:tc>
                <w:tcPr>
                  <w:tcW w:w="299" w:type="pct"/>
                  <w:vMerge w:val="continue"/>
                  <w:tcBorders>
                    <w:tl2br w:val="nil"/>
                    <w:tr2bl w:val="nil"/>
                  </w:tcBorders>
                  <w:vAlign w:val="center"/>
                </w:tcPr>
                <w:p>
                  <w:pPr>
                    <w:pStyle w:val="15"/>
                    <w:bidi w:val="0"/>
                    <w:rPr>
                      <w:rFonts w:hint="default" w:ascii="Times New Roman" w:hAnsi="Times New Roman" w:cs="Times New Roman"/>
                      <w:b/>
                      <w:bCs/>
                      <w:highlight w:val="none"/>
                    </w:rPr>
                  </w:pPr>
                </w:p>
              </w:tc>
              <w:tc>
                <w:tcPr>
                  <w:tcW w:w="299" w:type="pct"/>
                  <w:vMerge w:val="continue"/>
                  <w:tcBorders>
                    <w:tl2br w:val="nil"/>
                    <w:tr2bl w:val="nil"/>
                  </w:tcBorders>
                  <w:vAlign w:val="center"/>
                </w:tcPr>
                <w:p>
                  <w:pPr>
                    <w:pStyle w:val="15"/>
                    <w:bidi w:val="0"/>
                    <w:rPr>
                      <w:rFonts w:hint="default" w:ascii="Times New Roman" w:hAnsi="Times New Roman" w:cs="Times New Roman"/>
                      <w:b/>
                      <w:bCs/>
                      <w:highlight w:val="none"/>
                    </w:rPr>
                  </w:pPr>
                </w:p>
              </w:tc>
              <w:tc>
                <w:tcPr>
                  <w:tcW w:w="557" w:type="pct"/>
                  <w:vMerge w:val="continue"/>
                  <w:tcBorders>
                    <w:tl2br w:val="nil"/>
                    <w:tr2bl w:val="nil"/>
                  </w:tcBorders>
                  <w:vAlign w:val="center"/>
                </w:tcPr>
                <w:p>
                  <w:pPr>
                    <w:pStyle w:val="15"/>
                    <w:bidi w:val="0"/>
                    <w:rPr>
                      <w:rFonts w:hint="default" w:ascii="Times New Roman" w:hAnsi="Times New Roman" w:cs="Times New Roman"/>
                      <w:b/>
                      <w:bCs/>
                      <w:highlight w:val="none"/>
                    </w:rPr>
                  </w:pPr>
                </w:p>
              </w:tc>
              <w:tc>
                <w:tcPr>
                  <w:tcW w:w="758" w:type="pct"/>
                  <w:tcBorders>
                    <w:tl2br w:val="nil"/>
                    <w:tr2bl w:val="nil"/>
                  </w:tcBorders>
                  <w:vAlign w:val="center"/>
                </w:tcPr>
                <w:p>
                  <w:pPr>
                    <w:pStyle w:val="15"/>
                    <w:bidi w:val="0"/>
                    <w:rPr>
                      <w:rFonts w:hint="default" w:ascii="Times New Roman" w:hAnsi="Times New Roman" w:cs="Times New Roman"/>
                      <w:b/>
                      <w:bCs/>
                      <w:highlight w:val="none"/>
                      <w:lang w:val="en-US" w:eastAsia="zh-CN"/>
                    </w:rPr>
                  </w:pPr>
                  <w:r>
                    <w:rPr>
                      <w:rFonts w:hint="default" w:ascii="Times New Roman" w:hAnsi="Times New Roman" w:cs="Times New Roman"/>
                      <w:b/>
                      <w:bCs/>
                      <w:highlight w:val="none"/>
                      <w:lang w:val="en-US" w:eastAsia="zh-CN"/>
                    </w:rPr>
                    <w:t>起点</w:t>
                  </w:r>
                </w:p>
              </w:tc>
              <w:tc>
                <w:tcPr>
                  <w:tcW w:w="780" w:type="pct"/>
                  <w:tcBorders>
                    <w:right w:val="single" w:color="auto" w:sz="4" w:space="0"/>
                    <w:tl2br w:val="nil"/>
                    <w:tr2bl w:val="nil"/>
                  </w:tcBorders>
                  <w:vAlign w:val="center"/>
                </w:tcPr>
                <w:p>
                  <w:pPr>
                    <w:pStyle w:val="15"/>
                    <w:bidi w:val="0"/>
                    <w:rPr>
                      <w:rFonts w:hint="default" w:ascii="Times New Roman" w:hAnsi="Times New Roman" w:cs="Times New Roman"/>
                      <w:b/>
                      <w:bCs/>
                      <w:highlight w:val="none"/>
                      <w:lang w:val="en-US" w:eastAsia="zh-CN"/>
                    </w:rPr>
                  </w:pPr>
                  <w:r>
                    <w:rPr>
                      <w:rFonts w:hint="default" w:ascii="Times New Roman" w:hAnsi="Times New Roman" w:cs="Times New Roman"/>
                      <w:b/>
                      <w:bCs/>
                      <w:highlight w:val="none"/>
                      <w:lang w:val="en-US" w:eastAsia="zh-CN"/>
                    </w:rPr>
                    <w:t>终点</w:t>
                  </w:r>
                </w:p>
              </w:tc>
              <w:tc>
                <w:tcPr>
                  <w:tcW w:w="1007" w:type="pct"/>
                  <w:tcBorders>
                    <w:left w:val="single" w:color="auto" w:sz="4" w:space="0"/>
                    <w:right w:val="single" w:color="auto" w:sz="4" w:space="0"/>
                  </w:tcBorders>
                  <w:vAlign w:val="center"/>
                </w:tcPr>
                <w:p>
                  <w:pPr>
                    <w:pStyle w:val="15"/>
                    <w:bidi w:val="0"/>
                    <w:rPr>
                      <w:rFonts w:hint="default" w:ascii="Times New Roman" w:hAnsi="Times New Roman" w:cs="Times New Roman"/>
                      <w:b/>
                      <w:bCs/>
                      <w:highlight w:val="none"/>
                      <w:lang w:val="en-US" w:eastAsia="zh-CN"/>
                    </w:rPr>
                  </w:pPr>
                  <w:r>
                    <w:rPr>
                      <w:rFonts w:hint="default" w:ascii="Times New Roman" w:hAnsi="Times New Roman" w:cs="Times New Roman"/>
                      <w:b/>
                      <w:bCs/>
                      <w:highlight w:val="none"/>
                      <w:lang w:val="en-US" w:eastAsia="zh-CN"/>
                    </w:rPr>
                    <w:t>坐标</w:t>
                  </w:r>
                </w:p>
              </w:tc>
              <w:tc>
                <w:tcPr>
                  <w:tcW w:w="999" w:type="pct"/>
                  <w:tcBorders>
                    <w:left w:val="single" w:color="auto" w:sz="4" w:space="0"/>
                  </w:tcBorders>
                  <w:vAlign w:val="center"/>
                </w:tcPr>
                <w:p>
                  <w:pPr>
                    <w:pStyle w:val="15"/>
                    <w:bidi w:val="0"/>
                    <w:rPr>
                      <w:rFonts w:hint="default" w:ascii="Times New Roman" w:hAnsi="Times New Roman" w:cs="Times New Roman"/>
                      <w:b/>
                      <w:bCs/>
                      <w:highlight w:val="none"/>
                      <w:lang w:val="en-US" w:eastAsia="zh-CN"/>
                    </w:rPr>
                  </w:pPr>
                  <w:r>
                    <w:rPr>
                      <w:rFonts w:hint="default" w:ascii="Times New Roman" w:hAnsi="Times New Roman" w:cs="Times New Roman"/>
                      <w:b/>
                      <w:bCs/>
                      <w:highlight w:val="none"/>
                      <w:lang w:val="en-US" w:eastAsia="zh-CN"/>
                    </w:rPr>
                    <w:t>坐标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98" w:type="pct"/>
                  <w:vMerge w:val="restart"/>
                  <w:tcBorders>
                    <w:tl2br w:val="nil"/>
                    <w:tr2bl w:val="nil"/>
                  </w:tcBorders>
                  <w:vAlign w:val="center"/>
                </w:tcPr>
                <w:p>
                  <w:pPr>
                    <w:pStyle w:val="15"/>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新建堤防工程</w:t>
                  </w:r>
                </w:p>
              </w:tc>
              <w:tc>
                <w:tcPr>
                  <w:tcW w:w="299" w:type="pct"/>
                  <w:vMerge w:val="restart"/>
                  <w:tcBorders>
                    <w:tl2br w:val="nil"/>
                    <w:tr2bl w:val="nil"/>
                  </w:tcBorders>
                  <w:vAlign w:val="center"/>
                </w:tcPr>
                <w:p>
                  <w:pPr>
                    <w:pStyle w:val="15"/>
                    <w:bidi w:val="0"/>
                    <w:rPr>
                      <w:rFonts w:hint="default" w:ascii="Times New Roman" w:hAnsi="Times New Roman" w:cs="Times New Roman"/>
                      <w:highlight w:val="none"/>
                      <w:lang w:val="en-US" w:eastAsia="zh-CN"/>
                    </w:rPr>
                  </w:pPr>
                  <w:r>
                    <w:rPr>
                      <w:rFonts w:hint="eastAsia" w:cs="Times New Roman"/>
                      <w:highlight w:val="none"/>
                      <w:lang w:val="en-US" w:eastAsia="zh-CN"/>
                    </w:rPr>
                    <w:t>油坊沟</w:t>
                  </w:r>
                </w:p>
              </w:tc>
              <w:tc>
                <w:tcPr>
                  <w:tcW w:w="299" w:type="pct"/>
                  <w:tcBorders>
                    <w:tl2br w:val="nil"/>
                    <w:tr2bl w:val="nil"/>
                  </w:tcBorders>
                  <w:vAlign w:val="center"/>
                </w:tcPr>
                <w:p>
                  <w:pPr>
                    <w:pStyle w:val="15"/>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右岸</w:t>
                  </w:r>
                </w:p>
              </w:tc>
              <w:tc>
                <w:tcPr>
                  <w:tcW w:w="557" w:type="pct"/>
                  <w:tcBorders>
                    <w:tl2br w:val="nil"/>
                    <w:tr2bl w:val="nil"/>
                  </w:tcBorders>
                  <w:vAlign w:val="center"/>
                </w:tcPr>
                <w:p>
                  <w:pPr>
                    <w:pStyle w:val="15"/>
                    <w:bidi w:val="0"/>
                    <w:rPr>
                      <w:rFonts w:hint="default" w:ascii="Times New Roman" w:hAnsi="Times New Roman" w:cs="Times New Roman"/>
                      <w:highlight w:val="none"/>
                      <w:lang w:val="en-US" w:eastAsia="zh-CN"/>
                    </w:rPr>
                  </w:pPr>
                  <w:r>
                    <w:rPr>
                      <w:rFonts w:hint="default"/>
                      <w:highlight w:val="none"/>
                      <w:lang w:val="en-US" w:eastAsia="zh-CN"/>
                    </w:rPr>
                    <w:t>406.16</w:t>
                  </w:r>
                </w:p>
              </w:tc>
              <w:tc>
                <w:tcPr>
                  <w:tcW w:w="758" w:type="pct"/>
                  <w:tcBorders>
                    <w:tl2br w:val="nil"/>
                    <w:tr2bl w:val="nil"/>
                  </w:tcBorders>
                  <w:vAlign w:val="center"/>
                </w:tcPr>
                <w:p>
                  <w:pPr>
                    <w:pStyle w:val="15"/>
                    <w:bidi w:val="0"/>
                    <w:rPr>
                      <w:rFonts w:hint="default" w:ascii="Times New Roman" w:hAnsi="Times New Roman" w:cs="Times New Roman"/>
                      <w:highlight w:val="none"/>
                    </w:rPr>
                  </w:pPr>
                  <w:r>
                    <w:rPr>
                      <w:rFonts w:hint="eastAsia" w:ascii="Times New Roman" w:hAnsi="Times New Roman" w:eastAsia="宋体" w:cs="Times New Roman"/>
                      <w:sz w:val="21"/>
                      <w:szCs w:val="21"/>
                      <w:highlight w:val="none"/>
                      <w:vertAlign w:val="baseline"/>
                      <w:lang w:val="en-US" w:eastAsia="zh-CN"/>
                    </w:rPr>
                    <w:t>油右0+000.00</w:t>
                  </w:r>
                </w:p>
              </w:tc>
              <w:tc>
                <w:tcPr>
                  <w:tcW w:w="780" w:type="pct"/>
                  <w:tcBorders>
                    <w:tl2br w:val="nil"/>
                    <w:tr2bl w:val="nil"/>
                  </w:tcBorders>
                  <w:vAlign w:val="center"/>
                </w:tcPr>
                <w:p>
                  <w:pPr>
                    <w:pStyle w:val="15"/>
                    <w:bidi w:val="0"/>
                    <w:rPr>
                      <w:rFonts w:hint="default" w:ascii="Times New Roman" w:hAnsi="Times New Roman" w:cs="Times New Roman"/>
                      <w:highlight w:val="none"/>
                      <w:lang w:val="en-US"/>
                    </w:rPr>
                  </w:pPr>
                  <w:r>
                    <w:rPr>
                      <w:rFonts w:hint="eastAsia" w:ascii="Times New Roman" w:hAnsi="Times New Roman" w:eastAsia="宋体" w:cs="Times New Roman"/>
                      <w:sz w:val="21"/>
                      <w:szCs w:val="21"/>
                      <w:highlight w:val="none"/>
                      <w:vertAlign w:val="baseline"/>
                      <w:lang w:val="en-US" w:eastAsia="zh-CN"/>
                    </w:rPr>
                    <w:t>油右0+406.16</w:t>
                  </w:r>
                </w:p>
              </w:tc>
              <w:tc>
                <w:tcPr>
                  <w:tcW w:w="1007" w:type="pct"/>
                  <w:tcBorders>
                    <w:tl2br w:val="nil"/>
                    <w:tr2bl w:val="nil"/>
                  </w:tcBorders>
                  <w:vAlign w:val="center"/>
                </w:tcPr>
                <w:p>
                  <w:pPr>
                    <w:pStyle w:val="15"/>
                    <w:bidi w:val="0"/>
                    <w:rPr>
                      <w:rFonts w:hint="default" w:ascii="Times New Roman" w:hAnsi="Times New Roman" w:cs="Times New Roman"/>
                      <w:highlight w:val="none"/>
                      <w:lang w:val="en-US" w:eastAsia="zh-CN"/>
                    </w:rPr>
                  </w:pPr>
                  <w:r>
                    <w:rPr>
                      <w:rFonts w:hint="eastAsia"/>
                      <w:highlight w:val="none"/>
                      <w:lang w:val="en-US" w:eastAsia="zh-CN"/>
                    </w:rPr>
                    <w:t>E</w:t>
                  </w:r>
                  <w:r>
                    <w:rPr>
                      <w:rFonts w:hint="default" w:ascii="Times New Roman" w:hAnsi="Times New Roman" w:cs="Times New Roman"/>
                      <w:highlight w:val="none"/>
                      <w:lang w:val="en-US" w:eastAsia="zh-CN"/>
                    </w:rPr>
                    <w:t>107°39′43.70″</w:t>
                  </w:r>
                  <w:r>
                    <w:rPr>
                      <w:rFonts w:hint="eastAsia" w:ascii="Times New Roman" w:hAnsi="Times New Roman" w:cs="Times New Roman"/>
                      <w:highlight w:val="none"/>
                      <w:lang w:val="en-US" w:eastAsia="zh-CN"/>
                    </w:rPr>
                    <w:t>，</w:t>
                  </w:r>
                  <w:r>
                    <w:rPr>
                      <w:rFonts w:hint="eastAsia" w:cs="Times New Roman"/>
                      <w:highlight w:val="none"/>
                      <w:lang w:val="en-US" w:eastAsia="zh-CN"/>
                    </w:rPr>
                    <w:t>N</w:t>
                  </w:r>
                  <w:r>
                    <w:rPr>
                      <w:rFonts w:hint="default" w:ascii="Times New Roman" w:hAnsi="Times New Roman" w:cs="Times New Roman"/>
                      <w:highlight w:val="none"/>
                      <w:lang w:val="en-US" w:eastAsia="zh-CN"/>
                    </w:rPr>
                    <w:t>31°34′24.10″</w:t>
                  </w:r>
                </w:p>
              </w:tc>
              <w:tc>
                <w:tcPr>
                  <w:tcW w:w="999" w:type="pct"/>
                  <w:tcBorders>
                    <w:tl2br w:val="nil"/>
                    <w:tr2bl w:val="nil"/>
                  </w:tcBorders>
                  <w:vAlign w:val="center"/>
                </w:tcPr>
                <w:p>
                  <w:pPr>
                    <w:pStyle w:val="15"/>
                    <w:bidi w:val="0"/>
                    <w:rPr>
                      <w:rFonts w:hint="default" w:ascii="Times New Roman" w:hAnsi="Times New Roman" w:cs="Times New Roman"/>
                      <w:highlight w:val="none"/>
                    </w:rPr>
                  </w:pPr>
                  <w:r>
                    <w:rPr>
                      <w:rFonts w:hint="eastAsia"/>
                      <w:highlight w:val="none"/>
                      <w:lang w:val="en-US" w:eastAsia="zh-CN"/>
                    </w:rPr>
                    <w:t>E</w:t>
                  </w:r>
                  <w:r>
                    <w:rPr>
                      <w:rFonts w:hint="default" w:ascii="Times New Roman" w:hAnsi="Times New Roman" w:cs="Times New Roman"/>
                      <w:highlight w:val="none"/>
                    </w:rPr>
                    <w:t>107°39′39.62″</w:t>
                  </w:r>
                  <w:r>
                    <w:rPr>
                      <w:rFonts w:hint="eastAsia" w:ascii="Times New Roman" w:hAnsi="Times New Roman" w:cs="Times New Roman"/>
                      <w:highlight w:val="none"/>
                      <w:lang w:eastAsia="zh-CN"/>
                    </w:rPr>
                    <w:t>，</w:t>
                  </w:r>
                  <w:r>
                    <w:rPr>
                      <w:rFonts w:hint="eastAsia" w:cs="Times New Roman"/>
                      <w:highlight w:val="none"/>
                      <w:lang w:val="en-US" w:eastAsia="zh-CN"/>
                    </w:rPr>
                    <w:t>N</w:t>
                  </w:r>
                  <w:r>
                    <w:rPr>
                      <w:rFonts w:hint="default" w:ascii="Times New Roman" w:hAnsi="Times New Roman" w:cs="Times New Roman"/>
                      <w:highlight w:val="none"/>
                    </w:rPr>
                    <w:t>31°34′13.19″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98" w:type="pct"/>
                  <w:vMerge w:val="continue"/>
                  <w:tcBorders>
                    <w:tl2br w:val="nil"/>
                    <w:tr2bl w:val="nil"/>
                  </w:tcBorders>
                  <w:vAlign w:val="center"/>
                </w:tcPr>
                <w:p>
                  <w:pPr>
                    <w:pStyle w:val="15"/>
                    <w:bidi w:val="0"/>
                    <w:rPr>
                      <w:rFonts w:hint="default" w:ascii="Times New Roman" w:hAnsi="Times New Roman" w:cs="Times New Roman"/>
                      <w:highlight w:val="none"/>
                      <w:lang w:val="en-US" w:eastAsia="zh-CN"/>
                    </w:rPr>
                  </w:pPr>
                </w:p>
              </w:tc>
              <w:tc>
                <w:tcPr>
                  <w:tcW w:w="299" w:type="pct"/>
                  <w:vMerge w:val="continue"/>
                  <w:tcBorders>
                    <w:tl2br w:val="nil"/>
                    <w:tr2bl w:val="nil"/>
                  </w:tcBorders>
                  <w:vAlign w:val="center"/>
                </w:tcPr>
                <w:p>
                  <w:pPr>
                    <w:pStyle w:val="15"/>
                    <w:bidi w:val="0"/>
                    <w:rPr>
                      <w:rFonts w:hint="default" w:ascii="Times New Roman" w:hAnsi="Times New Roman" w:cs="Times New Roman"/>
                      <w:highlight w:val="none"/>
                      <w:lang w:val="en-US" w:eastAsia="zh-CN"/>
                    </w:rPr>
                  </w:pPr>
                </w:p>
              </w:tc>
              <w:tc>
                <w:tcPr>
                  <w:tcW w:w="299" w:type="pct"/>
                  <w:tcBorders>
                    <w:tl2br w:val="nil"/>
                    <w:tr2bl w:val="nil"/>
                  </w:tcBorders>
                  <w:vAlign w:val="center"/>
                </w:tcPr>
                <w:p>
                  <w:pPr>
                    <w:pStyle w:val="15"/>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左岸</w:t>
                  </w:r>
                </w:p>
              </w:tc>
              <w:tc>
                <w:tcPr>
                  <w:tcW w:w="557" w:type="pct"/>
                  <w:tcBorders>
                    <w:tl2br w:val="nil"/>
                    <w:tr2bl w:val="nil"/>
                  </w:tcBorders>
                  <w:vAlign w:val="center"/>
                </w:tcPr>
                <w:p>
                  <w:pPr>
                    <w:pStyle w:val="15"/>
                    <w:bidi w:val="0"/>
                    <w:rPr>
                      <w:rFonts w:hint="default" w:ascii="Times New Roman" w:hAnsi="Times New Roman" w:cs="Times New Roman"/>
                      <w:highlight w:val="none"/>
                      <w:lang w:val="en-US" w:eastAsia="zh-CN"/>
                    </w:rPr>
                  </w:pPr>
                  <w:r>
                    <w:rPr>
                      <w:rFonts w:hint="default"/>
                      <w:highlight w:val="none"/>
                      <w:lang w:val="en-US" w:eastAsia="zh-CN"/>
                    </w:rPr>
                    <w:t>160.65</w:t>
                  </w:r>
                </w:p>
              </w:tc>
              <w:tc>
                <w:tcPr>
                  <w:tcW w:w="758" w:type="pct"/>
                  <w:tcBorders>
                    <w:tl2br w:val="nil"/>
                    <w:tr2bl w:val="nil"/>
                  </w:tcBorders>
                  <w:vAlign w:val="center"/>
                </w:tcPr>
                <w:p>
                  <w:pPr>
                    <w:pStyle w:val="15"/>
                    <w:bidi w:val="0"/>
                    <w:rPr>
                      <w:rFonts w:hint="default" w:ascii="Times New Roman" w:hAnsi="Times New Roman" w:cs="Times New Roman"/>
                      <w:highlight w:val="none"/>
                    </w:rPr>
                  </w:pPr>
                  <w:r>
                    <w:rPr>
                      <w:rFonts w:hint="eastAsia" w:ascii="Times New Roman" w:hAnsi="Times New Roman" w:eastAsia="宋体" w:cs="Times New Roman"/>
                      <w:sz w:val="21"/>
                      <w:szCs w:val="21"/>
                      <w:highlight w:val="none"/>
                      <w:vertAlign w:val="baseline"/>
                      <w:lang w:val="en-US" w:eastAsia="zh-CN"/>
                    </w:rPr>
                    <w:t>油左0+000.00</w:t>
                  </w:r>
                </w:p>
              </w:tc>
              <w:tc>
                <w:tcPr>
                  <w:tcW w:w="780" w:type="pct"/>
                  <w:tcBorders>
                    <w:tl2br w:val="nil"/>
                    <w:tr2bl w:val="nil"/>
                  </w:tcBorders>
                  <w:vAlign w:val="center"/>
                </w:tcPr>
                <w:p>
                  <w:pPr>
                    <w:pStyle w:val="15"/>
                    <w:bidi w:val="0"/>
                    <w:rPr>
                      <w:rFonts w:hint="default" w:ascii="Times New Roman" w:hAnsi="Times New Roman" w:cs="Times New Roman"/>
                      <w:highlight w:val="none"/>
                      <w:lang w:val="en-US"/>
                    </w:rPr>
                  </w:pPr>
                  <w:r>
                    <w:rPr>
                      <w:rFonts w:hint="eastAsia" w:ascii="Times New Roman" w:hAnsi="Times New Roman" w:eastAsia="宋体" w:cs="Times New Roman"/>
                      <w:sz w:val="21"/>
                      <w:szCs w:val="21"/>
                      <w:highlight w:val="none"/>
                      <w:vertAlign w:val="baseline"/>
                      <w:lang w:val="en-US" w:eastAsia="zh-CN"/>
                    </w:rPr>
                    <w:t>油左0+165.65</w:t>
                  </w:r>
                </w:p>
              </w:tc>
              <w:tc>
                <w:tcPr>
                  <w:tcW w:w="1007" w:type="pct"/>
                  <w:tcBorders>
                    <w:tl2br w:val="nil"/>
                    <w:tr2bl w:val="nil"/>
                  </w:tcBorders>
                  <w:vAlign w:val="center"/>
                </w:tcPr>
                <w:p>
                  <w:pPr>
                    <w:pStyle w:val="15"/>
                    <w:bidi w:val="0"/>
                    <w:rPr>
                      <w:rFonts w:hint="default" w:ascii="Times New Roman" w:hAnsi="Times New Roman" w:cs="Times New Roman"/>
                      <w:highlight w:val="none"/>
                    </w:rPr>
                  </w:pPr>
                  <w:r>
                    <w:rPr>
                      <w:rFonts w:hint="eastAsia"/>
                      <w:highlight w:val="none"/>
                      <w:lang w:val="en-US" w:eastAsia="zh-CN"/>
                    </w:rPr>
                    <w:t>E</w:t>
                  </w:r>
                  <w:r>
                    <w:rPr>
                      <w:rFonts w:hint="default" w:ascii="Times New Roman" w:hAnsi="Times New Roman" w:cs="Times New Roman"/>
                      <w:highlight w:val="none"/>
                      <w:lang w:val="en-US" w:eastAsia="zh-CN"/>
                    </w:rPr>
                    <w:t>107°39′38.16″</w:t>
                  </w:r>
                  <w:r>
                    <w:rPr>
                      <w:rFonts w:hint="eastAsia" w:ascii="Times New Roman" w:hAnsi="Times New Roman" w:cs="Times New Roman"/>
                      <w:highlight w:val="none"/>
                      <w:lang w:val="en-US" w:eastAsia="zh-CN"/>
                    </w:rPr>
                    <w:t>，</w:t>
                  </w:r>
                  <w:r>
                    <w:rPr>
                      <w:rFonts w:hint="eastAsia" w:cs="Times New Roman"/>
                      <w:highlight w:val="none"/>
                      <w:lang w:val="en-US" w:eastAsia="zh-CN"/>
                    </w:rPr>
                    <w:t>N</w:t>
                  </w:r>
                  <w:r>
                    <w:rPr>
                      <w:rFonts w:hint="default" w:ascii="Times New Roman" w:hAnsi="Times New Roman" w:cs="Times New Roman"/>
                      <w:highlight w:val="none"/>
                      <w:lang w:val="en-US" w:eastAsia="zh-CN"/>
                    </w:rPr>
                    <w:t>31°33′58.31″</w:t>
                  </w:r>
                </w:p>
              </w:tc>
              <w:tc>
                <w:tcPr>
                  <w:tcW w:w="999" w:type="pct"/>
                  <w:tcBorders>
                    <w:tl2br w:val="nil"/>
                    <w:tr2bl w:val="nil"/>
                  </w:tcBorders>
                  <w:vAlign w:val="center"/>
                </w:tcPr>
                <w:p>
                  <w:pPr>
                    <w:pStyle w:val="15"/>
                    <w:bidi w:val="0"/>
                    <w:rPr>
                      <w:rFonts w:hint="default" w:ascii="Times New Roman" w:hAnsi="Times New Roman" w:cs="Times New Roman"/>
                      <w:highlight w:val="none"/>
                    </w:rPr>
                  </w:pPr>
                  <w:r>
                    <w:rPr>
                      <w:rFonts w:hint="eastAsia" w:cs="Times New Roman"/>
                      <w:highlight w:val="none"/>
                      <w:lang w:val="en-US" w:eastAsia="zh-CN"/>
                    </w:rPr>
                    <w:t>E</w:t>
                  </w:r>
                  <w:r>
                    <w:rPr>
                      <w:rFonts w:hint="default" w:ascii="Times New Roman" w:hAnsi="Times New Roman" w:cs="Times New Roman"/>
                      <w:highlight w:val="none"/>
                    </w:rPr>
                    <w:t>107°39′36.19″</w:t>
                  </w:r>
                  <w:r>
                    <w:rPr>
                      <w:rFonts w:hint="eastAsia" w:ascii="Times New Roman" w:hAnsi="Times New Roman" w:cs="Times New Roman"/>
                      <w:highlight w:val="none"/>
                      <w:lang w:eastAsia="zh-CN"/>
                    </w:rPr>
                    <w:t>，</w:t>
                  </w:r>
                  <w:r>
                    <w:rPr>
                      <w:rFonts w:hint="eastAsia" w:cs="Times New Roman"/>
                      <w:highlight w:val="none"/>
                      <w:lang w:val="en-US" w:eastAsia="zh-CN"/>
                    </w:rPr>
                    <w:t>N</w:t>
                  </w:r>
                  <w:r>
                    <w:rPr>
                      <w:rFonts w:hint="default" w:ascii="Times New Roman" w:hAnsi="Times New Roman" w:cs="Times New Roman"/>
                      <w:highlight w:val="none"/>
                    </w:rPr>
                    <w:t>31°33′53.33″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98" w:type="pct"/>
                  <w:vMerge w:val="continue"/>
                  <w:tcBorders>
                    <w:tl2br w:val="nil"/>
                    <w:tr2bl w:val="nil"/>
                  </w:tcBorders>
                  <w:vAlign w:val="center"/>
                </w:tcPr>
                <w:p>
                  <w:pPr>
                    <w:pStyle w:val="15"/>
                    <w:bidi w:val="0"/>
                    <w:rPr>
                      <w:rFonts w:hint="default" w:ascii="Times New Roman" w:hAnsi="Times New Roman" w:cs="Times New Roman"/>
                      <w:highlight w:val="none"/>
                      <w:lang w:val="en-US" w:eastAsia="zh-CN"/>
                    </w:rPr>
                  </w:pPr>
                </w:p>
              </w:tc>
              <w:tc>
                <w:tcPr>
                  <w:tcW w:w="299" w:type="pct"/>
                  <w:vMerge w:val="restart"/>
                  <w:tcBorders>
                    <w:tl2br w:val="nil"/>
                    <w:tr2bl w:val="nil"/>
                  </w:tcBorders>
                  <w:vAlign w:val="center"/>
                </w:tcPr>
                <w:p>
                  <w:pPr>
                    <w:pStyle w:val="15"/>
                    <w:bidi w:val="0"/>
                    <w:rPr>
                      <w:rFonts w:hint="default" w:ascii="Times New Roman" w:hAnsi="Times New Roman" w:cs="Times New Roman"/>
                      <w:highlight w:val="none"/>
                      <w:lang w:val="en-US" w:eastAsia="zh-CN"/>
                    </w:rPr>
                  </w:pPr>
                  <w:r>
                    <w:rPr>
                      <w:rFonts w:hint="eastAsia" w:cs="Times New Roman"/>
                      <w:highlight w:val="none"/>
                      <w:lang w:val="en-US" w:eastAsia="zh-CN"/>
                    </w:rPr>
                    <w:t>胡家河</w:t>
                  </w:r>
                </w:p>
              </w:tc>
              <w:tc>
                <w:tcPr>
                  <w:tcW w:w="299" w:type="pct"/>
                  <w:tcBorders>
                    <w:tl2br w:val="nil"/>
                    <w:tr2bl w:val="nil"/>
                  </w:tcBorders>
                  <w:vAlign w:val="center"/>
                </w:tcPr>
                <w:p>
                  <w:pPr>
                    <w:pStyle w:val="15"/>
                    <w:bidi w:val="0"/>
                    <w:ind w:firstLine="0" w:firstLineChars="0"/>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highlight w:val="none"/>
                      <w:lang w:val="en-US" w:eastAsia="zh-CN"/>
                    </w:rPr>
                    <w:t>左岸</w:t>
                  </w:r>
                </w:p>
              </w:tc>
              <w:tc>
                <w:tcPr>
                  <w:tcW w:w="557" w:type="pct"/>
                  <w:tcBorders>
                    <w:tl2br w:val="nil"/>
                    <w:tr2bl w:val="nil"/>
                  </w:tcBorders>
                  <w:vAlign w:val="center"/>
                </w:tcPr>
                <w:p>
                  <w:pPr>
                    <w:pStyle w:val="15"/>
                    <w:bidi w:val="0"/>
                    <w:rPr>
                      <w:rFonts w:hint="default" w:ascii="Times New Roman" w:hAnsi="Times New Roman" w:cs="Times New Roman"/>
                      <w:highlight w:val="none"/>
                      <w:lang w:val="en-US" w:eastAsia="zh-CN"/>
                    </w:rPr>
                  </w:pPr>
                  <w:r>
                    <w:rPr>
                      <w:rFonts w:hint="default"/>
                      <w:highlight w:val="none"/>
                      <w:lang w:val="en-US" w:eastAsia="zh-CN"/>
                    </w:rPr>
                    <w:t>564.19</w:t>
                  </w:r>
                </w:p>
              </w:tc>
              <w:tc>
                <w:tcPr>
                  <w:tcW w:w="758" w:type="pct"/>
                  <w:tcBorders>
                    <w:tl2br w:val="nil"/>
                    <w:tr2bl w:val="nil"/>
                  </w:tcBorders>
                  <w:vAlign w:val="center"/>
                </w:tcPr>
                <w:p>
                  <w:pPr>
                    <w:pStyle w:val="15"/>
                    <w:bidi w:val="0"/>
                    <w:rPr>
                      <w:rFonts w:hint="default" w:ascii="Times New Roman" w:hAnsi="Times New Roman" w:cs="Times New Roman"/>
                      <w:highlight w:val="none"/>
                    </w:rPr>
                  </w:pPr>
                  <w:r>
                    <w:rPr>
                      <w:rFonts w:hint="eastAsia" w:ascii="Times New Roman" w:hAnsi="Times New Roman" w:eastAsia="宋体" w:cs="Times New Roman"/>
                      <w:sz w:val="21"/>
                      <w:szCs w:val="21"/>
                      <w:highlight w:val="none"/>
                      <w:vertAlign w:val="baseline"/>
                      <w:lang w:val="en-US" w:eastAsia="zh-CN"/>
                    </w:rPr>
                    <w:t>胡左0+000.00</w:t>
                  </w:r>
                </w:p>
              </w:tc>
              <w:tc>
                <w:tcPr>
                  <w:tcW w:w="780" w:type="pct"/>
                  <w:tcBorders>
                    <w:tl2br w:val="nil"/>
                    <w:tr2bl w:val="nil"/>
                  </w:tcBorders>
                  <w:vAlign w:val="center"/>
                </w:tcPr>
                <w:p>
                  <w:pPr>
                    <w:pStyle w:val="15"/>
                    <w:bidi w:val="0"/>
                    <w:rPr>
                      <w:rFonts w:hint="default" w:ascii="Times New Roman" w:hAnsi="Times New Roman" w:cs="Times New Roman"/>
                      <w:highlight w:val="none"/>
                      <w:lang w:val="en-US"/>
                    </w:rPr>
                  </w:pPr>
                  <w:r>
                    <w:rPr>
                      <w:rFonts w:hint="eastAsia" w:ascii="Times New Roman" w:hAnsi="Times New Roman" w:eastAsia="宋体" w:cs="Times New Roman"/>
                      <w:sz w:val="21"/>
                      <w:szCs w:val="21"/>
                      <w:highlight w:val="none"/>
                      <w:vertAlign w:val="baseline"/>
                      <w:lang w:val="en-US" w:eastAsia="zh-CN"/>
                    </w:rPr>
                    <w:t>胡左0+583.28</w:t>
                  </w:r>
                </w:p>
              </w:tc>
              <w:tc>
                <w:tcPr>
                  <w:tcW w:w="1007" w:type="pct"/>
                  <w:tcBorders>
                    <w:tl2br w:val="nil"/>
                    <w:tr2bl w:val="nil"/>
                  </w:tcBorders>
                  <w:vAlign w:val="center"/>
                </w:tcPr>
                <w:p>
                  <w:pPr>
                    <w:pStyle w:val="15"/>
                    <w:bidi w:val="0"/>
                    <w:rPr>
                      <w:rFonts w:hint="default" w:ascii="Times New Roman" w:hAnsi="Times New Roman" w:cs="Times New Roman"/>
                      <w:highlight w:val="none"/>
                    </w:rPr>
                  </w:pPr>
                  <w:r>
                    <w:rPr>
                      <w:rFonts w:hint="eastAsia"/>
                      <w:highlight w:val="none"/>
                      <w:lang w:val="en-US" w:eastAsia="zh-CN"/>
                    </w:rPr>
                    <w:t>E</w:t>
                  </w:r>
                  <w:r>
                    <w:rPr>
                      <w:rFonts w:hint="default" w:ascii="Times New Roman" w:hAnsi="Times New Roman" w:cs="Times New Roman"/>
                      <w:highlight w:val="none"/>
                      <w:lang w:val="en-US" w:eastAsia="zh-CN"/>
                    </w:rPr>
                    <w:t>107°38′49.90″</w:t>
                  </w:r>
                  <w:r>
                    <w:rPr>
                      <w:rFonts w:hint="eastAsia" w:ascii="Times New Roman" w:hAnsi="Times New Roman" w:cs="Times New Roman"/>
                      <w:highlight w:val="none"/>
                      <w:lang w:val="en-US" w:eastAsia="zh-CN"/>
                    </w:rPr>
                    <w:t>，</w:t>
                  </w:r>
                  <w:r>
                    <w:rPr>
                      <w:rFonts w:hint="eastAsia" w:cs="Times New Roman"/>
                      <w:highlight w:val="none"/>
                      <w:lang w:val="en-US" w:eastAsia="zh-CN"/>
                    </w:rPr>
                    <w:t>N</w:t>
                  </w:r>
                  <w:r>
                    <w:rPr>
                      <w:rFonts w:hint="default" w:ascii="Times New Roman" w:hAnsi="Times New Roman" w:cs="Times New Roman"/>
                      <w:highlight w:val="none"/>
                      <w:lang w:val="en-US" w:eastAsia="zh-CN"/>
                    </w:rPr>
                    <w:t>31°34′42.47″</w:t>
                  </w:r>
                </w:p>
              </w:tc>
              <w:tc>
                <w:tcPr>
                  <w:tcW w:w="999" w:type="pct"/>
                  <w:tcBorders>
                    <w:tl2br w:val="nil"/>
                    <w:tr2bl w:val="nil"/>
                  </w:tcBorders>
                  <w:vAlign w:val="center"/>
                </w:tcPr>
                <w:p>
                  <w:pPr>
                    <w:pStyle w:val="15"/>
                    <w:bidi w:val="0"/>
                    <w:rPr>
                      <w:rFonts w:hint="default" w:ascii="Times New Roman" w:hAnsi="Times New Roman" w:cs="Times New Roman"/>
                      <w:highlight w:val="none"/>
                    </w:rPr>
                  </w:pPr>
                  <w:r>
                    <w:rPr>
                      <w:rFonts w:hint="eastAsia"/>
                      <w:highlight w:val="none"/>
                      <w:lang w:val="en-US" w:eastAsia="zh-CN"/>
                    </w:rPr>
                    <w:t>E</w:t>
                  </w:r>
                  <w:r>
                    <w:rPr>
                      <w:rFonts w:hint="default" w:ascii="Times New Roman" w:hAnsi="Times New Roman" w:cs="Times New Roman"/>
                      <w:highlight w:val="none"/>
                    </w:rPr>
                    <w:t>107°38′55.34″</w:t>
                  </w:r>
                  <w:r>
                    <w:rPr>
                      <w:rFonts w:hint="eastAsia" w:ascii="Times New Roman" w:hAnsi="Times New Roman" w:cs="Times New Roman"/>
                      <w:highlight w:val="none"/>
                      <w:lang w:eastAsia="zh-CN"/>
                    </w:rPr>
                    <w:t>，</w:t>
                  </w:r>
                  <w:r>
                    <w:rPr>
                      <w:rFonts w:hint="eastAsia" w:cs="Times New Roman"/>
                      <w:highlight w:val="none"/>
                      <w:lang w:val="en-US" w:eastAsia="zh-CN"/>
                    </w:rPr>
                    <w:t>N</w:t>
                  </w:r>
                  <w:r>
                    <w:rPr>
                      <w:rFonts w:hint="default" w:ascii="Times New Roman" w:hAnsi="Times New Roman" w:cs="Times New Roman"/>
                      <w:highlight w:val="none"/>
                    </w:rPr>
                    <w:t>31°34′25.78″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98" w:type="pct"/>
                  <w:vMerge w:val="continue"/>
                  <w:tcBorders>
                    <w:tl2br w:val="nil"/>
                    <w:tr2bl w:val="nil"/>
                  </w:tcBorders>
                  <w:vAlign w:val="center"/>
                </w:tcPr>
                <w:p>
                  <w:pPr>
                    <w:pStyle w:val="15"/>
                    <w:bidi w:val="0"/>
                    <w:rPr>
                      <w:rFonts w:hint="default" w:ascii="Times New Roman" w:hAnsi="Times New Roman" w:cs="Times New Roman"/>
                      <w:highlight w:val="none"/>
                      <w:lang w:val="en-US" w:eastAsia="zh-CN"/>
                    </w:rPr>
                  </w:pPr>
                </w:p>
              </w:tc>
              <w:tc>
                <w:tcPr>
                  <w:tcW w:w="299" w:type="pct"/>
                  <w:vMerge w:val="continue"/>
                  <w:tcBorders>
                    <w:tl2br w:val="nil"/>
                    <w:tr2bl w:val="nil"/>
                  </w:tcBorders>
                  <w:vAlign w:val="center"/>
                </w:tcPr>
                <w:p>
                  <w:pPr>
                    <w:pStyle w:val="15"/>
                    <w:bidi w:val="0"/>
                    <w:rPr>
                      <w:rFonts w:hint="default" w:ascii="Times New Roman" w:hAnsi="Times New Roman" w:cs="Times New Roman"/>
                      <w:highlight w:val="none"/>
                      <w:lang w:val="en-US" w:eastAsia="zh-CN"/>
                    </w:rPr>
                  </w:pPr>
                </w:p>
              </w:tc>
              <w:tc>
                <w:tcPr>
                  <w:tcW w:w="299" w:type="pct"/>
                  <w:tcBorders>
                    <w:tl2br w:val="nil"/>
                    <w:tr2bl w:val="nil"/>
                  </w:tcBorders>
                  <w:vAlign w:val="center"/>
                </w:tcPr>
                <w:p>
                  <w:pPr>
                    <w:pStyle w:val="15"/>
                    <w:bidi w:val="0"/>
                    <w:ind w:firstLine="0" w:firstLineChars="0"/>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cs="Times New Roman"/>
                      <w:highlight w:val="none"/>
                      <w:lang w:val="en-US" w:eastAsia="zh-CN"/>
                    </w:rPr>
                    <w:t>右岸</w:t>
                  </w:r>
                </w:p>
              </w:tc>
              <w:tc>
                <w:tcPr>
                  <w:tcW w:w="557" w:type="pct"/>
                  <w:tcBorders>
                    <w:tl2br w:val="nil"/>
                    <w:tr2bl w:val="nil"/>
                  </w:tcBorders>
                  <w:vAlign w:val="center"/>
                </w:tcPr>
                <w:p>
                  <w:pPr>
                    <w:pStyle w:val="15"/>
                    <w:bidi w:val="0"/>
                    <w:rPr>
                      <w:rFonts w:hint="default" w:ascii="Times New Roman" w:hAnsi="Times New Roman" w:cs="Times New Roman"/>
                      <w:highlight w:val="none"/>
                      <w:lang w:val="en-US" w:eastAsia="zh-CN"/>
                    </w:rPr>
                  </w:pPr>
                  <w:r>
                    <w:rPr>
                      <w:rFonts w:hint="default"/>
                      <w:highlight w:val="none"/>
                      <w:lang w:val="en-US" w:eastAsia="zh-CN"/>
                    </w:rPr>
                    <w:t>194.28</w:t>
                  </w:r>
                </w:p>
              </w:tc>
              <w:tc>
                <w:tcPr>
                  <w:tcW w:w="758" w:type="pct"/>
                  <w:tcBorders>
                    <w:tl2br w:val="nil"/>
                    <w:tr2bl w:val="nil"/>
                  </w:tcBorders>
                  <w:vAlign w:val="center"/>
                </w:tcPr>
                <w:p>
                  <w:pPr>
                    <w:pStyle w:val="15"/>
                    <w:bidi w:val="0"/>
                    <w:rPr>
                      <w:rFonts w:hint="default" w:ascii="Times New Roman" w:hAnsi="Times New Roman" w:cs="Times New Roman"/>
                      <w:highlight w:val="none"/>
                    </w:rPr>
                  </w:pPr>
                  <w:r>
                    <w:rPr>
                      <w:rFonts w:hint="eastAsia" w:ascii="Times New Roman" w:hAnsi="Times New Roman" w:eastAsia="宋体" w:cs="Times New Roman"/>
                      <w:sz w:val="21"/>
                      <w:szCs w:val="21"/>
                      <w:highlight w:val="none"/>
                      <w:vertAlign w:val="baseline"/>
                      <w:lang w:val="en-US" w:eastAsia="zh-CN"/>
                    </w:rPr>
                    <w:t>胡右0+000.00</w:t>
                  </w:r>
                </w:p>
              </w:tc>
              <w:tc>
                <w:tcPr>
                  <w:tcW w:w="780" w:type="pct"/>
                  <w:tcBorders>
                    <w:tl2br w:val="nil"/>
                    <w:tr2bl w:val="nil"/>
                  </w:tcBorders>
                  <w:vAlign w:val="center"/>
                </w:tcPr>
                <w:p>
                  <w:pPr>
                    <w:pStyle w:val="15"/>
                    <w:bidi w:val="0"/>
                    <w:rPr>
                      <w:rFonts w:hint="default" w:ascii="Times New Roman" w:hAnsi="Times New Roman" w:cs="Times New Roman"/>
                      <w:highlight w:val="none"/>
                      <w:lang w:val="en-US"/>
                    </w:rPr>
                  </w:pPr>
                  <w:r>
                    <w:rPr>
                      <w:rFonts w:hint="eastAsia" w:ascii="Times New Roman" w:hAnsi="Times New Roman" w:eastAsia="宋体" w:cs="Times New Roman"/>
                      <w:sz w:val="21"/>
                      <w:szCs w:val="21"/>
                      <w:highlight w:val="none"/>
                      <w:vertAlign w:val="baseline"/>
                      <w:lang w:val="en-US" w:eastAsia="zh-CN"/>
                    </w:rPr>
                    <w:t>胡右0+194.28</w:t>
                  </w:r>
                </w:p>
              </w:tc>
              <w:tc>
                <w:tcPr>
                  <w:tcW w:w="1007" w:type="pct"/>
                  <w:tcBorders>
                    <w:tl2br w:val="nil"/>
                    <w:tr2bl w:val="nil"/>
                  </w:tcBorders>
                  <w:vAlign w:val="center"/>
                </w:tcPr>
                <w:p>
                  <w:pPr>
                    <w:pStyle w:val="15"/>
                    <w:bidi w:val="0"/>
                    <w:rPr>
                      <w:rFonts w:hint="default" w:ascii="Times New Roman" w:hAnsi="Times New Roman" w:cs="Times New Roman"/>
                      <w:highlight w:val="none"/>
                    </w:rPr>
                  </w:pPr>
                  <w:r>
                    <w:rPr>
                      <w:rFonts w:hint="eastAsia"/>
                      <w:highlight w:val="none"/>
                      <w:lang w:val="en-US" w:eastAsia="zh-CN"/>
                    </w:rPr>
                    <w:t>E</w:t>
                  </w:r>
                  <w:r>
                    <w:rPr>
                      <w:rFonts w:hint="default" w:ascii="Times New Roman" w:hAnsi="Times New Roman" w:cs="Times New Roman"/>
                      <w:highlight w:val="none"/>
                      <w:lang w:val="en-US" w:eastAsia="zh-CN"/>
                    </w:rPr>
                    <w:t>107°39′12.99″</w:t>
                  </w:r>
                  <w:r>
                    <w:rPr>
                      <w:rFonts w:hint="eastAsia" w:ascii="Times New Roman" w:hAnsi="Times New Roman" w:cs="Times New Roman"/>
                      <w:highlight w:val="none"/>
                      <w:lang w:val="en-US" w:eastAsia="zh-CN"/>
                    </w:rPr>
                    <w:t>，</w:t>
                  </w:r>
                  <w:r>
                    <w:rPr>
                      <w:rFonts w:hint="eastAsia" w:cs="Times New Roman"/>
                      <w:highlight w:val="none"/>
                      <w:lang w:val="en-US" w:eastAsia="zh-CN"/>
                    </w:rPr>
                    <w:t>N</w:t>
                  </w:r>
                  <w:r>
                    <w:rPr>
                      <w:rFonts w:hint="default" w:ascii="Times New Roman" w:hAnsi="Times New Roman" w:cs="Times New Roman"/>
                      <w:highlight w:val="none"/>
                      <w:lang w:val="en-US" w:eastAsia="zh-CN"/>
                    </w:rPr>
                    <w:t>31°34′5.48″</w:t>
                  </w:r>
                </w:p>
              </w:tc>
              <w:tc>
                <w:tcPr>
                  <w:tcW w:w="999" w:type="pct"/>
                  <w:tcBorders>
                    <w:tl2br w:val="nil"/>
                    <w:tr2bl w:val="nil"/>
                  </w:tcBorders>
                  <w:vAlign w:val="center"/>
                </w:tcPr>
                <w:p>
                  <w:pPr>
                    <w:pStyle w:val="15"/>
                    <w:bidi w:val="0"/>
                    <w:rPr>
                      <w:rFonts w:hint="default" w:ascii="Times New Roman" w:hAnsi="Times New Roman" w:cs="Times New Roman"/>
                      <w:highlight w:val="none"/>
                    </w:rPr>
                  </w:pPr>
                  <w:r>
                    <w:rPr>
                      <w:rFonts w:hint="eastAsia" w:cs="Times New Roman"/>
                      <w:highlight w:val="none"/>
                      <w:lang w:val="en-US" w:eastAsia="zh-CN"/>
                    </w:rPr>
                    <w:t>E</w:t>
                  </w:r>
                  <w:r>
                    <w:rPr>
                      <w:rFonts w:hint="default" w:ascii="Times New Roman" w:hAnsi="Times New Roman" w:cs="Times New Roman"/>
                      <w:highlight w:val="none"/>
                    </w:rPr>
                    <w:t>107°39′19.00″</w:t>
                  </w:r>
                  <w:r>
                    <w:rPr>
                      <w:rFonts w:hint="eastAsia" w:ascii="Times New Roman" w:hAnsi="Times New Roman" w:cs="Times New Roman"/>
                      <w:highlight w:val="none"/>
                      <w:lang w:eastAsia="zh-CN"/>
                    </w:rPr>
                    <w:t>，</w:t>
                  </w:r>
                  <w:r>
                    <w:rPr>
                      <w:rFonts w:hint="eastAsia" w:cs="Times New Roman"/>
                      <w:highlight w:val="none"/>
                      <w:lang w:val="en-US" w:eastAsia="zh-CN"/>
                    </w:rPr>
                    <w:t>N</w:t>
                  </w:r>
                  <w:r>
                    <w:rPr>
                      <w:rFonts w:hint="default" w:ascii="Times New Roman" w:hAnsi="Times New Roman" w:cs="Times New Roman"/>
                      <w:highlight w:val="none"/>
                    </w:rPr>
                    <w:t>31°34′1.76″</w:t>
                  </w:r>
                </w:p>
              </w:tc>
            </w:tr>
          </w:tbl>
          <w:p>
            <w:pPr>
              <w:bidi w:val="0"/>
              <w:rPr>
                <w:rFonts w:hint="eastAsia" w:eastAsia="宋体"/>
                <w:highlight w:val="none"/>
                <w:lang w:val="en-US" w:eastAsia="zh-CN"/>
              </w:rPr>
            </w:pPr>
            <w:r>
              <w:rPr>
                <w:rFonts w:hint="default" w:ascii="Times New Roman" w:hAnsi="Times New Roman" w:cs="Times New Roman"/>
                <w:color w:val="auto"/>
                <w:highlight w:val="none"/>
                <w:lang w:val="en-US" w:eastAsia="zh-CN"/>
              </w:rPr>
              <w:t>根据初步设计资料，</w:t>
            </w:r>
            <w:r>
              <w:rPr>
                <w:rFonts w:hint="default"/>
                <w:highlight w:val="none"/>
                <w:lang w:val="en-US" w:eastAsia="zh-CN"/>
              </w:rPr>
              <w:t>油坊沟设计堤距为</w:t>
            </w:r>
            <w:r>
              <w:rPr>
                <w:rFonts w:hint="default"/>
                <w:highlight w:val="none"/>
              </w:rPr>
              <w:t>15.0~25.0m</w:t>
            </w:r>
            <w:r>
              <w:rPr>
                <w:rFonts w:hint="default"/>
                <w:highlight w:val="none"/>
                <w:lang w:eastAsia="zh-CN"/>
              </w:rPr>
              <w:t>，</w:t>
            </w:r>
            <w:r>
              <w:rPr>
                <w:rFonts w:hint="default" w:ascii="Times New Roman" w:hAnsi="Times New Roman" w:cs="Times New Roman"/>
                <w:highlight w:val="none"/>
                <w:lang w:val="zh-CN"/>
              </w:rPr>
              <w:t>堤线分左、右岸布置，堤线布置顺应河势</w:t>
            </w:r>
            <w:r>
              <w:rPr>
                <w:rFonts w:hint="default"/>
                <w:highlight w:val="none"/>
                <w:lang w:eastAsia="zh-CN"/>
              </w:rPr>
              <w:t>。</w:t>
            </w:r>
            <w:r>
              <w:rPr>
                <w:rFonts w:hint="eastAsia"/>
                <w:highlight w:val="none"/>
                <w:lang w:val="en-US" w:eastAsia="zh-CN"/>
              </w:rPr>
              <w:t>两</w:t>
            </w:r>
            <w:r>
              <w:rPr>
                <w:rFonts w:hint="default"/>
                <w:highlight w:val="none"/>
              </w:rPr>
              <w:t>岸堤防设计为重力式挡墙，</w:t>
            </w:r>
            <w:r>
              <w:rPr>
                <w:rFonts w:hint="eastAsia"/>
                <w:highlight w:val="none"/>
                <w:lang w:val="en-US" w:eastAsia="zh-CN"/>
              </w:rPr>
              <w:t>右岸</w:t>
            </w:r>
            <w:r>
              <w:rPr>
                <w:rFonts w:hint="default"/>
                <w:highlight w:val="none"/>
              </w:rPr>
              <w:t>高4.3m，</w:t>
            </w:r>
            <w:r>
              <w:rPr>
                <w:rFonts w:hint="eastAsia"/>
                <w:highlight w:val="none"/>
                <w:lang w:val="en-US" w:eastAsia="zh-CN"/>
              </w:rPr>
              <w:t>左岸</w:t>
            </w:r>
            <w:r>
              <w:rPr>
                <w:rFonts w:hint="default"/>
                <w:highlight w:val="none"/>
              </w:rPr>
              <w:t>高4.8m，堤顶宽度为3.0m</w:t>
            </w:r>
            <w:r>
              <w:rPr>
                <w:rFonts w:hint="eastAsia"/>
                <w:highlight w:val="none"/>
                <w:lang w:eastAsia="zh-CN"/>
              </w:rPr>
              <w:t>。</w:t>
            </w:r>
            <w:r>
              <w:rPr>
                <w:rFonts w:hint="default"/>
                <w:highlight w:val="none"/>
                <w:lang w:val="en-US" w:eastAsia="zh-CN"/>
              </w:rPr>
              <w:t>胡家河设计堤距为</w:t>
            </w:r>
            <w:r>
              <w:rPr>
                <w:rFonts w:hint="default"/>
                <w:highlight w:val="none"/>
              </w:rPr>
              <w:t>15.0~25.0m</w:t>
            </w:r>
            <w:r>
              <w:rPr>
                <w:rFonts w:hint="default"/>
                <w:highlight w:val="none"/>
                <w:lang w:eastAsia="zh-CN"/>
              </w:rPr>
              <w:t>，</w:t>
            </w:r>
            <w:r>
              <w:rPr>
                <w:rFonts w:hint="default" w:ascii="Times New Roman" w:hAnsi="Times New Roman" w:cs="Times New Roman"/>
                <w:highlight w:val="none"/>
                <w:lang w:val="zh-CN"/>
              </w:rPr>
              <w:t>堤线分左、右岸布置，堤线布置顺应河势</w:t>
            </w:r>
            <w:r>
              <w:rPr>
                <w:rFonts w:hint="default"/>
                <w:highlight w:val="none"/>
                <w:lang w:eastAsia="zh-CN"/>
              </w:rPr>
              <w:t>。</w:t>
            </w:r>
            <w:r>
              <w:rPr>
                <w:rFonts w:hint="eastAsia"/>
                <w:highlight w:val="none"/>
                <w:lang w:val="en-US" w:eastAsia="zh-CN"/>
              </w:rPr>
              <w:t>两</w:t>
            </w:r>
            <w:r>
              <w:rPr>
                <w:rFonts w:hint="default"/>
                <w:highlight w:val="none"/>
              </w:rPr>
              <w:t>岸堤防设计为衡重式挡墙，高4.0m</w:t>
            </w:r>
            <w:r>
              <w:rPr>
                <w:rFonts w:hint="eastAsia"/>
                <w:highlight w:val="none"/>
                <w:lang w:eastAsia="zh-CN"/>
              </w:rPr>
              <w:t>，</w:t>
            </w:r>
            <w:r>
              <w:rPr>
                <w:rFonts w:hint="default"/>
                <w:highlight w:val="none"/>
              </w:rPr>
              <w:t>堤顶宽度为3.0m</w:t>
            </w:r>
            <w:r>
              <w:rPr>
                <w:rFonts w:hint="eastAsia"/>
                <w:highlight w:val="none"/>
                <w:lang w:eastAsia="zh-CN"/>
              </w:rPr>
              <w:t>。</w:t>
            </w:r>
          </w:p>
          <w:p>
            <w:pPr>
              <w:bidi w:val="0"/>
              <w:rPr>
                <w:highlight w:val="none"/>
              </w:rPr>
            </w:pPr>
            <w:r>
              <w:rPr>
                <w:rFonts w:hint="eastAsia"/>
                <w:highlight w:val="none"/>
                <w:lang w:val="en-US" w:eastAsia="zh-CN"/>
              </w:rPr>
              <w:t>工</w:t>
            </w:r>
            <w:r>
              <w:rPr>
                <w:highlight w:val="none"/>
              </w:rPr>
              <w:t>程建成后将大幅度减少胡家镇场镇的洪灾损失，保护场镇及附近居民人口3800人，耕地面积1500亩。</w:t>
            </w:r>
          </w:p>
          <w:p>
            <w:pPr>
              <w:bidi w:val="0"/>
              <w:rPr>
                <w:rFonts w:hint="default" w:ascii="Times New Roman" w:hAnsi="Times New Roman" w:eastAsia="宋体" w:cs="Times New Roman"/>
                <w:highlight w:val="none"/>
                <w:lang w:val="en-US" w:eastAsia="zh-CN"/>
              </w:rPr>
            </w:pPr>
            <w:r>
              <w:rPr>
                <w:rFonts w:hint="default" w:ascii="Times New Roman" w:hAnsi="Times New Roman" w:cs="Times New Roman"/>
                <w:highlight w:val="none"/>
                <w:lang w:val="en-US" w:eastAsia="zh-CN"/>
              </w:rPr>
              <w:t>其</w:t>
            </w:r>
            <w:r>
              <w:rPr>
                <w:rFonts w:hint="default" w:ascii="Times New Roman" w:hAnsi="Times New Roman" w:cs="Times New Roman"/>
                <w:color w:val="auto"/>
                <w:highlight w:val="none"/>
                <w:lang w:val="en-US" w:eastAsia="zh-CN"/>
              </w:rPr>
              <w:t>堤防工程平面布置详见附图</w:t>
            </w:r>
            <w:r>
              <w:rPr>
                <w:rFonts w:hint="eastAsia" w:cs="Times New Roman"/>
                <w:color w:val="auto"/>
                <w:highlight w:val="none"/>
                <w:lang w:val="en-US" w:eastAsia="zh-CN"/>
              </w:rPr>
              <w:t>4</w:t>
            </w:r>
            <w:r>
              <w:rPr>
                <w:rFonts w:hint="default" w:ascii="Times New Roman" w:hAnsi="Times New Roman" w:cs="Times New Roman"/>
                <w:color w:val="auto"/>
                <w:highlight w:val="none"/>
                <w:lang w:val="en-US" w:eastAsia="zh-CN"/>
              </w:rPr>
              <w:t>。</w:t>
            </w:r>
          </w:p>
          <w:p>
            <w:pPr>
              <w:tabs>
                <w:tab w:val="left" w:pos="435"/>
              </w:tabs>
              <w:bidi w:val="0"/>
              <w:rPr>
                <w:rFonts w:hint="default" w:ascii="Times New Roman" w:hAnsi="Times New Roman" w:cs="Times New Roman"/>
                <w:highlight w:val="none"/>
                <w:lang w:val="en-US" w:eastAsia="zh-CN"/>
              </w:rPr>
            </w:pPr>
            <w:r>
              <w:rPr>
                <w:rFonts w:hint="default" w:ascii="Times New Roman" w:hAnsi="Times New Roman" w:cs="Times New Roman"/>
                <w:b/>
                <w:color w:val="auto"/>
                <w:sz w:val="24"/>
                <w:highlight w:val="none"/>
                <w:lang w:val="en-US" w:eastAsia="zh-CN"/>
              </w:rPr>
              <w:t>二、</w:t>
            </w:r>
            <w:r>
              <w:rPr>
                <w:rFonts w:hint="default" w:ascii="Times New Roman" w:hAnsi="Times New Roman" w:cs="Times New Roman"/>
                <w:b/>
                <w:color w:val="auto"/>
                <w:sz w:val="24"/>
                <w:highlight w:val="none"/>
              </w:rPr>
              <w:t>施工场地布置</w:t>
            </w:r>
          </w:p>
          <w:p>
            <w:pPr>
              <w:rPr>
                <w:rFonts w:hint="default" w:ascii="Times New Roman" w:hAnsi="Times New Roman" w:eastAsia="宋体" w:cs="Times New Roman"/>
                <w:b/>
                <w:bCs/>
                <w:highlight w:val="none"/>
                <w:lang w:val="en-US" w:eastAsia="zh-CN"/>
              </w:rPr>
            </w:pPr>
            <w:r>
              <w:rPr>
                <w:rFonts w:hint="eastAsia" w:cs="Times New Roman"/>
                <w:b/>
                <w:bCs/>
                <w:highlight w:val="none"/>
                <w:lang w:val="en-US" w:eastAsia="zh-CN"/>
              </w:rPr>
              <w:t>1、施工工区</w:t>
            </w:r>
          </w:p>
          <w:p>
            <w:pPr>
              <w:rPr>
                <w:highlight w:val="none"/>
              </w:rPr>
            </w:pPr>
            <w:r>
              <w:rPr>
                <w:rFonts w:hint="default" w:ascii="Times New Roman" w:hAnsi="Times New Roman" w:cs="Times New Roman"/>
                <w:highlight w:val="none"/>
              </w:rPr>
              <w:t>施工总体布置遵循因地制宜，有利生产、生活，易于管理，经济合理的原则。本项目工程</w:t>
            </w:r>
            <w:r>
              <w:rPr>
                <w:rFonts w:hint="eastAsia" w:cs="Times New Roman"/>
                <w:highlight w:val="none"/>
                <w:lang w:val="en-US" w:eastAsia="zh-CN"/>
              </w:rPr>
              <w:t>布设</w:t>
            </w:r>
            <w:r>
              <w:rPr>
                <w:rFonts w:hint="default" w:ascii="Times New Roman" w:hAnsi="Times New Roman" w:cs="Times New Roman"/>
                <w:highlight w:val="none"/>
                <w:lang w:val="en-US" w:eastAsia="zh-CN"/>
              </w:rPr>
              <w:t>2处集中施工工区</w:t>
            </w:r>
            <w:r>
              <w:rPr>
                <w:rFonts w:hint="default" w:ascii="Times New Roman" w:hAnsi="Times New Roman" w:cs="Times New Roman"/>
                <w:highlight w:val="none"/>
              </w:rPr>
              <w:t>，</w:t>
            </w:r>
            <w:r>
              <w:rPr>
                <w:rFonts w:hint="eastAsia" w:ascii="Times New Roman" w:hAnsi="Times New Roman" w:cs="Times New Roman"/>
                <w:highlight w:val="none"/>
                <w:lang w:val="en-US" w:eastAsia="zh-CN"/>
              </w:rPr>
              <w:t>分别为</w:t>
            </w:r>
            <w:r>
              <w:rPr>
                <w:spacing w:val="12"/>
                <w:highlight w:val="none"/>
              </w:rPr>
              <w:t>油坊沟</w:t>
            </w:r>
            <w:r>
              <w:rPr>
                <w:rFonts w:hint="eastAsia"/>
                <w:spacing w:val="12"/>
                <w:highlight w:val="none"/>
                <w:lang w:val="en-US" w:eastAsia="zh-CN"/>
              </w:rPr>
              <w:t>施工</w:t>
            </w:r>
            <w:r>
              <w:rPr>
                <w:spacing w:val="12"/>
                <w:highlight w:val="none"/>
              </w:rPr>
              <w:t>工区和胡家河</w:t>
            </w:r>
            <w:r>
              <w:rPr>
                <w:rFonts w:hint="eastAsia"/>
                <w:spacing w:val="12"/>
                <w:highlight w:val="none"/>
                <w:lang w:val="en-US" w:eastAsia="zh-CN"/>
              </w:rPr>
              <w:t>施工</w:t>
            </w:r>
            <w:r>
              <w:rPr>
                <w:spacing w:val="12"/>
                <w:highlight w:val="none"/>
              </w:rPr>
              <w:t>工区</w:t>
            </w:r>
            <w:r>
              <w:rPr>
                <w:rFonts w:hint="eastAsia"/>
                <w:spacing w:val="12"/>
                <w:highlight w:val="none"/>
                <w:lang w:eastAsia="zh-CN"/>
              </w:rPr>
              <w:t>，</w:t>
            </w:r>
            <w:r>
              <w:rPr>
                <w:rFonts w:hint="eastAsia"/>
                <w:spacing w:val="12"/>
                <w:highlight w:val="none"/>
                <w:lang w:val="en-US" w:eastAsia="zh-CN"/>
              </w:rPr>
              <w:t>均</w:t>
            </w:r>
            <w:r>
              <w:rPr>
                <w:rFonts w:hint="default" w:ascii="Times New Roman" w:hAnsi="Times New Roman" w:cs="Times New Roman"/>
                <w:highlight w:val="none"/>
              </w:rPr>
              <w:t>布置在河道两侧空闲区域</w:t>
            </w:r>
            <w:r>
              <w:rPr>
                <w:rFonts w:hint="default" w:ascii="Times New Roman" w:hAnsi="Times New Roman" w:cs="Times New Roman"/>
                <w:highlight w:val="none"/>
                <w:lang w:eastAsia="zh-CN"/>
              </w:rPr>
              <w:t>，</w:t>
            </w:r>
            <w:r>
              <w:rPr>
                <w:rFonts w:hint="default" w:ascii="Times New Roman" w:hAnsi="Times New Roman" w:cs="Times New Roman"/>
                <w:spacing w:val="12"/>
                <w:highlight w:val="none"/>
              </w:rPr>
              <w:t>油坊沟</w:t>
            </w:r>
            <w:r>
              <w:rPr>
                <w:rFonts w:hint="default" w:ascii="Times New Roman" w:hAnsi="Times New Roman" w:cs="Times New Roman"/>
                <w:spacing w:val="12"/>
                <w:highlight w:val="none"/>
                <w:lang w:val="en-US" w:eastAsia="zh-CN"/>
              </w:rPr>
              <w:t>施工</w:t>
            </w:r>
            <w:r>
              <w:rPr>
                <w:rFonts w:hint="default" w:ascii="Times New Roman" w:hAnsi="Times New Roman" w:cs="Times New Roman"/>
                <w:spacing w:val="12"/>
                <w:highlight w:val="none"/>
              </w:rPr>
              <w:t>工区</w:t>
            </w:r>
            <w:r>
              <w:rPr>
                <w:rFonts w:hint="default" w:ascii="Times New Roman" w:hAnsi="Times New Roman" w:cs="Times New Roman"/>
                <w:highlight w:val="none"/>
                <w:lang w:val="en-US" w:eastAsia="zh-CN"/>
              </w:rPr>
              <w:t>位于右岸堤防处，场址经纬度为</w:t>
            </w:r>
            <w:r>
              <w:rPr>
                <w:rFonts w:hint="eastAsia" w:cs="Times New Roman"/>
                <w:highlight w:val="none"/>
                <w:lang w:val="en-US" w:eastAsia="zh-CN"/>
              </w:rPr>
              <w:t>E</w:t>
            </w:r>
            <w:r>
              <w:rPr>
                <w:rFonts w:hint="default" w:ascii="Times New Roman" w:hAnsi="Times New Roman" w:cs="Times New Roman"/>
                <w:highlight w:val="none"/>
                <w:lang w:val="en-US" w:eastAsia="zh-CN"/>
              </w:rPr>
              <w:t>107°39′41.72″，</w:t>
            </w:r>
            <w:r>
              <w:rPr>
                <w:rFonts w:hint="eastAsia" w:cs="Times New Roman"/>
                <w:highlight w:val="none"/>
                <w:lang w:val="en-US" w:eastAsia="zh-CN"/>
              </w:rPr>
              <w:t>N</w:t>
            </w:r>
            <w:r>
              <w:rPr>
                <w:rFonts w:hint="default" w:ascii="Times New Roman" w:hAnsi="Times New Roman" w:cs="Times New Roman"/>
                <w:highlight w:val="none"/>
                <w:lang w:val="en-US" w:eastAsia="zh-CN"/>
              </w:rPr>
              <w:t>31°34′15.71″；</w:t>
            </w:r>
            <w:r>
              <w:rPr>
                <w:rFonts w:hint="default" w:ascii="Times New Roman" w:hAnsi="Times New Roman" w:cs="Times New Roman"/>
                <w:spacing w:val="12"/>
                <w:highlight w:val="none"/>
              </w:rPr>
              <w:t>胡家河</w:t>
            </w:r>
            <w:r>
              <w:rPr>
                <w:rFonts w:hint="default" w:ascii="Times New Roman" w:hAnsi="Times New Roman" w:cs="Times New Roman"/>
                <w:spacing w:val="12"/>
                <w:highlight w:val="none"/>
                <w:lang w:val="en-US" w:eastAsia="zh-CN"/>
              </w:rPr>
              <w:t>施工</w:t>
            </w:r>
            <w:r>
              <w:rPr>
                <w:rFonts w:hint="default" w:ascii="Times New Roman" w:hAnsi="Times New Roman" w:cs="Times New Roman"/>
                <w:spacing w:val="12"/>
                <w:highlight w:val="none"/>
              </w:rPr>
              <w:t>工区</w:t>
            </w:r>
            <w:r>
              <w:rPr>
                <w:rFonts w:hint="default" w:ascii="Times New Roman" w:hAnsi="Times New Roman" w:cs="Times New Roman"/>
                <w:highlight w:val="none"/>
                <w:lang w:val="en-US" w:eastAsia="zh-CN"/>
              </w:rPr>
              <w:t>位于左岸堤防处，场址经纬度为</w:t>
            </w:r>
            <w:r>
              <w:rPr>
                <w:rFonts w:hint="eastAsia" w:cs="Times New Roman"/>
                <w:highlight w:val="none"/>
                <w:lang w:val="en-US" w:eastAsia="zh-CN"/>
              </w:rPr>
              <w:t>E</w:t>
            </w:r>
            <w:r>
              <w:rPr>
                <w:rFonts w:hint="default" w:ascii="Times New Roman" w:hAnsi="Times New Roman" w:cs="Times New Roman"/>
                <w:highlight w:val="none"/>
                <w:lang w:val="en-US" w:eastAsia="zh-CN"/>
              </w:rPr>
              <w:t>107°38′52.70″，</w:t>
            </w:r>
            <w:r>
              <w:rPr>
                <w:rFonts w:hint="eastAsia" w:cs="Times New Roman"/>
                <w:highlight w:val="none"/>
                <w:lang w:val="en-US" w:eastAsia="zh-CN"/>
              </w:rPr>
              <w:t>N</w:t>
            </w:r>
            <w:r>
              <w:rPr>
                <w:rFonts w:hint="default" w:ascii="Times New Roman" w:hAnsi="Times New Roman" w:cs="Times New Roman"/>
                <w:highlight w:val="none"/>
                <w:lang w:val="en-US" w:eastAsia="zh-CN"/>
              </w:rPr>
              <w:t>31°34′34.01″处。总占地面积0.3亩，各工区内布置生产所需的临时</w:t>
            </w:r>
            <w:r>
              <w:rPr>
                <w:rFonts w:hint="default" w:ascii="Times New Roman" w:hAnsi="Times New Roman" w:cs="Times New Roman"/>
                <w:spacing w:val="12"/>
                <w:highlight w:val="none"/>
              </w:rPr>
              <w:t>水电系统、拌和系统、仓库、场内公路堆料</w:t>
            </w:r>
            <w:r>
              <w:rPr>
                <w:rFonts w:hint="default" w:ascii="Times New Roman" w:hAnsi="Times New Roman" w:cs="Times New Roman"/>
                <w:spacing w:val="6"/>
                <w:highlight w:val="none"/>
              </w:rPr>
              <w:t>场及其它临时设施</w:t>
            </w:r>
            <w:r>
              <w:rPr>
                <w:rFonts w:hint="default" w:ascii="Times New Roman" w:hAnsi="Times New Roman" w:cs="Times New Roman"/>
                <w:highlight w:val="none"/>
              </w:rPr>
              <w:t>。工区与施工作业面采用施工公路相连。施工期不设置施工营地</w:t>
            </w:r>
            <w:r>
              <w:rPr>
                <w:rFonts w:hint="default" w:ascii="Times New Roman" w:hAnsi="Times New Roman" w:cs="Times New Roman"/>
                <w:highlight w:val="none"/>
                <w:lang w:eastAsia="zh-CN"/>
              </w:rPr>
              <w:t>、</w:t>
            </w:r>
            <w:r>
              <w:rPr>
                <w:rFonts w:hint="default" w:ascii="Times New Roman" w:hAnsi="Times New Roman" w:cs="Times New Roman"/>
                <w:highlight w:val="none"/>
              </w:rPr>
              <w:t>办公区</w:t>
            </w:r>
            <w:r>
              <w:rPr>
                <w:rFonts w:hint="default" w:ascii="Times New Roman" w:hAnsi="Times New Roman" w:cs="Times New Roman"/>
                <w:highlight w:val="none"/>
                <w:lang w:eastAsia="zh-CN"/>
              </w:rPr>
              <w:t>，</w:t>
            </w:r>
            <w:r>
              <w:rPr>
                <w:rFonts w:hint="default" w:ascii="Times New Roman" w:hAnsi="Times New Roman" w:cs="Times New Roman"/>
                <w:highlight w:val="none"/>
              </w:rPr>
              <w:t>施工</w:t>
            </w:r>
            <w:r>
              <w:rPr>
                <w:rFonts w:hint="default" w:ascii="Times New Roman" w:hAnsi="Times New Roman" w:cs="Times New Roman"/>
                <w:highlight w:val="none"/>
                <w:lang w:val="en-US" w:eastAsia="zh-CN"/>
              </w:rPr>
              <w:t>期生活</w:t>
            </w:r>
            <w:r>
              <w:rPr>
                <w:rFonts w:hint="default" w:ascii="Times New Roman" w:hAnsi="Times New Roman" w:cs="Times New Roman"/>
                <w:highlight w:val="none"/>
              </w:rPr>
              <w:t>办公用房</w:t>
            </w:r>
            <w:r>
              <w:rPr>
                <w:rFonts w:hint="default" w:ascii="Times New Roman" w:hAnsi="Times New Roman" w:cs="Times New Roman"/>
                <w:highlight w:val="none"/>
                <w:lang w:val="en-US" w:eastAsia="zh-CN"/>
              </w:rPr>
              <w:t>和仓库</w:t>
            </w:r>
            <w:r>
              <w:rPr>
                <w:rFonts w:hint="default" w:ascii="Times New Roman" w:hAnsi="Times New Roman" w:cs="Times New Roman"/>
                <w:highlight w:val="none"/>
              </w:rPr>
              <w:t>租赁</w:t>
            </w:r>
            <w:r>
              <w:rPr>
                <w:rFonts w:hint="default" w:ascii="Times New Roman" w:hAnsi="Times New Roman" w:cs="Times New Roman"/>
                <w:highlight w:val="none"/>
                <w:lang w:val="en-US" w:eastAsia="zh-CN"/>
              </w:rPr>
              <w:t>附近民房</w:t>
            </w:r>
            <w:r>
              <w:rPr>
                <w:rFonts w:hint="default" w:ascii="Times New Roman" w:hAnsi="Times New Roman" w:cs="Times New Roman"/>
                <w:highlight w:val="none"/>
              </w:rPr>
              <w:t>。</w:t>
            </w:r>
          </w:p>
          <w:p>
            <w:pPr>
              <w:shd w:val="clear"/>
              <w:bidi w:val="0"/>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lang w:val="en-US" w:eastAsia="zh-CN"/>
              </w:rPr>
              <w:t>2、</w:t>
            </w:r>
            <w:r>
              <w:rPr>
                <w:rFonts w:hint="default" w:ascii="Times New Roman" w:hAnsi="Times New Roman" w:cs="Times New Roman"/>
                <w:b/>
                <w:bCs/>
                <w:color w:val="auto"/>
                <w:sz w:val="24"/>
                <w:highlight w:val="none"/>
              </w:rPr>
              <w:t>取土场及弃土场</w:t>
            </w:r>
          </w:p>
          <w:p>
            <w:pPr>
              <w:bidi w:val="0"/>
              <w:rPr>
                <w:highlight w:val="none"/>
              </w:rPr>
            </w:pPr>
            <w:r>
              <w:rPr>
                <w:rFonts w:hint="default" w:ascii="Times New Roman" w:hAnsi="Times New Roman" w:cs="Times New Roman"/>
                <w:color w:val="auto"/>
                <w:highlight w:val="none"/>
              </w:rPr>
              <w:t>本项目不设置取土（取石）场</w:t>
            </w:r>
            <w:r>
              <w:rPr>
                <w:rFonts w:hint="default" w:ascii="Times New Roman" w:hAnsi="Times New Roman" w:cs="Times New Roman"/>
                <w:color w:val="auto"/>
                <w:highlight w:val="none"/>
                <w:lang w:val="en-US" w:eastAsia="zh-CN"/>
              </w:rPr>
              <w:t>和弃土场</w:t>
            </w:r>
            <w:r>
              <w:rPr>
                <w:rFonts w:hint="default" w:ascii="Times New Roman" w:hAnsi="Times New Roman" w:cs="Times New Roman"/>
                <w:color w:val="auto"/>
                <w:highlight w:val="none"/>
              </w:rPr>
              <w:t>，所有建筑材料均由市场购买</w:t>
            </w:r>
            <w:r>
              <w:rPr>
                <w:rFonts w:hint="default" w:ascii="Times New Roman" w:hAnsi="Times New Roman" w:cs="Times New Roman"/>
                <w:color w:val="auto"/>
                <w:highlight w:val="none"/>
                <w:lang w:eastAsia="zh-CN"/>
              </w:rPr>
              <w:t>。</w:t>
            </w:r>
            <w:r>
              <w:rPr>
                <w:rFonts w:hint="default"/>
                <w:highlight w:val="none"/>
                <w:lang w:val="en-US" w:eastAsia="zh-CN"/>
              </w:rPr>
              <w:t>项目设计</w:t>
            </w:r>
            <w:r>
              <w:rPr>
                <w:highlight w:val="none"/>
              </w:rPr>
              <w:t>挖土方29785m</w:t>
            </w:r>
            <w:r>
              <w:rPr>
                <w:highlight w:val="none"/>
                <w:vertAlign w:val="superscript"/>
              </w:rPr>
              <w:t>3</w:t>
            </w:r>
            <w:r>
              <w:rPr>
                <w:highlight w:val="none"/>
              </w:rPr>
              <w:t>，开挖石方5314m</w:t>
            </w:r>
            <w:r>
              <w:rPr>
                <w:highlight w:val="none"/>
                <w:vertAlign w:val="superscript"/>
              </w:rPr>
              <w:t>3</w:t>
            </w:r>
            <w:r>
              <w:rPr>
                <w:highlight w:val="none"/>
              </w:rPr>
              <w:t>，回填土方6563m</w:t>
            </w:r>
            <w:r>
              <w:rPr>
                <w:highlight w:val="none"/>
                <w:vertAlign w:val="superscript"/>
              </w:rPr>
              <w:t>3</w:t>
            </w:r>
            <w:r>
              <w:rPr>
                <w:highlight w:val="none"/>
              </w:rPr>
              <w:t>，经土石方平衡，累计弃渣</w:t>
            </w:r>
            <w:r>
              <w:rPr>
                <w:rFonts w:hint="eastAsia"/>
                <w:highlight w:val="none"/>
                <w:lang w:val="en-US" w:eastAsia="zh-CN"/>
              </w:rPr>
              <w:t>28536</w:t>
            </w:r>
            <w:r>
              <w:rPr>
                <w:highlight w:val="none"/>
              </w:rPr>
              <w:t>万m</w:t>
            </w:r>
            <w:r>
              <w:rPr>
                <w:rFonts w:hint="eastAsia"/>
                <w:highlight w:val="none"/>
                <w:vertAlign w:val="superscript"/>
                <w:lang w:val="en-US" w:eastAsia="zh-CN"/>
              </w:rPr>
              <w:t>3</w:t>
            </w:r>
            <w:r>
              <w:rPr>
                <w:rFonts w:hint="eastAsia"/>
                <w:highlight w:val="none"/>
                <w:lang w:eastAsia="zh-CN"/>
              </w:rPr>
              <w:t>，</w:t>
            </w:r>
            <w:r>
              <w:rPr>
                <w:highlight w:val="none"/>
              </w:rPr>
              <w:t>堆放在胡家城市规划区内</w:t>
            </w:r>
            <w:r>
              <w:rPr>
                <w:rFonts w:hint="eastAsia"/>
                <w:highlight w:val="none"/>
                <w:lang w:eastAsia="zh-CN"/>
              </w:rPr>
              <w:t>，</w:t>
            </w:r>
            <w:r>
              <w:rPr>
                <w:rFonts w:hint="eastAsia"/>
                <w:highlight w:val="none"/>
                <w:lang w:val="en-US" w:eastAsia="zh-CN"/>
              </w:rPr>
              <w:t>不再新设置弃渣场</w:t>
            </w:r>
            <w:r>
              <w:rPr>
                <w:rFonts w:hint="default"/>
                <w:highlight w:val="none"/>
                <w:lang w:eastAsia="zh-CN"/>
              </w:rPr>
              <w:t>。</w:t>
            </w:r>
            <w:r>
              <w:rPr>
                <w:highlight w:val="none"/>
              </w:rPr>
              <w:t>弃渣采用10t～15t自卸汽车运输至胡家城市规划区内，运距1.0km。</w:t>
            </w:r>
          </w:p>
          <w:p>
            <w:pPr>
              <w:bidi w:val="0"/>
              <w:rPr>
                <w:rFonts w:hint="default" w:ascii="Times New Roman" w:hAnsi="Times New Roman" w:cs="Times New Roman"/>
                <w:b/>
                <w:bCs/>
                <w:highlight w:val="none"/>
                <w:lang w:val="en-US" w:eastAsia="zh-CN"/>
              </w:rPr>
            </w:pPr>
            <w:r>
              <w:rPr>
                <w:rFonts w:hint="eastAsia" w:cs="Times New Roman"/>
                <w:b/>
                <w:bCs/>
                <w:highlight w:val="none"/>
                <w:lang w:val="en-US" w:eastAsia="zh-CN"/>
              </w:rPr>
              <w:t>3</w:t>
            </w:r>
            <w:r>
              <w:rPr>
                <w:rFonts w:hint="default" w:ascii="Times New Roman" w:hAnsi="Times New Roman" w:cs="Times New Roman"/>
                <w:b/>
                <w:bCs/>
                <w:highlight w:val="none"/>
                <w:lang w:val="en-US" w:eastAsia="zh-CN"/>
              </w:rPr>
              <w:t>、临时堆渣场</w:t>
            </w:r>
          </w:p>
          <w:p>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本项目设置2处临时堆渣场，分别为胡家河临时堆渣场和油坊沟临时堆渣场，占地共2.4亩，均为临时占地。2处堆渣场均采用临河设施，胡家河临时堆渣场位于左岸堤防旁，场址坐标为</w:t>
            </w:r>
            <w:r>
              <w:rPr>
                <w:rFonts w:hint="eastAsia" w:cs="Times New Roman"/>
                <w:highlight w:val="none"/>
                <w:lang w:val="en-US" w:eastAsia="zh-CN"/>
              </w:rPr>
              <w:t>E</w:t>
            </w:r>
            <w:r>
              <w:rPr>
                <w:rFonts w:hint="default" w:ascii="Times New Roman" w:hAnsi="Times New Roman" w:cs="Times New Roman"/>
                <w:highlight w:val="none"/>
                <w:lang w:val="en-US" w:eastAsia="zh-CN"/>
              </w:rPr>
              <w:t>107°38′53.54″，</w:t>
            </w:r>
            <w:r>
              <w:rPr>
                <w:rFonts w:hint="eastAsia" w:cs="Times New Roman"/>
                <w:highlight w:val="none"/>
                <w:lang w:val="en-US" w:eastAsia="zh-CN"/>
              </w:rPr>
              <w:t>N</w:t>
            </w:r>
            <w:r>
              <w:rPr>
                <w:rFonts w:hint="default" w:ascii="Times New Roman" w:hAnsi="Times New Roman" w:cs="Times New Roman"/>
                <w:highlight w:val="none"/>
                <w:lang w:val="en-US" w:eastAsia="zh-CN"/>
              </w:rPr>
              <w:t>31°34′27.24″；油坊沟临时堆渣场位于右岸堤防旁，场址坐标为</w:t>
            </w:r>
            <w:r>
              <w:rPr>
                <w:rFonts w:hint="eastAsia" w:cs="Times New Roman"/>
                <w:highlight w:val="none"/>
                <w:lang w:val="en-US" w:eastAsia="zh-CN"/>
              </w:rPr>
              <w:t>E</w:t>
            </w:r>
            <w:r>
              <w:rPr>
                <w:rFonts w:hint="default" w:ascii="Times New Roman" w:hAnsi="Times New Roman" w:cs="Times New Roman"/>
                <w:highlight w:val="none"/>
                <w:lang w:val="en-US" w:eastAsia="zh-CN"/>
              </w:rPr>
              <w:t>107°39′40.01″</w:t>
            </w:r>
            <w:r>
              <w:rPr>
                <w:rFonts w:hint="eastAsia" w:ascii="Times New Roman" w:hAnsi="Times New Roman" w:cs="Times New Roman"/>
                <w:highlight w:val="none"/>
                <w:lang w:val="en-US" w:eastAsia="zh-CN"/>
              </w:rPr>
              <w:t>，</w:t>
            </w:r>
            <w:r>
              <w:rPr>
                <w:rFonts w:hint="eastAsia" w:cs="Times New Roman"/>
                <w:highlight w:val="none"/>
                <w:lang w:val="en-US" w:eastAsia="zh-CN"/>
              </w:rPr>
              <w:t>N</w:t>
            </w:r>
            <w:r>
              <w:rPr>
                <w:rFonts w:hint="default" w:ascii="Times New Roman" w:hAnsi="Times New Roman" w:cs="Times New Roman"/>
                <w:highlight w:val="none"/>
                <w:lang w:val="en-US" w:eastAsia="zh-CN"/>
              </w:rPr>
              <w:t>31°34′14.39″。临时堆渣场主要用于临时堆放堤防工程产生的土石方。</w:t>
            </w:r>
          </w:p>
          <w:p>
            <w:pPr>
              <w:numPr>
                <w:ilvl w:val="0"/>
                <w:numId w:val="0"/>
              </w:numPr>
              <w:bidi w:val="0"/>
              <w:ind w:leftChars="200"/>
              <w:rPr>
                <w:rFonts w:hint="default" w:ascii="Times New Roman" w:hAnsi="Times New Roman" w:cs="Times New Roman"/>
                <w:b/>
                <w:bCs/>
                <w:color w:val="auto"/>
                <w:highlight w:val="none"/>
                <w:lang w:val="en-US" w:eastAsia="zh-CN"/>
              </w:rPr>
            </w:pPr>
            <w:r>
              <w:rPr>
                <w:rFonts w:hint="eastAsia" w:cs="Times New Roman"/>
                <w:b/>
                <w:bCs/>
                <w:color w:val="auto"/>
                <w:highlight w:val="none"/>
                <w:lang w:val="en-US" w:eastAsia="zh-CN"/>
              </w:rPr>
              <w:t>4、</w:t>
            </w:r>
            <w:r>
              <w:rPr>
                <w:rFonts w:hint="default" w:ascii="Times New Roman" w:hAnsi="Times New Roman" w:cs="Times New Roman"/>
                <w:b/>
                <w:bCs/>
                <w:color w:val="auto"/>
                <w:highlight w:val="none"/>
                <w:lang w:val="en-US" w:eastAsia="zh-CN"/>
              </w:rPr>
              <w:t>临时施工便道</w:t>
            </w:r>
          </w:p>
          <w:p>
            <w:pPr>
              <w:rPr>
                <w:rFonts w:hint="default" w:ascii="Times New Roman" w:hAnsi="Times New Roman" w:cs="Times New Roman"/>
                <w:highlight w:val="none"/>
                <w:lang w:val="en-US" w:eastAsia="zh-CN"/>
              </w:rPr>
            </w:pP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1）对外交通</w:t>
            </w:r>
          </w:p>
          <w:p>
            <w:pPr>
              <w:bidi w:val="0"/>
              <w:rPr>
                <w:highlight w:val="none"/>
              </w:rPr>
            </w:pPr>
            <w:r>
              <w:rPr>
                <w:rFonts w:hint="eastAsia"/>
                <w:highlight w:val="none"/>
                <w:lang w:val="en-US" w:eastAsia="zh-CN"/>
              </w:rPr>
              <w:t>本项目</w:t>
            </w:r>
            <w:r>
              <w:rPr>
                <w:highlight w:val="none"/>
              </w:rPr>
              <w:t>工程位于宣汉县胡家镇，距宣汉县城区35km，乡级公路沿胡家河、油坊沟左、右岸而过，交通便利。</w:t>
            </w:r>
          </w:p>
          <w:p>
            <w:pPr>
              <w:bidi w:val="0"/>
              <w:rPr>
                <w:rFonts w:hint="default" w:eastAsia="宋体"/>
                <w:highlight w:val="none"/>
                <w:lang w:val="en-US" w:eastAsia="zh-CN"/>
              </w:rPr>
            </w:pPr>
            <w:r>
              <w:rPr>
                <w:rFonts w:hint="eastAsia"/>
                <w:highlight w:val="none"/>
                <w:lang w:eastAsia="zh-CN"/>
              </w:rPr>
              <w:t>（）</w:t>
            </w:r>
            <w:r>
              <w:rPr>
                <w:rFonts w:hint="eastAsia"/>
                <w:highlight w:val="none"/>
                <w:lang w:val="en-US" w:eastAsia="zh-CN"/>
              </w:rPr>
              <w:t>场内交通</w:t>
            </w:r>
          </w:p>
          <w:p>
            <w:pPr>
              <w:bidi w:val="0"/>
              <w:rPr>
                <w:rFonts w:hint="default" w:ascii="Times New Roman" w:hAnsi="Times New Roman" w:cs="Times New Roman"/>
                <w:b/>
                <w:bCs/>
                <w:color w:val="auto"/>
                <w:highlight w:val="none"/>
                <w:lang w:val="en-US" w:eastAsia="zh-CN"/>
              </w:rPr>
            </w:pPr>
            <w:r>
              <w:rPr>
                <w:highlight w:val="none"/>
              </w:rPr>
              <w:t>工程区场内交通采用公路运输，堤防边有乡村公路连接。场内交通利用已有公路和堤顶进行，不再另计交通便道。</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57" w:type="dxa"/>
            <w:tcBorders>
              <w:tl2br w:val="nil"/>
              <w:tr2bl w:val="nil"/>
            </w:tcBorders>
            <w:vAlign w:val="center"/>
          </w:tcPr>
          <w:p>
            <w:pPr>
              <w:bidi w:val="0"/>
              <w:ind w:left="0" w:leftChars="0" w:firstLine="0" w:firstLineChars="0"/>
              <w:jc w:val="both"/>
              <w:rPr>
                <w:rFonts w:hint="default" w:ascii="Times New Roman" w:hAnsi="Times New Roman" w:cs="Times New Roman"/>
                <w:b/>
                <w:bCs/>
                <w:color w:val="auto"/>
                <w:highlight w:val="none"/>
                <w:vertAlign w:val="baseline"/>
                <w:lang w:val="en-US" w:eastAsia="zh-CN"/>
              </w:rPr>
            </w:pPr>
            <w:r>
              <w:rPr>
                <w:rFonts w:hint="default" w:ascii="Times New Roman" w:hAnsi="Times New Roman" w:cs="Times New Roman"/>
                <w:b/>
                <w:bCs/>
                <w:color w:val="auto"/>
                <w:highlight w:val="none"/>
                <w:vertAlign w:val="baseline"/>
                <w:lang w:val="en-US" w:eastAsia="zh-CN"/>
              </w:rPr>
              <w:t>施工方案</w:t>
            </w:r>
          </w:p>
        </w:tc>
        <w:tc>
          <w:tcPr>
            <w:tcW w:w="8776" w:type="dxa"/>
            <w:tcBorders>
              <w:tl2br w:val="nil"/>
              <w:tr2bl w:val="nil"/>
            </w:tcBorders>
          </w:tcPr>
          <w:p>
            <w:pPr>
              <w:bidi w:val="0"/>
              <w:rPr>
                <w:rFonts w:hint="default" w:ascii="Times New Roman" w:hAnsi="Times New Roman" w:cs="Times New Roman"/>
                <w:color w:val="auto"/>
                <w:highlight w:val="none"/>
                <w:lang w:val="en-US" w:eastAsia="zh-CN"/>
              </w:rPr>
            </w:pPr>
            <w:r>
              <w:rPr>
                <w:rFonts w:hint="default" w:ascii="Times New Roman" w:hAnsi="Times New Roman" w:cs="Times New Roman"/>
                <w:highlight w:val="none"/>
                <w:lang w:val="en-US" w:eastAsia="zh-CN"/>
              </w:rPr>
              <w:t>本项目属于防洪治理工程，包含河堤建设及景观治理等内容，其对环境的主要影响为施工期，因河道旱季水量较少，故采用围堰施工方式。施工期包括河道围堰、混凝土河堤等工程产生的噪声、扬尘、废气、废水、固废、水土流失及植被破坏，</w:t>
            </w:r>
            <w:r>
              <w:rPr>
                <w:rFonts w:hint="default" w:ascii="Times New Roman" w:hAnsi="Times New Roman" w:cs="Times New Roman"/>
                <w:color w:val="auto"/>
                <w:highlight w:val="none"/>
                <w:lang w:val="en-US" w:eastAsia="zh-CN"/>
              </w:rPr>
              <w:t>破坏野生动物生境，堤防修筑会对水体产生扰动，对水生动物及水体水质造成影响等。</w:t>
            </w:r>
            <w:r>
              <w:rPr>
                <w:rFonts w:hint="default" w:ascii="Times New Roman" w:hAnsi="Times New Roman" w:cs="Times New Roman"/>
                <w:color w:val="auto"/>
                <w:highlight w:val="none"/>
              </w:rPr>
              <w:t>其简单的施工流程及各阶段产污环节</w:t>
            </w:r>
            <w:r>
              <w:rPr>
                <w:rFonts w:hint="default" w:ascii="Times New Roman" w:hAnsi="Times New Roman" w:cs="Times New Roman"/>
                <w:color w:val="auto"/>
                <w:highlight w:val="none"/>
                <w:lang w:val="en-US" w:eastAsia="zh-CN"/>
              </w:rPr>
              <w:t>如下。</w:t>
            </w:r>
          </w:p>
          <w:p>
            <w:pPr>
              <w:numPr>
                <w:ilvl w:val="0"/>
                <w:numId w:val="6"/>
              </w:numPr>
              <w:bidi w:val="0"/>
              <w:rPr>
                <w:rFonts w:hint="default" w:ascii="Times New Roman" w:hAnsi="Times New Roman" w:cs="Times New Roman"/>
                <w:b/>
                <w:bCs/>
                <w:highlight w:val="none"/>
                <w:lang w:val="en-US" w:eastAsia="zh-CN"/>
              </w:rPr>
            </w:pPr>
            <w:r>
              <w:rPr>
                <w:rFonts w:hint="default" w:ascii="Times New Roman" w:hAnsi="Times New Roman" w:cs="Times New Roman"/>
                <w:b/>
                <w:bCs/>
                <w:highlight w:val="none"/>
                <w:lang w:val="en-US" w:eastAsia="zh-CN"/>
              </w:rPr>
              <w:t>堤防工程施工工艺</w:t>
            </w:r>
          </w:p>
          <w:p>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本项目防洪堤施工工艺流程及产污节点图如下图2-1所示。</w:t>
            </w:r>
          </w:p>
          <w:p>
            <w:pPr>
              <w:bidi w:val="0"/>
              <w:rPr>
                <w:rFonts w:hint="default" w:ascii="Times New Roman" w:hAnsi="Times New Roman" w:cs="Times New Roman"/>
                <w:highlight w:val="none"/>
                <w:lang w:val="en-US" w:eastAsia="zh-CN"/>
              </w:rPr>
            </w:pPr>
          </w:p>
          <w:p>
            <w:pPr>
              <w:bidi w:val="0"/>
              <w:rPr>
                <w:rFonts w:hint="default" w:ascii="Times New Roman" w:hAnsi="Times New Roman" w:cs="Times New Roman"/>
                <w:highlight w:val="none"/>
                <w:lang w:val="en-US" w:eastAsia="zh-CN"/>
              </w:rPr>
            </w:pPr>
          </w:p>
          <w:p>
            <w:pPr>
              <w:bidi w:val="0"/>
              <w:rPr>
                <w:rFonts w:hint="default" w:ascii="Times New Roman" w:hAnsi="Times New Roman" w:cs="Times New Roman"/>
                <w:highlight w:val="none"/>
                <w:lang w:val="en-US" w:eastAsia="zh-CN"/>
              </w:rPr>
            </w:pPr>
          </w:p>
          <w:p>
            <w:pPr>
              <w:bidi w:val="0"/>
              <w:rPr>
                <w:rFonts w:hint="default" w:ascii="Times New Roman" w:hAnsi="Times New Roman" w:cs="Times New Roman"/>
                <w:highlight w:val="none"/>
                <w:lang w:val="en-US" w:eastAsia="zh-CN"/>
              </w:rPr>
            </w:pPr>
          </w:p>
          <w:p>
            <w:pPr>
              <w:bidi w:val="0"/>
              <w:rPr>
                <w:rFonts w:hint="default" w:ascii="Times New Roman" w:hAnsi="Times New Roman" w:cs="Times New Roman"/>
                <w:highlight w:val="none"/>
                <w:lang w:val="en-US" w:eastAsia="zh-CN"/>
              </w:rPr>
            </w:pPr>
          </w:p>
          <w:p>
            <w:pPr>
              <w:bidi w:val="0"/>
              <w:rPr>
                <w:rFonts w:hint="default" w:ascii="Times New Roman" w:hAnsi="Times New Roman" w:cs="Times New Roman"/>
                <w:highlight w:val="none"/>
                <w:lang w:val="en-US" w:eastAsia="zh-CN"/>
              </w:rPr>
            </w:pPr>
          </w:p>
          <w:p>
            <w:pPr>
              <w:bidi w:val="0"/>
              <w:rPr>
                <w:rFonts w:hint="default" w:ascii="Times New Roman" w:hAnsi="Times New Roman" w:cs="Times New Roman"/>
                <w:highlight w:val="none"/>
                <w:lang w:val="en-US" w:eastAsia="zh-CN"/>
              </w:rPr>
            </w:pPr>
          </w:p>
          <w:p>
            <w:pPr>
              <w:bidi w:val="0"/>
              <w:rPr>
                <w:rFonts w:hint="default" w:ascii="Times New Roman" w:hAnsi="Times New Roman" w:cs="Times New Roman"/>
                <w:highlight w:val="none"/>
                <w:lang w:val="en-US" w:eastAsia="zh-CN"/>
              </w:rPr>
            </w:pPr>
          </w:p>
          <w:p>
            <w:pPr>
              <w:bidi w:val="0"/>
              <w:rPr>
                <w:rFonts w:hint="default" w:ascii="Times New Roman" w:hAnsi="Times New Roman" w:cs="Times New Roman"/>
                <w:highlight w:val="none"/>
                <w:lang w:val="en-US" w:eastAsia="zh-CN"/>
              </w:rPr>
            </w:pPr>
          </w:p>
          <w:p>
            <w:pPr>
              <w:bidi w:val="0"/>
              <w:rPr>
                <w:rFonts w:hint="default" w:ascii="Times New Roman" w:hAnsi="Times New Roman" w:cs="Times New Roman"/>
                <w:highlight w:val="none"/>
                <w:lang w:val="en-US" w:eastAsia="zh-CN"/>
              </w:rPr>
            </w:pPr>
          </w:p>
          <w:p>
            <w:pPr>
              <w:bidi w:val="0"/>
              <w:rPr>
                <w:rFonts w:hint="default" w:ascii="Times New Roman" w:hAnsi="Times New Roman" w:cs="Times New Roman"/>
                <w:highlight w:val="none"/>
                <w:lang w:val="en-US" w:eastAsia="zh-CN"/>
              </w:rPr>
            </w:pPr>
          </w:p>
          <w:p>
            <w:pPr>
              <w:bidi w:val="0"/>
              <w:rPr>
                <w:rFonts w:hint="default" w:ascii="Times New Roman" w:hAnsi="Times New Roman" w:cs="Times New Roman"/>
                <w:highlight w:val="none"/>
                <w:lang w:val="en-US" w:eastAsia="zh-CN"/>
              </w:rPr>
            </w:pPr>
          </w:p>
          <w:p>
            <w:pPr>
              <w:numPr>
                <w:ilvl w:val="0"/>
                <w:numId w:val="0"/>
              </w:numPr>
              <w:bidi w:val="0"/>
              <w:rPr>
                <w:rFonts w:hint="default" w:ascii="Times New Roman" w:hAnsi="Times New Roman" w:cs="Times New Roman"/>
                <w:highlight w:val="none"/>
                <w:lang w:eastAsia="zh-CN"/>
              </w:rPr>
            </w:pPr>
            <w:r>
              <w:rPr>
                <w:rFonts w:hint="default" w:ascii="Times New Roman" w:hAnsi="Times New Roman" w:cs="Times New Roman"/>
                <w:highlight w:val="none"/>
                <w:lang w:eastAsia="zh-CN"/>
              </w:rPr>
              <w:drawing>
                <wp:inline distT="0" distB="0" distL="114300" distR="114300">
                  <wp:extent cx="5292090" cy="5418455"/>
                  <wp:effectExtent l="0" t="0" r="3810" b="10795"/>
                  <wp:docPr id="102" name="图片 102" descr="41cc0ee0a8dc3eff5eb2deb5d2804d8"/>
                  <wp:cNvGraphicFramePr/>
                  <a:graphic xmlns:a="http://schemas.openxmlformats.org/drawingml/2006/main">
                    <a:graphicData uri="http://schemas.openxmlformats.org/drawingml/2006/picture">
                      <pic:pic xmlns:pic="http://schemas.openxmlformats.org/drawingml/2006/picture">
                        <pic:nvPicPr>
                          <pic:cNvPr id="102" name="图片 102" descr="41cc0ee0a8dc3eff5eb2deb5d2804d8"/>
                          <pic:cNvPicPr/>
                        </pic:nvPicPr>
                        <pic:blipFill>
                          <a:blip r:embed="rId19"/>
                          <a:stretch>
                            <a:fillRect/>
                          </a:stretch>
                        </pic:blipFill>
                        <pic:spPr>
                          <a:xfrm>
                            <a:off x="0" y="0"/>
                            <a:ext cx="5292090" cy="5418455"/>
                          </a:xfrm>
                          <a:prstGeom prst="rect">
                            <a:avLst/>
                          </a:prstGeom>
                        </pic:spPr>
                      </pic:pic>
                    </a:graphicData>
                  </a:graphic>
                </wp:inline>
              </w:drawing>
            </w:r>
          </w:p>
          <w:p>
            <w:pPr>
              <w:pStyle w:val="18"/>
              <w:rPr>
                <w:rFonts w:hint="default" w:ascii="Times New Roman" w:hAnsi="Times New Roman" w:cs="Times New Roman"/>
                <w:highlight w:val="none"/>
              </w:rPr>
            </w:pPr>
            <w:r>
              <w:rPr>
                <w:rFonts w:hint="default" w:ascii="Times New Roman" w:hAnsi="Times New Roman" w:cs="Times New Roman"/>
                <w:highlight w:val="none"/>
                <w:lang w:val="en-US" w:eastAsia="zh-CN"/>
              </w:rPr>
              <w:t xml:space="preserve">图2-1  </w:t>
            </w:r>
            <w:r>
              <w:rPr>
                <w:rFonts w:hint="default" w:ascii="Times New Roman" w:hAnsi="Times New Roman" w:cs="Times New Roman"/>
                <w:highlight w:val="none"/>
                <w:lang w:eastAsia="zh-CN"/>
              </w:rPr>
              <w:t>防洪堤施工</w:t>
            </w:r>
            <w:r>
              <w:rPr>
                <w:rFonts w:hint="default" w:ascii="Times New Roman" w:hAnsi="Times New Roman" w:cs="Times New Roman"/>
                <w:highlight w:val="none"/>
              </w:rPr>
              <w:t>工艺流程及产污位置图</w:t>
            </w:r>
          </w:p>
          <w:p>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工艺流程简述：</w:t>
            </w:r>
          </w:p>
          <w:p>
            <w:pPr>
              <w:bidi w:val="0"/>
              <w:rPr>
                <w:rFonts w:hint="default" w:ascii="Times New Roman" w:hAnsi="Times New Roman" w:eastAsia="宋体" w:cs="Times New Roman"/>
                <w:highlight w:val="none"/>
                <w:lang w:val="en-US" w:eastAsia="zh-CN"/>
              </w:rPr>
            </w:pP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1</w:t>
            </w: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施工导流</w:t>
            </w:r>
          </w:p>
          <w:p>
            <w:pPr>
              <w:bidi w:val="0"/>
              <w:rPr>
                <w:rFonts w:hint="default" w:ascii="Times New Roman" w:hAnsi="Times New Roman" w:cs="Times New Roman"/>
                <w:highlight w:val="none"/>
                <w:lang w:val="zh-CN"/>
              </w:rPr>
            </w:pPr>
            <w:r>
              <w:rPr>
                <w:rFonts w:hint="default" w:ascii="Times New Roman" w:hAnsi="Times New Roman" w:cs="Times New Roman"/>
                <w:highlight w:val="none"/>
              </w:rPr>
              <w:t>本项目在枯水期进行，施工采取围堰、导流方式施工，按照本项目施工导流方案进行准备工作。</w:t>
            </w:r>
          </w:p>
          <w:p>
            <w:pPr>
              <w:bidi w:val="0"/>
              <w:rPr>
                <w:rFonts w:hint="default"/>
                <w:highlight w:val="none"/>
              </w:rPr>
            </w:pPr>
            <w:r>
              <w:rPr>
                <w:rFonts w:hint="default"/>
                <w:highlight w:val="none"/>
              </w:rPr>
              <w:t>①导流标准</w:t>
            </w:r>
          </w:p>
          <w:p>
            <w:pPr>
              <w:bidi w:val="0"/>
              <w:rPr>
                <w:highlight w:val="none"/>
              </w:rPr>
            </w:pPr>
            <w:r>
              <w:rPr>
                <w:spacing w:val="5"/>
                <w:highlight w:val="none"/>
              </w:rPr>
              <w:t>本工程按照《水利水电工程施工组织设计规范》（</w:t>
            </w:r>
            <w:r>
              <w:rPr>
                <w:rFonts w:ascii="Times New Roman" w:hAnsi="Times New Roman" w:eastAsia="Times New Roman" w:cs="Times New Roman"/>
                <w:sz w:val="24"/>
                <w:szCs w:val="24"/>
                <w:highlight w:val="none"/>
              </w:rPr>
              <w:t>SL</w:t>
            </w:r>
            <w:r>
              <w:rPr>
                <w:rFonts w:ascii="Times New Roman" w:hAnsi="Times New Roman" w:eastAsia="Times New Roman" w:cs="Times New Roman"/>
                <w:spacing w:val="5"/>
                <w:sz w:val="24"/>
                <w:szCs w:val="24"/>
                <w:highlight w:val="none"/>
              </w:rPr>
              <w:t>303</w:t>
            </w:r>
            <w:r>
              <w:rPr>
                <w:spacing w:val="5"/>
                <w:highlight w:val="none"/>
              </w:rPr>
              <w:t>－</w:t>
            </w:r>
            <w:r>
              <w:rPr>
                <w:rFonts w:ascii="Times New Roman" w:hAnsi="Times New Roman" w:eastAsia="Times New Roman" w:cs="Times New Roman"/>
                <w:spacing w:val="5"/>
                <w:sz w:val="24"/>
                <w:szCs w:val="24"/>
                <w:highlight w:val="none"/>
              </w:rPr>
              <w:t>2017</w:t>
            </w:r>
            <w:r>
              <w:rPr>
                <w:spacing w:val="-12"/>
                <w:highlight w:val="none"/>
              </w:rPr>
              <w:t>）</w:t>
            </w:r>
            <w:r>
              <w:rPr>
                <w:rFonts w:hint="eastAsia"/>
                <w:spacing w:val="-38"/>
                <w:highlight w:val="none"/>
                <w:lang w:eastAsia="zh-CN"/>
              </w:rPr>
              <w:t>，</w:t>
            </w:r>
            <w:r>
              <w:rPr>
                <w:spacing w:val="5"/>
                <w:highlight w:val="none"/>
              </w:rPr>
              <w:t>施工期临</w:t>
            </w:r>
            <w:r>
              <w:rPr>
                <w:spacing w:val="10"/>
                <w:highlight w:val="none"/>
              </w:rPr>
              <w:t>时导流建筑物为</w:t>
            </w:r>
            <w:r>
              <w:rPr>
                <w:rFonts w:hint="eastAsia"/>
                <w:spacing w:val="10"/>
                <w:highlight w:val="none"/>
                <w:lang w:val="en-US" w:eastAsia="zh-CN"/>
              </w:rPr>
              <w:t>5</w:t>
            </w:r>
            <w:r>
              <w:rPr>
                <w:spacing w:val="10"/>
                <w:highlight w:val="none"/>
              </w:rPr>
              <w:t>级，相应导流设计洪水标准采用</w:t>
            </w:r>
            <w:r>
              <w:rPr>
                <w:rFonts w:hint="eastAsia"/>
                <w:spacing w:val="10"/>
                <w:highlight w:val="none"/>
                <w:lang w:val="en-US" w:eastAsia="zh-CN"/>
              </w:rPr>
              <w:t>10年</w:t>
            </w:r>
            <w:r>
              <w:rPr>
                <w:spacing w:val="10"/>
                <w:highlight w:val="none"/>
              </w:rPr>
              <w:t>一遇</w:t>
            </w:r>
            <w:r>
              <w:rPr>
                <w:spacing w:val="4"/>
                <w:highlight w:val="none"/>
              </w:rPr>
              <w:t>的洪水标准。</w:t>
            </w:r>
          </w:p>
          <w:p>
            <w:pPr>
              <w:bidi w:val="0"/>
              <w:rPr>
                <w:rFonts w:hint="default"/>
                <w:highlight w:val="none"/>
              </w:rPr>
            </w:pPr>
            <w:r>
              <w:rPr>
                <w:rFonts w:hint="default" w:ascii="Times New Roman" w:hAnsi="Times New Roman" w:cs="Times New Roman"/>
                <w:highlight w:val="none"/>
              </w:rPr>
              <w:t>②导流</w:t>
            </w:r>
            <w:r>
              <w:rPr>
                <w:rFonts w:hint="default" w:ascii="Times New Roman" w:hAnsi="Times New Roman" w:cs="Times New Roman"/>
                <w:highlight w:val="none"/>
                <w:lang w:val="en-US" w:eastAsia="zh-CN"/>
              </w:rPr>
              <w:t>时段及流量</w:t>
            </w:r>
          </w:p>
          <w:p>
            <w:pPr>
              <w:bidi w:val="0"/>
              <w:rPr>
                <w:rFonts w:hint="default" w:ascii="Times New Roman" w:hAnsi="Times New Roman" w:cs="Times New Roman"/>
                <w:highlight w:val="none"/>
              </w:rPr>
            </w:pPr>
            <w:r>
              <w:rPr>
                <w:rFonts w:hint="default" w:ascii="Times New Roman" w:hAnsi="Times New Roman" w:cs="Times New Roman"/>
                <w:highlight w:val="none"/>
              </w:rPr>
              <w:t>根据洪水的年内分布特点及工程施工要求，胡家河左上段和油坊沟右上段堤防基础需进行导流施工，其余段基础均在干地施工。结合本工程施工进度按排及其工程布置情况，</w:t>
            </w:r>
            <w:r>
              <w:rPr>
                <w:rFonts w:hint="eastAsia" w:cs="Times New Roman"/>
                <w:highlight w:val="none"/>
                <w:lang w:val="en-US" w:eastAsia="zh-CN"/>
              </w:rPr>
              <w:t>于枯水期施工，</w:t>
            </w:r>
            <w:r>
              <w:rPr>
                <w:rFonts w:hint="default" w:ascii="Times New Roman" w:hAnsi="Times New Roman" w:cs="Times New Roman"/>
                <w:highlight w:val="none"/>
              </w:rPr>
              <w:t>确定本工程导流时段为12月～次年2月，胡家河干流段相应导流流量为0.05m³/s，油坊沟段相应导流流量为0.027m³/s。</w:t>
            </w:r>
          </w:p>
          <w:p>
            <w:pPr>
              <w:bidi w:val="0"/>
              <w:rPr>
                <w:rFonts w:hint="default" w:ascii="Times New Roman" w:hAnsi="Times New Roman" w:cs="Times New Roman"/>
                <w:highlight w:val="none"/>
              </w:rPr>
            </w:pPr>
            <w:r>
              <w:rPr>
                <w:rFonts w:hint="default" w:ascii="Times New Roman" w:hAnsi="Times New Roman" w:cs="Times New Roman"/>
                <w:highlight w:val="none"/>
              </w:rPr>
              <w:t>③导流方式</w:t>
            </w:r>
          </w:p>
          <w:p>
            <w:pPr>
              <w:rPr>
                <w:rFonts w:hint="default" w:ascii="Times New Roman" w:hAnsi="Times New Roman" w:eastAsia="宋体" w:cs="Times New Roman"/>
                <w:highlight w:val="none"/>
                <w:lang w:eastAsia="zh-CN"/>
              </w:rPr>
            </w:pPr>
            <w:r>
              <w:rPr>
                <w:rFonts w:hint="default" w:ascii="Times New Roman" w:hAnsi="Times New Roman" w:cs="Times New Roman"/>
                <w:highlight w:val="none"/>
              </w:rPr>
              <w:t>根据堤</w:t>
            </w:r>
            <w:r>
              <w:rPr>
                <w:rFonts w:hint="eastAsia" w:cs="Times New Roman"/>
                <w:highlight w:val="none"/>
                <w:lang w:val="en-US" w:eastAsia="zh-CN"/>
              </w:rPr>
              <w:t>线</w:t>
            </w:r>
            <w:r>
              <w:rPr>
                <w:rFonts w:hint="default" w:ascii="Times New Roman" w:hAnsi="Times New Roman" w:cs="Times New Roman"/>
                <w:highlight w:val="none"/>
              </w:rPr>
              <w:t>布置及总进度安排，该堤防基础施工安排在枯水期</w:t>
            </w:r>
            <w:r>
              <w:rPr>
                <w:rFonts w:hint="default" w:ascii="Times New Roman" w:hAnsi="Times New Roman" w:cs="Times New Roman"/>
                <w:highlight w:val="none"/>
                <w:lang w:eastAsia="zh-CN"/>
              </w:rPr>
              <w:t>，</w:t>
            </w:r>
            <w:r>
              <w:rPr>
                <w:rFonts w:hint="default" w:ascii="Times New Roman" w:hAnsi="Times New Roman" w:cs="Times New Roman"/>
                <w:highlight w:val="none"/>
              </w:rPr>
              <w:t>根据工程规模，工期要求及河床特性，</w:t>
            </w:r>
            <w:r>
              <w:rPr>
                <w:spacing w:val="7"/>
                <w:highlight w:val="none"/>
              </w:rPr>
              <w:t>设围堰利用原河道进行导流</w:t>
            </w:r>
            <w:r>
              <w:rPr>
                <w:rFonts w:hint="default" w:ascii="Times New Roman" w:hAnsi="Times New Roman" w:cs="Times New Roman"/>
                <w:highlight w:val="none"/>
              </w:rPr>
              <w:t>，并配水泵抽水导流</w:t>
            </w:r>
            <w:r>
              <w:rPr>
                <w:rFonts w:hint="default" w:ascii="Times New Roman" w:hAnsi="Times New Roman" w:cs="Times New Roman"/>
                <w:highlight w:val="none"/>
                <w:lang w:eastAsia="zh-CN"/>
              </w:rPr>
              <w:t>，</w:t>
            </w:r>
            <w:r>
              <w:rPr>
                <w:rFonts w:hint="default" w:ascii="Times New Roman" w:hAnsi="Times New Roman" w:cs="Times New Roman"/>
                <w:highlight w:val="none"/>
              </w:rPr>
              <w:t>导流围堰采用</w:t>
            </w:r>
            <w:r>
              <w:rPr>
                <w:highlight w:val="none"/>
              </w:rPr>
              <w:t>袋装粉质黏土</w:t>
            </w:r>
            <w:r>
              <w:rPr>
                <w:rFonts w:hint="default" w:ascii="Times New Roman" w:hAnsi="Times New Roman" w:cs="Times New Roman"/>
                <w:highlight w:val="none"/>
              </w:rPr>
              <w:t>，</w:t>
            </w:r>
            <w:r>
              <w:rPr>
                <w:rFonts w:hint="default" w:ascii="Times New Roman" w:hAnsi="Times New Roman" w:cs="Times New Roman"/>
                <w:highlight w:val="none"/>
                <w:lang w:val="en-US" w:eastAsia="zh-CN"/>
              </w:rPr>
              <w:t>结合</w:t>
            </w:r>
            <w:r>
              <w:rPr>
                <w:rFonts w:hint="default" w:ascii="Times New Roman" w:hAnsi="Times New Roman" w:cs="Times New Roman"/>
                <w:highlight w:val="none"/>
              </w:rPr>
              <w:t>土工膜防渗</w:t>
            </w:r>
            <w:r>
              <w:rPr>
                <w:rFonts w:hint="default" w:ascii="Times New Roman" w:hAnsi="Times New Roman" w:cs="Times New Roman"/>
                <w:highlight w:val="none"/>
                <w:lang w:eastAsia="zh-CN"/>
              </w:rPr>
              <w:t>。</w:t>
            </w:r>
          </w:p>
          <w:p>
            <w:pPr>
              <w:bidi w:val="0"/>
              <w:rPr>
                <w:rFonts w:hint="default" w:ascii="Times New Roman" w:hAnsi="Times New Roman" w:cs="Times New Roman"/>
                <w:highlight w:val="none"/>
                <w:lang w:val="en-US" w:eastAsia="zh-CN"/>
              </w:rPr>
            </w:pPr>
            <w:r>
              <w:rPr>
                <w:rFonts w:hint="default" w:ascii="Times New Roman" w:hAnsi="Times New Roman" w:cs="Times New Roman"/>
                <w:highlight w:val="none"/>
              </w:rPr>
              <w:t>④围堰</w:t>
            </w:r>
            <w:r>
              <w:rPr>
                <w:rFonts w:hint="default" w:ascii="Times New Roman" w:hAnsi="Times New Roman" w:cs="Times New Roman"/>
                <w:highlight w:val="none"/>
                <w:lang w:val="en-US" w:eastAsia="zh-CN"/>
              </w:rPr>
              <w:t>施工</w:t>
            </w:r>
          </w:p>
          <w:p>
            <w:pPr>
              <w:bidi w:val="0"/>
              <w:rPr>
                <w:highlight w:val="none"/>
              </w:rPr>
            </w:pPr>
            <w:r>
              <w:rPr>
                <w:highlight w:val="none"/>
              </w:rPr>
              <w:t>导流围堰高2m，顶宽2m，防渗采用袋装粉质黏土配合土工膜，围堰主体采用开挖石碴料碾压而成，围堰总长1042m。</w:t>
            </w:r>
          </w:p>
          <w:p>
            <w:pPr>
              <w:bidi w:val="0"/>
              <w:rPr>
                <w:rFonts w:hint="default"/>
                <w:highlight w:val="none"/>
              </w:rPr>
            </w:pPr>
            <w:r>
              <w:rPr>
                <w:rFonts w:hint="default"/>
                <w:highlight w:val="none"/>
              </w:rPr>
              <w:t>围堰拆除先下游围堰，再上游围堰。</w:t>
            </w:r>
            <w:r>
              <w:rPr>
                <w:rFonts w:hint="default" w:ascii="Times New Roman" w:hAnsi="Times New Roman" w:cs="Times New Roman"/>
                <w:highlight w:val="none"/>
              </w:rPr>
              <w:t>围堰拆除采用1.0m</w:t>
            </w:r>
            <w:r>
              <w:rPr>
                <w:rFonts w:hint="default" w:ascii="Times New Roman" w:hAnsi="Times New Roman" w:cs="Times New Roman"/>
                <w:highlight w:val="none"/>
                <w:vertAlign w:val="superscript"/>
              </w:rPr>
              <w:t>3</w:t>
            </w:r>
            <w:r>
              <w:rPr>
                <w:rFonts w:hint="default" w:ascii="Times New Roman" w:hAnsi="Times New Roman" w:cs="Times New Roman"/>
                <w:highlight w:val="none"/>
              </w:rPr>
              <w:t>长臂反铲挖掘机逐步挖除，装10t自卸汽车运至临时堆渣区域</w:t>
            </w: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用于堤身填筑</w:t>
            </w:r>
            <w:r>
              <w:rPr>
                <w:rFonts w:hint="default" w:ascii="Times New Roman" w:hAnsi="Times New Roman" w:cs="Times New Roman"/>
                <w:highlight w:val="none"/>
              </w:rPr>
              <w:t>。</w:t>
            </w:r>
          </w:p>
          <w:p>
            <w:pPr>
              <w:rPr>
                <w:rFonts w:hint="default" w:ascii="Times New Roman" w:hAnsi="Times New Roman" w:cs="Times New Roman"/>
                <w:highlight w:val="none"/>
              </w:rPr>
            </w:pPr>
            <w:r>
              <w:rPr>
                <w:rFonts w:hint="default" w:ascii="Times New Roman" w:hAnsi="Times New Roman" w:cs="Times New Roman"/>
                <w:i w:val="0"/>
                <w:iCs w:val="0"/>
                <w:color w:val="auto"/>
                <w:highlight w:val="none"/>
              </w:rPr>
              <w:t>⑤</w:t>
            </w:r>
            <w:r>
              <w:rPr>
                <w:rFonts w:hint="default" w:ascii="Times New Roman" w:hAnsi="Times New Roman" w:cs="Times New Roman"/>
                <w:highlight w:val="none"/>
                <w:lang w:val="en-US" w:eastAsia="zh-CN"/>
              </w:rPr>
              <w:t>防洪堤</w:t>
            </w:r>
            <w:r>
              <w:rPr>
                <w:rFonts w:hint="default" w:ascii="Times New Roman" w:hAnsi="Times New Roman" w:cs="Times New Roman"/>
                <w:highlight w:val="none"/>
              </w:rPr>
              <w:t>基坑排水</w:t>
            </w:r>
          </w:p>
          <w:p>
            <w:pPr>
              <w:bidi w:val="0"/>
              <w:rPr>
                <w:rFonts w:hint="eastAsia" w:eastAsia="宋体"/>
                <w:highlight w:val="none"/>
                <w:lang w:eastAsia="zh-CN"/>
              </w:rPr>
            </w:pPr>
            <w:r>
              <w:rPr>
                <w:highlight w:val="none"/>
              </w:rPr>
              <w:t>根据施工情况和基岩渗漏情况，采用初期排水和经常性排水两种方式，排出基坑内的积水和渗水，以保持基坑干燥，保证施工进度。每一施工段经常性排水设离心泵40-200I（5.5kW）3～4台，采用浮式排水，抽排出集水坑内的积水</w:t>
            </w:r>
            <w:r>
              <w:rPr>
                <w:rFonts w:hint="eastAsia"/>
                <w:highlight w:val="none"/>
                <w:lang w:eastAsia="zh-CN"/>
              </w:rPr>
              <w:t>。</w:t>
            </w:r>
          </w:p>
          <w:p>
            <w:pPr>
              <w:bidi w:val="0"/>
              <w:rPr>
                <w:rFonts w:hint="default" w:ascii="Times New Roman" w:hAnsi="Times New Roman" w:cs="Times New Roman"/>
                <w:b/>
                <w:bCs/>
                <w:highlight w:val="none"/>
                <w:lang w:val="en-US" w:eastAsia="zh-CN"/>
              </w:rPr>
            </w:pPr>
            <w:r>
              <w:rPr>
                <w:rFonts w:hint="default" w:ascii="Times New Roman" w:hAnsi="Times New Roman" w:cs="Times New Roman"/>
                <w:b/>
                <w:bCs/>
                <w:highlight w:val="none"/>
                <w:lang w:val="en-US" w:eastAsia="zh-CN"/>
              </w:rPr>
              <w:t>（2）土石方开挖</w:t>
            </w:r>
          </w:p>
          <w:p>
            <w:pPr>
              <w:bidi w:val="0"/>
              <w:rPr>
                <w:highlight w:val="none"/>
              </w:rPr>
            </w:pPr>
            <w:r>
              <w:rPr>
                <w:highlight w:val="none"/>
              </w:rPr>
              <w:t>总的施工程序：开挖应遵循自上而下的原则，不应掏根挖土和反坡挖土，先覆盖层，后土石方分层开挖。</w:t>
            </w:r>
          </w:p>
          <w:p>
            <w:pPr>
              <w:bidi w:val="0"/>
              <w:rPr>
                <w:rFonts w:hint="eastAsia" w:eastAsia="宋体"/>
                <w:highlight w:val="none"/>
                <w:lang w:val="en-US" w:eastAsia="zh-CN"/>
              </w:rPr>
            </w:pPr>
            <w:r>
              <w:rPr>
                <w:rFonts w:hint="default"/>
                <w:highlight w:val="none"/>
              </w:rPr>
              <w:t>①</w:t>
            </w:r>
            <w:r>
              <w:rPr>
                <w:rFonts w:hint="eastAsia"/>
                <w:highlight w:val="none"/>
                <w:lang w:val="en-US" w:eastAsia="zh-CN"/>
              </w:rPr>
              <w:t>土方开挖</w:t>
            </w:r>
          </w:p>
          <w:p>
            <w:pPr>
              <w:bidi w:val="0"/>
              <w:rPr>
                <w:highlight w:val="none"/>
              </w:rPr>
            </w:pPr>
            <w:r>
              <w:rPr>
                <w:highlight w:val="none"/>
              </w:rPr>
              <w:t>砂卵石及土方开挖采用整体统一开挖，地表植被、树根、杂草、垃圾、废碴采用TY220(220马力)推土机辅以人工清理，开挖采用</w:t>
            </w:r>
            <w:r>
              <w:rPr>
                <w:rFonts w:hint="eastAsia"/>
                <w:highlight w:val="none"/>
                <w:lang w:val="en-US" w:eastAsia="zh-CN"/>
              </w:rPr>
              <w:t>1</w:t>
            </w:r>
            <w:r>
              <w:rPr>
                <w:highlight w:val="none"/>
              </w:rPr>
              <w:t>.6m</w:t>
            </w:r>
            <w:r>
              <w:rPr>
                <w:rFonts w:hint="eastAsia"/>
                <w:highlight w:val="none"/>
                <w:vertAlign w:val="superscript"/>
                <w:lang w:val="en-US" w:eastAsia="zh-CN"/>
              </w:rPr>
              <w:t>3</w:t>
            </w:r>
            <w:r>
              <w:rPr>
                <w:highlight w:val="none"/>
              </w:rPr>
              <w:t>挖掘机分层开挖；岸墙墙身土方开挖采用PC200挖掘机开挖，后人工修坡削渣至基础平台；边坡采用1.6m</w:t>
            </w:r>
            <w:r>
              <w:rPr>
                <w:rFonts w:hint="eastAsia"/>
                <w:highlight w:val="none"/>
                <w:vertAlign w:val="superscript"/>
                <w:lang w:val="en-US" w:eastAsia="zh-CN"/>
              </w:rPr>
              <w:t>3</w:t>
            </w:r>
            <w:r>
              <w:rPr>
                <w:highlight w:val="none"/>
              </w:rPr>
              <w:t>反铲削坡成形，辅以人工修整。弃渣采用推土机集渣，1.6m</w:t>
            </w:r>
            <w:r>
              <w:rPr>
                <w:rFonts w:hint="eastAsia"/>
                <w:highlight w:val="none"/>
                <w:vertAlign w:val="superscript"/>
                <w:lang w:val="en-US" w:eastAsia="zh-CN"/>
              </w:rPr>
              <w:t>3</w:t>
            </w:r>
            <w:r>
              <w:rPr>
                <w:highlight w:val="none"/>
              </w:rPr>
              <w:t>~2m</w:t>
            </w:r>
            <w:r>
              <w:rPr>
                <w:rFonts w:hint="eastAsia"/>
                <w:highlight w:val="none"/>
                <w:vertAlign w:val="superscript"/>
                <w:lang w:val="en-US" w:eastAsia="zh-CN"/>
              </w:rPr>
              <w:t>3</w:t>
            </w:r>
            <w:r>
              <w:rPr>
                <w:highlight w:val="none"/>
              </w:rPr>
              <w:t>反铲挖装，10t～15t自卸汽车运输至胡家城市规划区内，运距1.0km。</w:t>
            </w:r>
          </w:p>
          <w:p>
            <w:pPr>
              <w:bidi w:val="0"/>
              <w:rPr>
                <w:rFonts w:hint="eastAsia" w:cs="Times New Roman"/>
                <w:highlight w:val="none"/>
                <w:lang w:val="en-US" w:eastAsia="zh-CN"/>
              </w:rPr>
            </w:pPr>
            <w:r>
              <w:rPr>
                <w:rFonts w:hint="default" w:ascii="Times New Roman" w:hAnsi="Times New Roman" w:cs="Times New Roman"/>
                <w:highlight w:val="none"/>
              </w:rPr>
              <w:t>②</w:t>
            </w:r>
            <w:r>
              <w:rPr>
                <w:rFonts w:hint="eastAsia" w:cs="Times New Roman"/>
                <w:highlight w:val="none"/>
                <w:lang w:val="en-US" w:eastAsia="zh-CN"/>
              </w:rPr>
              <w:t>石方开挖</w:t>
            </w:r>
          </w:p>
          <w:p>
            <w:pPr>
              <w:bidi w:val="0"/>
              <w:rPr>
                <w:highlight w:val="none"/>
              </w:rPr>
            </w:pPr>
            <w:r>
              <w:rPr>
                <w:highlight w:val="none"/>
              </w:rPr>
              <w:t>本工程石方开挖采用浅孔松动弱爆破法配合机械开挖。本工程开挖的石渣料（符合设计质量要求）拟部分用于堤身填筑，开挖过程中应注意防止与杂填土或其它杂物混杂。1.6m</w:t>
            </w:r>
            <w:r>
              <w:rPr>
                <w:rFonts w:hint="eastAsia"/>
                <w:highlight w:val="none"/>
                <w:vertAlign w:val="superscript"/>
                <w:lang w:val="en-US" w:eastAsia="zh-CN"/>
              </w:rPr>
              <w:t>3</w:t>
            </w:r>
            <w:r>
              <w:rPr>
                <w:highlight w:val="none"/>
              </w:rPr>
              <w:t>反铲挖装，8t自卸汽车运输至临时堆渣场。弃渣采用59kW推土机集渣，1.6m</w:t>
            </w:r>
            <w:r>
              <w:rPr>
                <w:rFonts w:hint="eastAsia"/>
                <w:highlight w:val="none"/>
                <w:vertAlign w:val="superscript"/>
                <w:lang w:val="en-US" w:eastAsia="zh-CN"/>
              </w:rPr>
              <w:t>3</w:t>
            </w:r>
            <w:r>
              <w:rPr>
                <w:highlight w:val="none"/>
              </w:rPr>
              <w:t>~2m</w:t>
            </w:r>
            <w:r>
              <w:rPr>
                <w:rFonts w:hint="eastAsia"/>
                <w:highlight w:val="none"/>
                <w:vertAlign w:val="superscript"/>
                <w:lang w:val="en-US" w:eastAsia="zh-CN"/>
              </w:rPr>
              <w:t>3</w:t>
            </w:r>
            <w:r>
              <w:rPr>
                <w:highlight w:val="none"/>
              </w:rPr>
              <w:t>反铲挖装，10t～15t自卸汽车运输至胡家城市规划区内，运距1.0km。</w:t>
            </w:r>
          </w:p>
          <w:p>
            <w:pPr>
              <w:numPr>
                <w:ilvl w:val="0"/>
                <w:numId w:val="2"/>
              </w:numPr>
              <w:bidi w:val="0"/>
              <w:ind w:left="0" w:leftChars="0" w:firstLine="482" w:firstLineChars="200"/>
              <w:rPr>
                <w:rFonts w:hint="eastAsia" w:cs="Times New Roman"/>
                <w:b/>
                <w:bCs/>
                <w:highlight w:val="none"/>
                <w:lang w:val="en-US" w:eastAsia="zh-CN"/>
              </w:rPr>
            </w:pPr>
            <w:r>
              <w:rPr>
                <w:rFonts w:hint="eastAsia" w:cs="Times New Roman"/>
                <w:b/>
                <w:bCs/>
                <w:highlight w:val="none"/>
                <w:lang w:val="en-US" w:eastAsia="zh-CN"/>
              </w:rPr>
              <w:t>土石填筑</w:t>
            </w:r>
          </w:p>
          <w:p>
            <w:pPr>
              <w:bidi w:val="0"/>
              <w:rPr>
                <w:highlight w:val="none"/>
              </w:rPr>
            </w:pPr>
            <w:r>
              <w:rPr>
                <w:highlight w:val="none"/>
              </w:rPr>
              <w:t>本工程土石料填筑利用开挖的砂卵砾石料和石渣料，采用1.6m</w:t>
            </w:r>
            <w:r>
              <w:rPr>
                <w:rFonts w:hint="eastAsia"/>
                <w:highlight w:val="none"/>
                <w:vertAlign w:val="superscript"/>
                <w:lang w:val="en-US" w:eastAsia="zh-CN"/>
              </w:rPr>
              <w:t>3</w:t>
            </w:r>
            <w:r>
              <w:rPr>
                <w:highlight w:val="none"/>
              </w:rPr>
              <w:t>~2m</w:t>
            </w:r>
            <w:r>
              <w:rPr>
                <w:rFonts w:hint="eastAsia"/>
                <w:highlight w:val="none"/>
                <w:vertAlign w:val="superscript"/>
                <w:lang w:val="en-US" w:eastAsia="zh-CN"/>
              </w:rPr>
              <w:t>3</w:t>
            </w:r>
            <w:r>
              <w:rPr>
                <w:highlight w:val="none"/>
              </w:rPr>
              <w:t>液压反铲挖装，10t～15t自卸汽车由临时堆渣场直接运输至填筑面，平均运距1.0km。石渣料填筑采用59kW推土机摊铺，铺料厚度0.3m，利用2.8kW蛙式夯夯实。其填筑施工按铺料、洒水、压实和质检等作业内容进行施工。</w:t>
            </w:r>
          </w:p>
          <w:p>
            <w:pPr>
              <w:numPr>
                <w:ilvl w:val="0"/>
                <w:numId w:val="2"/>
              </w:numPr>
              <w:bidi w:val="0"/>
              <w:ind w:left="0" w:leftChars="0" w:firstLine="514" w:firstLineChars="200"/>
              <w:rPr>
                <w:rFonts w:hint="default" w:ascii="Times New Roman" w:hAnsi="Times New Roman" w:cs="Times New Roman"/>
                <w:b/>
                <w:bCs/>
                <w:highlight w:val="none"/>
                <w:lang w:val="zh-CN"/>
              </w:rPr>
            </w:pPr>
            <w:r>
              <w:rPr>
                <w:b/>
                <w:bCs/>
                <w:spacing w:val="8"/>
                <w:highlight w:val="none"/>
              </w:rPr>
              <w:t>垫层及砂砾石滤料</w:t>
            </w:r>
          </w:p>
          <w:p>
            <w:pPr>
              <w:bidi w:val="0"/>
              <w:rPr>
                <w:highlight w:val="none"/>
              </w:rPr>
            </w:pPr>
            <w:r>
              <w:rPr>
                <w:highlight w:val="none"/>
              </w:rPr>
              <w:t>垫层料和滤料采用人工摊铺，蛙式夯夯实。</w:t>
            </w:r>
          </w:p>
          <w:p>
            <w:pPr>
              <w:numPr>
                <w:ilvl w:val="0"/>
                <w:numId w:val="2"/>
              </w:numPr>
              <w:bidi w:val="0"/>
              <w:ind w:left="0" w:leftChars="0" w:firstLine="482" w:firstLineChars="200"/>
              <w:rPr>
                <w:rFonts w:hint="default" w:ascii="Times New Roman" w:hAnsi="Times New Roman" w:cs="Times New Roman"/>
                <w:b/>
                <w:bCs/>
                <w:highlight w:val="none"/>
                <w:lang w:val="zh-CN"/>
              </w:rPr>
            </w:pPr>
            <w:r>
              <w:rPr>
                <w:rFonts w:hint="default" w:ascii="Times New Roman" w:hAnsi="Times New Roman" w:cs="Times New Roman"/>
                <w:b/>
                <w:bCs/>
                <w:highlight w:val="none"/>
                <w:lang w:val="zh-CN"/>
              </w:rPr>
              <w:t>混凝土浇筑</w:t>
            </w:r>
          </w:p>
          <w:p>
            <w:pPr>
              <w:bidi w:val="0"/>
              <w:rPr>
                <w:highlight w:val="none"/>
              </w:rPr>
            </w:pPr>
            <w:r>
              <w:rPr>
                <w:highlight w:val="none"/>
              </w:rPr>
              <w:t>砼由0.8m</w:t>
            </w:r>
            <w:r>
              <w:rPr>
                <w:rFonts w:hint="eastAsia"/>
                <w:highlight w:val="none"/>
                <w:vertAlign w:val="superscript"/>
                <w:lang w:val="en-US" w:eastAsia="zh-CN"/>
              </w:rPr>
              <w:t>3</w:t>
            </w:r>
            <w:r>
              <w:rPr>
                <w:highlight w:val="none"/>
              </w:rPr>
              <w:t>拌和机生产，人力推胶轮车运输，水平运距100m，经溜槽入仓，人工平仓，机械振捣。砼浇筑模板采用钢模。混凝土的材料和拌制要求严格按照混凝土施工技术规范的规定执行。控制砼各成分(水、骨料、水泥等)质量，确保砼质量符合设计要求。</w:t>
            </w:r>
          </w:p>
          <w:p>
            <w:pPr>
              <w:bidi w:val="0"/>
              <w:rPr>
                <w:rFonts w:hint="default"/>
                <w:b/>
                <w:bCs/>
                <w:highlight w:val="none"/>
              </w:rPr>
            </w:pPr>
            <w:r>
              <w:rPr>
                <w:rFonts w:hint="eastAsia"/>
                <w:b/>
                <w:bCs/>
                <w:highlight w:val="none"/>
                <w:lang w:eastAsia="zh-CN"/>
              </w:rPr>
              <w:t>（</w:t>
            </w:r>
            <w:r>
              <w:rPr>
                <w:rFonts w:hint="eastAsia"/>
                <w:b/>
                <w:bCs/>
                <w:highlight w:val="none"/>
                <w:lang w:val="en-US" w:eastAsia="zh-CN"/>
              </w:rPr>
              <w:t>6</w:t>
            </w:r>
            <w:r>
              <w:rPr>
                <w:rFonts w:hint="eastAsia"/>
                <w:b/>
                <w:bCs/>
                <w:highlight w:val="none"/>
                <w:lang w:eastAsia="zh-CN"/>
              </w:rPr>
              <w:t>）</w:t>
            </w:r>
            <w:r>
              <w:rPr>
                <w:rFonts w:hint="default"/>
                <w:b/>
                <w:bCs/>
                <w:highlight w:val="none"/>
              </w:rPr>
              <w:t>下河梯步</w:t>
            </w:r>
          </w:p>
          <w:p>
            <w:pPr>
              <w:bidi w:val="0"/>
              <w:rPr>
                <w:highlight w:val="none"/>
              </w:rPr>
            </w:pPr>
            <w:r>
              <w:rPr>
                <w:highlight w:val="none"/>
              </w:rPr>
              <w:t>为便于场镇居民下河通行，增加堤防的亲水性，本工程每间隔200m设置宽3.0m的人行梯步，全线共设置人行梯步6处。梯步为C25砼，厚度0.2m，</w:t>
            </w:r>
            <w:r>
              <w:rPr>
                <w:rFonts w:hint="eastAsia"/>
                <w:highlight w:val="none"/>
                <w:lang w:val="en-US" w:eastAsia="zh-CN"/>
              </w:rPr>
              <w:t>堤</w:t>
            </w:r>
            <w:r>
              <w:rPr>
                <w:highlight w:val="none"/>
              </w:rPr>
              <w:t>步0.17m，踏步0.3m。</w:t>
            </w:r>
          </w:p>
          <w:p>
            <w:pPr>
              <w:ind w:firstLine="480"/>
              <w:rPr>
                <w:rFonts w:hint="default" w:ascii="Times New Roman" w:hAnsi="Times New Roman" w:cs="Times New Roman"/>
                <w:b/>
                <w:bCs/>
                <w:color w:val="auto"/>
                <w:highlight w:val="none"/>
                <w:u w:val="none"/>
                <w:lang w:val="en-US" w:eastAsia="zh-CN"/>
              </w:rPr>
            </w:pPr>
            <w:r>
              <w:rPr>
                <w:rFonts w:hint="eastAsia" w:cs="Times New Roman"/>
                <w:b/>
                <w:bCs/>
                <w:color w:val="auto"/>
                <w:highlight w:val="none"/>
                <w:u w:val="none"/>
                <w:lang w:val="en-US" w:eastAsia="zh-CN"/>
              </w:rPr>
              <w:t>2、</w:t>
            </w:r>
            <w:r>
              <w:rPr>
                <w:rFonts w:hint="default" w:ascii="Times New Roman" w:hAnsi="Times New Roman" w:cs="Times New Roman"/>
                <w:b/>
                <w:bCs/>
                <w:color w:val="auto"/>
                <w:highlight w:val="none"/>
                <w:u w:val="none"/>
                <w:lang w:val="en-US" w:eastAsia="zh-CN"/>
              </w:rPr>
              <w:t>施工计划</w:t>
            </w:r>
          </w:p>
          <w:p>
            <w:pPr>
              <w:bidi w:val="0"/>
              <w:rPr>
                <w:rFonts w:hint="default"/>
                <w:highlight w:val="none"/>
                <w:lang w:val="en-US" w:eastAsia="zh-CN"/>
              </w:rPr>
            </w:pPr>
            <w:r>
              <w:rPr>
                <w:rFonts w:hint="default"/>
                <w:highlight w:val="none"/>
                <w:lang w:val="en-US" w:eastAsia="zh-CN"/>
              </w:rPr>
              <w:t>工程建设分三期：</w:t>
            </w:r>
            <w:r>
              <w:rPr>
                <w:rFonts w:hint="default"/>
                <w:highlight w:val="none"/>
              </w:rPr>
              <w:t>即</w:t>
            </w:r>
            <w:r>
              <w:rPr>
                <w:rFonts w:hint="eastAsia"/>
                <w:highlight w:val="none"/>
                <w:lang w:val="en-US" w:eastAsia="zh-CN"/>
              </w:rPr>
              <w:t>工程筹备期、工程</w:t>
            </w:r>
            <w:r>
              <w:rPr>
                <w:rFonts w:hint="default"/>
                <w:highlight w:val="none"/>
              </w:rPr>
              <w:t>准备期，主体工程施工期，工程完建期。</w:t>
            </w:r>
            <w:r>
              <w:rPr>
                <w:highlight w:val="none"/>
              </w:rPr>
              <w:t>本防洪堤工程施工总工期不包括筹建期</w:t>
            </w:r>
            <w:r>
              <w:rPr>
                <w:rFonts w:hint="eastAsia"/>
                <w:highlight w:val="none"/>
                <w:lang w:eastAsia="zh-CN"/>
              </w:rPr>
              <w:t>，</w:t>
            </w:r>
            <w:r>
              <w:rPr>
                <w:rFonts w:hint="default"/>
                <w:highlight w:val="none"/>
                <w:lang w:val="en-US" w:eastAsia="zh-CN"/>
              </w:rPr>
              <w:t>工程总工期按7个月安排，</w:t>
            </w:r>
            <w:r>
              <w:rPr>
                <w:rFonts w:hint="eastAsia"/>
                <w:highlight w:val="none"/>
                <w:lang w:val="en-US" w:eastAsia="zh-CN"/>
              </w:rPr>
              <w:t>筹备期2个月，</w:t>
            </w:r>
            <w:r>
              <w:rPr>
                <w:rFonts w:hint="default"/>
                <w:highlight w:val="none"/>
                <w:lang w:val="en-US" w:eastAsia="zh-CN"/>
              </w:rPr>
              <w:t>准备期1个月，主体工程施工期5个月，工程完建期1个月。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57" w:type="dxa"/>
            <w:tcBorders>
              <w:tl2br w:val="nil"/>
              <w:tr2bl w:val="nil"/>
            </w:tcBorders>
          </w:tcPr>
          <w:p>
            <w:pPr>
              <w:bidi w:val="0"/>
              <w:ind w:left="0" w:leftChars="0" w:firstLine="0" w:firstLineChars="0"/>
              <w:rPr>
                <w:rFonts w:hint="default" w:ascii="Times New Roman" w:hAnsi="Times New Roman" w:cs="Times New Roman"/>
                <w:b/>
                <w:bCs/>
                <w:color w:val="auto"/>
                <w:highlight w:val="none"/>
                <w:vertAlign w:val="baseline"/>
                <w:lang w:val="en-US" w:eastAsia="zh-CN"/>
              </w:rPr>
            </w:pPr>
            <w:r>
              <w:rPr>
                <w:rFonts w:hint="eastAsia" w:cs="Times New Roman"/>
                <w:b/>
                <w:bCs/>
                <w:color w:val="auto"/>
                <w:highlight w:val="none"/>
                <w:vertAlign w:val="baseline"/>
                <w:lang w:val="en-US" w:eastAsia="zh-CN"/>
              </w:rPr>
              <w:t>其他</w:t>
            </w:r>
          </w:p>
        </w:tc>
        <w:tc>
          <w:tcPr>
            <w:tcW w:w="8776" w:type="dxa"/>
            <w:tcBorders>
              <w:tl2br w:val="nil"/>
              <w:tr2bl w:val="nil"/>
            </w:tcBorders>
          </w:tcPr>
          <w:p>
            <w:pPr>
              <w:bidi w:val="0"/>
              <w:rPr>
                <w:rFonts w:hint="default" w:ascii="Times New Roman" w:hAnsi="Times New Roman" w:cs="Times New Roman"/>
                <w:highlight w:val="none"/>
              </w:rPr>
            </w:pPr>
            <w:r>
              <w:rPr>
                <w:rFonts w:hint="default" w:ascii="Times New Roman" w:hAnsi="Times New Roman" w:cs="Times New Roman"/>
                <w:highlight w:val="none"/>
              </w:rPr>
              <w:t>本工程</w:t>
            </w:r>
            <w:r>
              <w:rPr>
                <w:rFonts w:hint="default" w:ascii="Times New Roman" w:hAnsi="Times New Roman" w:cs="Times New Roman"/>
                <w:highlight w:val="none"/>
                <w:lang w:val="en-US" w:eastAsia="zh-CN"/>
              </w:rPr>
              <w:t>属于现有河道左岸、右岸的河堤新建工程</w:t>
            </w:r>
            <w:r>
              <w:rPr>
                <w:rFonts w:hint="default" w:ascii="Times New Roman" w:hAnsi="Times New Roman" w:cs="Times New Roman"/>
                <w:highlight w:val="none"/>
              </w:rPr>
              <w:t>，路线唯一，无比选方案。</w:t>
            </w:r>
          </w:p>
          <w:p>
            <w:pPr>
              <w:bidi w:val="0"/>
              <w:rPr>
                <w:rFonts w:hint="default"/>
                <w:highlight w:val="none"/>
                <w:lang w:val="en-US" w:eastAsia="zh-CN"/>
              </w:rPr>
            </w:pPr>
          </w:p>
          <w:p>
            <w:pPr>
              <w:bidi w:val="0"/>
              <w:rPr>
                <w:rFonts w:hint="default"/>
                <w:highlight w:val="none"/>
                <w:lang w:val="en-US" w:eastAsia="zh-CN"/>
              </w:rPr>
            </w:pPr>
          </w:p>
          <w:p>
            <w:pPr>
              <w:bidi w:val="0"/>
              <w:rPr>
                <w:rFonts w:hint="default"/>
                <w:highlight w:val="none"/>
                <w:lang w:val="en-US" w:eastAsia="zh-CN"/>
              </w:rPr>
            </w:pPr>
          </w:p>
          <w:p>
            <w:pPr>
              <w:bidi w:val="0"/>
              <w:rPr>
                <w:rFonts w:hint="default"/>
                <w:highlight w:val="none"/>
                <w:lang w:val="en-US" w:eastAsia="zh-CN"/>
              </w:rPr>
            </w:pPr>
          </w:p>
          <w:p>
            <w:pPr>
              <w:bidi w:val="0"/>
              <w:rPr>
                <w:rFonts w:hint="default"/>
                <w:highlight w:val="none"/>
                <w:lang w:val="en-US" w:eastAsia="zh-CN"/>
              </w:rPr>
            </w:pPr>
          </w:p>
          <w:p>
            <w:pPr>
              <w:bidi w:val="0"/>
              <w:rPr>
                <w:rFonts w:hint="default"/>
                <w:highlight w:val="none"/>
                <w:lang w:val="en-US" w:eastAsia="zh-CN"/>
              </w:rPr>
            </w:pPr>
          </w:p>
        </w:tc>
      </w:tr>
    </w:tbl>
    <w:p>
      <w:pPr>
        <w:rPr>
          <w:rFonts w:hint="default" w:ascii="宋体" w:hAnsi="宋体" w:eastAsia="宋体"/>
          <w:b w:val="0"/>
          <w:bCs w:val="0"/>
          <w:sz w:val="28"/>
          <w:szCs w:val="28"/>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2"/>
        <w:bidi w:val="0"/>
        <w:rPr>
          <w:color w:val="auto"/>
        </w:rPr>
      </w:pPr>
      <w:bookmarkStart w:id="43" w:name="_Toc12326"/>
      <w:bookmarkStart w:id="44" w:name="_Toc20247"/>
      <w:bookmarkStart w:id="45" w:name="_Toc3889"/>
      <w:bookmarkStart w:id="46" w:name="_Toc19262"/>
      <w:bookmarkStart w:id="47" w:name="_Toc16935"/>
      <w:bookmarkStart w:id="48" w:name="_Toc26747"/>
      <w:bookmarkStart w:id="49" w:name="_Toc15005"/>
      <w:bookmarkStart w:id="50" w:name="_Toc18143"/>
      <w:bookmarkStart w:id="51" w:name="_Toc5308"/>
      <w:bookmarkStart w:id="52" w:name="_Toc28653"/>
      <w:bookmarkStart w:id="53" w:name="_Toc4089"/>
      <w:bookmarkStart w:id="54" w:name="_Toc13085"/>
      <w:bookmarkStart w:id="55" w:name="_Toc2516"/>
      <w:bookmarkStart w:id="56" w:name="_Toc11304"/>
      <w:bookmarkStart w:id="57" w:name="_Toc31846"/>
      <w:bookmarkStart w:id="58" w:name="_Toc10059"/>
      <w:r>
        <w:rPr>
          <w:color w:val="auto"/>
        </w:rPr>
        <w:t>三、生态环境现状、保护目标及评价标准</w:t>
      </w:r>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p>
    <w:tbl>
      <w:tblPr>
        <w:tblStyle w:val="12"/>
        <w:tblW w:w="9281" w:type="dxa"/>
        <w:tblInd w:w="-26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6"/>
        <w:gridCol w:w="88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6" w:type="dxa"/>
          </w:tcPr>
          <w:p>
            <w:pPr>
              <w:ind w:left="0" w:leftChars="0" w:firstLine="0" w:firstLineChars="0"/>
              <w:rPr>
                <w:rFonts w:hint="default" w:ascii="Times New Roman" w:hAnsi="Times New Roman" w:eastAsia="宋体" w:cs="Times New Roman"/>
                <w:b w:val="0"/>
                <w:bCs w:val="0"/>
                <w:sz w:val="28"/>
                <w:szCs w:val="28"/>
                <w:highlight w:val="none"/>
                <w:vertAlign w:val="baseline"/>
                <w:lang w:val="en-US" w:eastAsia="zh-CN"/>
              </w:rPr>
            </w:pPr>
            <w:r>
              <w:rPr>
                <w:rFonts w:hint="default" w:ascii="Times New Roman" w:hAnsi="Times New Roman" w:cs="Times New Roman"/>
                <w:color w:val="auto"/>
                <w:szCs w:val="21"/>
                <w:highlight w:val="none"/>
              </w:rPr>
              <w:t>生态环境现状</w:t>
            </w:r>
          </w:p>
        </w:tc>
        <w:tc>
          <w:tcPr>
            <w:tcW w:w="8825" w:type="dxa"/>
          </w:tcPr>
          <w:p>
            <w:pPr>
              <w:bidi w:val="0"/>
              <w:rPr>
                <w:rFonts w:hint="default" w:ascii="Times New Roman" w:hAnsi="Times New Roman" w:cs="Times New Roman"/>
                <w:color w:val="auto"/>
                <w:kern w:val="0"/>
                <w:sz w:val="24"/>
                <w:szCs w:val="24"/>
                <w:highlight w:val="none"/>
                <w:u w:val="none"/>
                <w:lang w:val="en-US" w:eastAsia="zh-CN"/>
              </w:rPr>
            </w:pPr>
            <w:r>
              <w:rPr>
                <w:rFonts w:hint="default" w:ascii="Times New Roman" w:hAnsi="Times New Roman" w:cs="Times New Roman"/>
                <w:color w:val="auto"/>
                <w:kern w:val="0"/>
                <w:sz w:val="24"/>
                <w:szCs w:val="24"/>
                <w:highlight w:val="none"/>
                <w:lang w:val="en-US" w:eastAsia="zh-CN"/>
              </w:rPr>
              <w:t>本项目位于农村地区，周边不涉及工业污染源，地表水不存在重金属污染来源，根据对照《建设项目环境影响报告表编制技术指南（生态影响类）（试行）》，本项目不需进行专项评价。本项目不涉及地下水、土壤污染途径，</w:t>
            </w:r>
            <w:r>
              <w:rPr>
                <w:rFonts w:hint="default" w:ascii="Times New Roman" w:hAnsi="Times New Roman" w:cs="Times New Roman"/>
                <w:b w:val="0"/>
                <w:bCs w:val="0"/>
                <w:color w:val="auto"/>
                <w:kern w:val="0"/>
                <w:sz w:val="24"/>
                <w:szCs w:val="24"/>
                <w:highlight w:val="none"/>
                <w:u w:val="none"/>
                <w:lang w:val="en-US" w:eastAsia="zh-CN"/>
              </w:rPr>
              <w:t>本次评价主要针对环境空气、地表水、噪声、生态进行现状调查和评价。</w:t>
            </w:r>
          </w:p>
          <w:p>
            <w:pPr>
              <w:bidi w:val="0"/>
              <w:rPr>
                <w:rFonts w:hint="default" w:ascii="Times New Roman" w:hAnsi="Times New Roman" w:cs="Times New Roman"/>
                <w:color w:val="auto"/>
                <w:highlight w:val="none"/>
              </w:rPr>
            </w:pPr>
            <w:r>
              <w:rPr>
                <w:rFonts w:hint="default" w:ascii="Times New Roman" w:hAnsi="Times New Roman" w:cs="Times New Roman"/>
                <w:b/>
                <w:bCs/>
                <w:color w:val="auto"/>
                <w:highlight w:val="none"/>
              </w:rPr>
              <w:t>一、生态环境现状</w:t>
            </w:r>
          </w:p>
          <w:p>
            <w:pPr>
              <w:numPr>
                <w:ilvl w:val="0"/>
                <w:numId w:val="0"/>
              </w:numPr>
              <w:tabs>
                <w:tab w:val="left" w:pos="1200"/>
              </w:tabs>
              <w:spacing w:before="158" w:after="0" w:line="240" w:lineRule="auto"/>
              <w:ind w:leftChars="200" w:right="0" w:rightChars="0"/>
              <w:jc w:val="left"/>
              <w:rPr>
                <w:rFonts w:hint="default" w:ascii="Times New Roman" w:hAnsi="Times New Roman" w:cs="Times New Roman"/>
                <w:b/>
                <w:color w:val="auto"/>
                <w:sz w:val="22"/>
                <w:highlight w:val="none"/>
              </w:rPr>
            </w:pPr>
            <w:r>
              <w:rPr>
                <w:rFonts w:hint="default" w:ascii="Times New Roman" w:hAnsi="Times New Roman" w:cs="Times New Roman"/>
                <w:b/>
                <w:color w:val="auto"/>
                <w:sz w:val="24"/>
                <w:highlight w:val="none"/>
                <w:lang w:val="en-US" w:eastAsia="zh-CN"/>
              </w:rPr>
              <w:t>1、</w:t>
            </w:r>
            <w:r>
              <w:rPr>
                <w:rFonts w:hint="default" w:ascii="Times New Roman" w:hAnsi="Times New Roman" w:cs="Times New Roman"/>
                <w:b/>
                <w:color w:val="auto"/>
                <w:sz w:val="24"/>
                <w:highlight w:val="none"/>
              </w:rPr>
              <w:t>主体功能区划</w:t>
            </w:r>
          </w:p>
          <w:p>
            <w:pPr>
              <w:spacing w:before="161" w:line="364" w:lineRule="auto"/>
              <w:ind w:left="112" w:right="38" w:firstLine="480"/>
              <w:jc w:val="both"/>
              <w:rPr>
                <w:rFonts w:hint="default" w:ascii="Times New Roman" w:hAnsi="Times New Roman" w:eastAsia="宋体" w:cs="Times New Roman"/>
                <w:color w:val="auto"/>
                <w:spacing w:val="-4"/>
                <w:sz w:val="24"/>
                <w:highlight w:val="none"/>
                <w:lang w:val="en-US" w:eastAsia="zh-CN"/>
              </w:rPr>
            </w:pPr>
            <w:r>
              <w:rPr>
                <w:rFonts w:hint="default" w:ascii="Times New Roman" w:hAnsi="Times New Roman" w:cs="Times New Roman"/>
                <w:color w:val="auto"/>
                <w:spacing w:val="-4"/>
                <w:sz w:val="24"/>
                <w:highlight w:val="none"/>
              </w:rPr>
              <w:t>根据</w:t>
            </w:r>
            <w:r>
              <w:rPr>
                <w:rFonts w:hint="default" w:ascii="Times New Roman" w:hAnsi="Times New Roman" w:cs="Times New Roman"/>
                <w:color w:val="auto"/>
                <w:spacing w:val="-4"/>
                <w:sz w:val="24"/>
                <w:highlight w:val="none"/>
                <w:lang w:val="en-US" w:eastAsia="zh-CN"/>
              </w:rPr>
              <w:t>四川省人民政府</w:t>
            </w:r>
            <w:r>
              <w:rPr>
                <w:rFonts w:hint="default" w:ascii="Times New Roman" w:hAnsi="Times New Roman" w:cs="Times New Roman"/>
                <w:color w:val="auto"/>
                <w:spacing w:val="-4"/>
                <w:sz w:val="24"/>
                <w:highlight w:val="none"/>
                <w:lang w:eastAsia="zh-CN"/>
              </w:rPr>
              <w:t>《</w:t>
            </w:r>
            <w:r>
              <w:rPr>
                <w:rFonts w:hint="default" w:ascii="Times New Roman" w:hAnsi="Times New Roman" w:cs="Times New Roman"/>
                <w:color w:val="auto"/>
                <w:spacing w:val="-4"/>
                <w:sz w:val="24"/>
                <w:highlight w:val="none"/>
                <w:lang w:val="en-US" w:eastAsia="zh-CN"/>
              </w:rPr>
              <w:t>关于印发</w:t>
            </w:r>
            <w:r>
              <w:rPr>
                <w:rFonts w:hint="default" w:ascii="Times New Roman" w:hAnsi="Times New Roman" w:cs="Times New Roman"/>
                <w:color w:val="auto"/>
                <w:spacing w:val="-4"/>
                <w:sz w:val="24"/>
                <w:highlight w:val="none"/>
              </w:rPr>
              <w:t>四川省主体功能区规划</w:t>
            </w:r>
            <w:r>
              <w:rPr>
                <w:rFonts w:hint="default" w:ascii="Times New Roman" w:hAnsi="Times New Roman" w:cs="Times New Roman"/>
                <w:color w:val="auto"/>
                <w:spacing w:val="-4"/>
                <w:sz w:val="24"/>
                <w:highlight w:val="none"/>
                <w:lang w:val="en-US" w:eastAsia="zh-CN"/>
              </w:rPr>
              <w:t>的通知</w:t>
            </w:r>
            <w:r>
              <w:rPr>
                <w:rFonts w:hint="default" w:ascii="Times New Roman" w:hAnsi="Times New Roman" w:cs="Times New Roman"/>
                <w:color w:val="auto"/>
                <w:spacing w:val="-4"/>
                <w:sz w:val="24"/>
                <w:highlight w:val="none"/>
                <w:lang w:eastAsia="zh-CN"/>
              </w:rPr>
              <w:t>》（</w:t>
            </w:r>
            <w:r>
              <w:rPr>
                <w:rFonts w:hint="default" w:ascii="Times New Roman" w:hAnsi="Times New Roman" w:cs="Times New Roman"/>
                <w:color w:val="auto"/>
                <w:spacing w:val="-4"/>
                <w:sz w:val="24"/>
                <w:highlight w:val="none"/>
                <w:lang w:val="en-US" w:eastAsia="zh-CN"/>
              </w:rPr>
              <w:t>川府发</w:t>
            </w:r>
            <w:r>
              <w:rPr>
                <w:rFonts w:hint="default" w:ascii="Times New Roman" w:hAnsi="Times New Roman" w:cs="Times New Roman"/>
                <w:color w:val="auto"/>
                <w:sz w:val="24"/>
                <w:highlight w:val="none"/>
                <w:lang w:eastAsia="zh-CN"/>
              </w:rPr>
              <w:t>【</w:t>
            </w:r>
            <w:r>
              <w:rPr>
                <w:rFonts w:hint="default" w:ascii="Times New Roman" w:hAnsi="Times New Roman" w:eastAsia="Times New Roman" w:cs="Times New Roman"/>
                <w:color w:val="auto"/>
                <w:sz w:val="24"/>
                <w:highlight w:val="none"/>
              </w:rPr>
              <w:t>2014</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16</w:t>
            </w:r>
            <w:r>
              <w:rPr>
                <w:rFonts w:hint="default" w:ascii="Times New Roman" w:hAnsi="Times New Roman" w:cs="Times New Roman"/>
                <w:color w:val="auto"/>
                <w:sz w:val="24"/>
                <w:highlight w:val="none"/>
              </w:rPr>
              <w:t>号</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本项目所在地为达州市宣汉县，属于川东北区，主体功能区划为省级层面重点开发区域（见附图3）。该</w:t>
            </w:r>
            <w:r>
              <w:rPr>
                <w:rFonts w:hint="default" w:ascii="Times New Roman" w:hAnsi="Times New Roman" w:cs="Times New Roman"/>
                <w:color w:val="auto"/>
                <w:spacing w:val="-1"/>
                <w:sz w:val="24"/>
                <w:highlight w:val="none"/>
              </w:rPr>
              <w:t>区功能定位为</w:t>
            </w:r>
            <w:r>
              <w:rPr>
                <w:rFonts w:hint="default" w:ascii="Times New Roman" w:hAnsi="Times New Roman" w:cs="Times New Roman"/>
                <w:color w:val="auto"/>
                <w:spacing w:val="-1"/>
                <w:sz w:val="24"/>
                <w:highlight w:val="none"/>
                <w:lang w:eastAsia="zh-CN"/>
              </w:rPr>
              <w:t>：支撑全省经济增长的重要支撑区，实施加快推进新型工业化新型城镇化的主要承载区，是全省经济和人口密集区。</w:t>
            </w:r>
          </w:p>
          <w:p>
            <w:pPr>
              <w:numPr>
                <w:ilvl w:val="0"/>
                <w:numId w:val="0"/>
              </w:numPr>
              <w:tabs>
                <w:tab w:val="left" w:pos="1194"/>
              </w:tabs>
              <w:spacing w:before="0" w:after="0" w:line="303" w:lineRule="exact"/>
              <w:ind w:leftChars="200" w:right="0" w:rightChars="0"/>
              <w:jc w:val="left"/>
              <w:rPr>
                <w:rFonts w:hint="default" w:ascii="Times New Roman" w:hAnsi="Times New Roman" w:cs="Times New Roman"/>
                <w:b/>
                <w:bCs/>
                <w:color w:val="auto"/>
                <w:sz w:val="22"/>
                <w:highlight w:val="none"/>
              </w:rPr>
            </w:pPr>
            <w:r>
              <w:rPr>
                <w:rFonts w:hint="default" w:ascii="Times New Roman" w:hAnsi="Times New Roman" w:cs="Times New Roman"/>
                <w:b/>
                <w:bCs/>
                <w:color w:val="auto"/>
                <w:sz w:val="24"/>
                <w:highlight w:val="none"/>
                <w:lang w:val="en-US" w:eastAsia="zh-CN"/>
              </w:rPr>
              <w:t>2、</w:t>
            </w:r>
            <w:r>
              <w:rPr>
                <w:rFonts w:hint="default" w:ascii="Times New Roman" w:hAnsi="Times New Roman" w:cs="Times New Roman"/>
                <w:b/>
                <w:bCs/>
                <w:color w:val="auto"/>
                <w:sz w:val="24"/>
                <w:highlight w:val="none"/>
              </w:rPr>
              <w:t>生态功能区划</w:t>
            </w:r>
          </w:p>
          <w:p>
            <w:pPr>
              <w:bidi w:val="0"/>
              <w:rPr>
                <w:rFonts w:hint="default" w:ascii="Times New Roman" w:hAnsi="Times New Roman" w:cs="Times New Roman"/>
                <w:color w:val="auto"/>
                <w:spacing w:val="-7"/>
                <w:sz w:val="24"/>
                <w:highlight w:val="none"/>
                <w:lang w:val="en-US" w:eastAsia="zh-CN"/>
              </w:rPr>
            </w:pPr>
            <w:r>
              <w:rPr>
                <w:rFonts w:hint="default" w:ascii="Times New Roman" w:hAnsi="Times New Roman" w:cs="Times New Roman"/>
                <w:color w:val="auto"/>
                <w:spacing w:val="-7"/>
                <w:sz w:val="24"/>
                <w:highlight w:val="none"/>
              </w:rPr>
              <w:t>根据《</w:t>
            </w:r>
            <w:r>
              <w:rPr>
                <w:rFonts w:hint="default" w:ascii="Times New Roman" w:hAnsi="Times New Roman" w:cs="Times New Roman"/>
                <w:color w:val="auto"/>
                <w:spacing w:val="-7"/>
                <w:sz w:val="24"/>
                <w:highlight w:val="none"/>
                <w:lang w:val="en-US" w:eastAsia="zh-CN"/>
              </w:rPr>
              <w:t>四川省</w:t>
            </w:r>
            <w:r>
              <w:rPr>
                <w:rFonts w:hint="default" w:ascii="Times New Roman" w:hAnsi="Times New Roman" w:cs="Times New Roman"/>
                <w:color w:val="auto"/>
                <w:spacing w:val="-7"/>
                <w:sz w:val="24"/>
                <w:highlight w:val="none"/>
              </w:rPr>
              <w:t>生态功能区划》，</w:t>
            </w:r>
            <w:r>
              <w:rPr>
                <w:rFonts w:hint="default" w:ascii="Times New Roman" w:hAnsi="Times New Roman" w:cs="Times New Roman"/>
                <w:color w:val="auto"/>
                <w:spacing w:val="-7"/>
                <w:sz w:val="24"/>
                <w:highlight w:val="none"/>
                <w:lang w:val="en-US" w:eastAsia="zh-CN"/>
              </w:rPr>
              <w:t>项目区属于Ⅰ四川盆地亚热带湿润气候生态区、Ⅰ-2盆中丘陵农林复合生态亚区、Ⅰ-2-1盆北深丘农林业与土壤保持生态功能区。主要生态服务功能是农林产品提供功能，土壤保持功能，生态保护与发展方向为巩固长江上游防护林建设、天然林保护和退耕还林成果。发挥山区资源优势，发展生态农业和中药材产业。建设以天然气为主的基础原料和能源化工基地。开发人文景观资源，发展旅游业及相关产业链。用地养地结合，加强水土保持建设。严禁无序开发矿产、水利、生物资源。</w:t>
            </w:r>
          </w:p>
          <w:p>
            <w:pPr>
              <w:numPr>
                <w:ilvl w:val="0"/>
                <w:numId w:val="0"/>
              </w:numPr>
              <w:bidi w:val="0"/>
              <w:ind w:left="480" w:leftChars="0"/>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lang w:val="en-US" w:eastAsia="zh-CN"/>
              </w:rPr>
              <w:t>3、</w:t>
            </w:r>
            <w:r>
              <w:rPr>
                <w:rFonts w:hint="default" w:ascii="Times New Roman" w:hAnsi="Times New Roman" w:cs="Times New Roman"/>
                <w:b/>
                <w:bCs/>
                <w:color w:val="auto"/>
                <w:sz w:val="24"/>
                <w:highlight w:val="none"/>
              </w:rPr>
              <w:t>项目用地及周边生态环境现状</w:t>
            </w:r>
          </w:p>
          <w:p>
            <w:pPr>
              <w:rPr>
                <w:rFonts w:hint="default" w:ascii="Times New Roman" w:hAnsi="Times New Roman" w:cs="Times New Roman"/>
                <w:b w:val="0"/>
                <w:bCs w:val="0"/>
                <w:color w:val="auto"/>
                <w:sz w:val="24"/>
                <w:highlight w:val="none"/>
                <w:lang w:val="en-US" w:eastAsia="zh-CN"/>
              </w:rPr>
            </w:pPr>
            <w:r>
              <w:rPr>
                <w:rFonts w:hint="default" w:ascii="Times New Roman" w:hAnsi="Times New Roman" w:cs="Times New Roman"/>
                <w:b w:val="0"/>
                <w:bCs w:val="0"/>
                <w:color w:val="auto"/>
                <w:sz w:val="24"/>
                <w:highlight w:val="none"/>
                <w:lang w:eastAsia="zh-CN"/>
              </w:rPr>
              <w:t>（</w:t>
            </w:r>
            <w:r>
              <w:rPr>
                <w:rFonts w:hint="default" w:ascii="Times New Roman" w:hAnsi="Times New Roman" w:cs="Times New Roman"/>
                <w:b w:val="0"/>
                <w:bCs w:val="0"/>
                <w:color w:val="auto"/>
                <w:sz w:val="24"/>
                <w:highlight w:val="none"/>
                <w:lang w:val="en-US" w:eastAsia="zh-CN"/>
              </w:rPr>
              <w:t>1</w:t>
            </w:r>
            <w:r>
              <w:rPr>
                <w:rFonts w:hint="default" w:ascii="Times New Roman" w:hAnsi="Times New Roman" w:cs="Times New Roman"/>
                <w:b w:val="0"/>
                <w:bCs w:val="0"/>
                <w:color w:val="auto"/>
                <w:sz w:val="24"/>
                <w:highlight w:val="none"/>
                <w:lang w:eastAsia="zh-CN"/>
              </w:rPr>
              <w:t>）</w:t>
            </w:r>
            <w:r>
              <w:rPr>
                <w:rFonts w:hint="default" w:ascii="Times New Roman" w:hAnsi="Times New Roman" w:cs="Times New Roman"/>
                <w:b w:val="0"/>
                <w:bCs w:val="0"/>
                <w:color w:val="auto"/>
                <w:sz w:val="24"/>
                <w:highlight w:val="none"/>
                <w:lang w:val="en-US" w:eastAsia="zh-CN"/>
              </w:rPr>
              <w:t>项目用地情况</w:t>
            </w:r>
          </w:p>
          <w:p>
            <w:pPr>
              <w:rPr>
                <w:rFonts w:hint="default" w:ascii="Times New Roman" w:hAnsi="Times New Roman" w:cs="Times New Roman"/>
                <w:highlight w:val="none"/>
              </w:rPr>
            </w:pPr>
            <w:r>
              <w:rPr>
                <w:rFonts w:hint="default" w:ascii="Times New Roman" w:hAnsi="Times New Roman" w:cs="Times New Roman"/>
                <w:highlight w:val="none"/>
              </w:rPr>
              <w:t>根据工程总体布置及施工总布置方案，工程建设征地范围包括工程永久占和施工临时占地，其中永久征地范围主要为防洪堤建筑物用地，施工临时用地范围包括施工临时设施、临时堆渣场</w:t>
            </w:r>
            <w:r>
              <w:rPr>
                <w:rFonts w:hint="default" w:ascii="Times New Roman" w:hAnsi="Times New Roman" w:cs="Times New Roman"/>
                <w:highlight w:val="none"/>
                <w:lang w:eastAsia="zh-CN"/>
              </w:rPr>
              <w:t>、</w:t>
            </w:r>
            <w:r>
              <w:rPr>
                <w:rFonts w:hint="default" w:ascii="Times New Roman" w:hAnsi="Times New Roman" w:cs="Times New Roman"/>
                <w:highlight w:val="none"/>
              </w:rPr>
              <w:t>等占地区域。</w:t>
            </w:r>
          </w:p>
          <w:p>
            <w:pP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根据初步设计资料，</w:t>
            </w:r>
            <w:r>
              <w:rPr>
                <w:rFonts w:hint="default" w:ascii="Times New Roman" w:hAnsi="Times New Roman" w:cs="Times New Roman"/>
                <w:highlight w:val="none"/>
              </w:rPr>
              <w:t>本工程建设征占地总面积</w:t>
            </w:r>
            <w:r>
              <w:rPr>
                <w:rFonts w:hint="default" w:ascii="Times New Roman" w:hAnsi="Times New Roman" w:cs="Times New Roman"/>
                <w:highlight w:val="none"/>
                <w:lang w:val="en-US" w:eastAsia="zh-CN"/>
              </w:rPr>
              <w:t>19.7</w:t>
            </w:r>
            <w:r>
              <w:rPr>
                <w:rFonts w:hint="default" w:ascii="Times New Roman" w:hAnsi="Times New Roman" w:cs="Times New Roman"/>
                <w:highlight w:val="none"/>
              </w:rPr>
              <w:t>亩，不涉及基本农田。</w:t>
            </w:r>
          </w:p>
          <w:p>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项目区域内生态状态以</w:t>
            </w:r>
            <w:r>
              <w:rPr>
                <w:rFonts w:hint="default" w:ascii="Times New Roman" w:hAnsi="Times New Roman" w:cs="Times New Roman"/>
                <w:color w:val="auto"/>
                <w:highlight w:val="none"/>
                <w:lang w:val="en-US" w:eastAsia="zh-CN"/>
              </w:rPr>
              <w:t>农村</w:t>
            </w:r>
            <w:r>
              <w:rPr>
                <w:rFonts w:hint="default" w:ascii="Times New Roman" w:hAnsi="Times New Roman" w:cs="Times New Roman"/>
                <w:color w:val="auto"/>
                <w:highlight w:val="none"/>
              </w:rPr>
              <w:t>生态环境为主要特征，并结合</w:t>
            </w:r>
            <w:r>
              <w:rPr>
                <w:rFonts w:hint="default" w:ascii="Times New Roman" w:hAnsi="Times New Roman" w:cs="Times New Roman"/>
                <w:color w:val="auto"/>
                <w:highlight w:val="none"/>
                <w:lang w:val="en-US" w:eastAsia="zh-CN"/>
              </w:rPr>
              <w:t>农村</w:t>
            </w:r>
            <w:r>
              <w:rPr>
                <w:rFonts w:hint="default" w:ascii="Times New Roman" w:hAnsi="Times New Roman" w:cs="Times New Roman"/>
                <w:color w:val="auto"/>
                <w:highlight w:val="none"/>
              </w:rPr>
              <w:t>生态系统、以及水生生态系统特点，区内无大型野生动物及古代珍稀植物，绿化景观较好，</w:t>
            </w:r>
            <w:r>
              <w:rPr>
                <w:rFonts w:hint="default" w:ascii="Times New Roman" w:hAnsi="Times New Roman" w:cs="Times New Roman"/>
                <w:color w:val="auto"/>
                <w:highlight w:val="none"/>
                <w:lang w:val="en-US" w:eastAsia="zh-CN"/>
              </w:rPr>
              <w:t>沿线</w:t>
            </w:r>
            <w:r>
              <w:rPr>
                <w:rFonts w:hint="default" w:ascii="Times New Roman" w:hAnsi="Times New Roman" w:cs="Times New Roman"/>
                <w:color w:val="auto"/>
                <w:highlight w:val="none"/>
              </w:rPr>
              <w:t>覆盖有河滩地、草地</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耕地</w:t>
            </w:r>
            <w:r>
              <w:rPr>
                <w:rFonts w:hint="default" w:ascii="Times New Roman" w:hAnsi="Times New Roman" w:cs="Times New Roman"/>
                <w:color w:val="auto"/>
                <w:highlight w:val="none"/>
              </w:rPr>
              <w:t>等，区域生态环境现状受人类活动影响</w:t>
            </w:r>
            <w:r>
              <w:rPr>
                <w:rFonts w:hint="default" w:ascii="Times New Roman" w:hAnsi="Times New Roman" w:cs="Times New Roman"/>
                <w:color w:val="auto"/>
                <w:highlight w:val="none"/>
                <w:lang w:val="en-US" w:eastAsia="zh-CN"/>
              </w:rPr>
              <w:t>较为</w:t>
            </w:r>
            <w:r>
              <w:rPr>
                <w:rFonts w:hint="default" w:ascii="Times New Roman" w:hAnsi="Times New Roman" w:cs="Times New Roman"/>
                <w:color w:val="auto"/>
                <w:highlight w:val="none"/>
              </w:rPr>
              <w:t>频繁。</w:t>
            </w:r>
          </w:p>
          <w:p>
            <w:pPr>
              <w:bidi w:val="0"/>
              <w:rPr>
                <w:rFonts w:hint="default" w:ascii="Times New Roman" w:hAnsi="Times New Roman" w:cs="Times New Roman"/>
                <w:b w:val="0"/>
                <w:bCs w:val="0"/>
                <w:color w:val="auto"/>
                <w:highlight w:val="none"/>
                <w:lang w:val="en-US" w:eastAsia="zh-CN"/>
              </w:rPr>
            </w:pPr>
            <w:r>
              <w:rPr>
                <w:rFonts w:hint="default" w:ascii="Times New Roman" w:hAnsi="Times New Roman" w:cs="Times New Roman"/>
                <w:b w:val="0"/>
                <w:bCs w:val="0"/>
                <w:color w:val="auto"/>
                <w:highlight w:val="none"/>
                <w:lang w:val="en-US" w:eastAsia="zh-CN"/>
              </w:rPr>
              <w:t>（2）陆生生态系统</w:t>
            </w:r>
          </w:p>
          <w:p>
            <w:pPr>
              <w:rPr>
                <w:rFonts w:hint="default" w:ascii="Times New Roman" w:hAnsi="Times New Roman" w:cs="Times New Roman"/>
                <w:bCs/>
                <w:color w:val="auto"/>
                <w:highlight w:val="none"/>
              </w:rPr>
            </w:pPr>
            <w:r>
              <w:rPr>
                <w:rFonts w:hint="default" w:ascii="Times New Roman" w:hAnsi="Times New Roman" w:cs="Times New Roman"/>
                <w:color w:val="auto"/>
                <w:highlight w:val="none"/>
              </w:rPr>
              <w:t>根据现场调查，评价范围内主要为</w:t>
            </w:r>
            <w:r>
              <w:rPr>
                <w:rFonts w:hint="default" w:ascii="Times New Roman" w:hAnsi="Times New Roman" w:cs="Times New Roman"/>
                <w:color w:val="auto"/>
                <w:highlight w:val="none"/>
                <w:lang w:val="en-US" w:eastAsia="zh-CN"/>
              </w:rPr>
              <w:t>河滩地、耕地</w:t>
            </w:r>
            <w:r>
              <w:rPr>
                <w:rFonts w:hint="default" w:ascii="Times New Roman" w:hAnsi="Times New Roman" w:cs="Times New Roman"/>
                <w:bCs/>
                <w:color w:val="auto"/>
                <w:highlight w:val="none"/>
              </w:rPr>
              <w:t>和人工植被，主要的动物有蛇、蛙、啮齿类及山雀等野生动物，不涉及陆生珍稀动植物、重点保护动物等。</w:t>
            </w:r>
          </w:p>
          <w:p>
            <w:pPr>
              <w:bidi w:val="0"/>
              <w:rPr>
                <w:rFonts w:hint="default" w:ascii="Times New Roman" w:hAnsi="Times New Roman" w:cs="Times New Roman"/>
                <w:b w:val="0"/>
                <w:bCs w:val="0"/>
                <w:color w:val="auto"/>
                <w:highlight w:val="none"/>
                <w:u w:val="none"/>
                <w:lang w:val="en-US" w:eastAsia="zh-CN"/>
              </w:rPr>
            </w:pPr>
            <w:r>
              <w:rPr>
                <w:rFonts w:hint="default" w:ascii="Times New Roman" w:hAnsi="Times New Roman" w:cs="Times New Roman"/>
                <w:b w:val="0"/>
                <w:bCs w:val="0"/>
                <w:color w:val="auto"/>
                <w:highlight w:val="none"/>
                <w:u w:val="none"/>
                <w:lang w:val="en-US" w:eastAsia="zh-CN"/>
              </w:rPr>
              <w:t>（3）水环境及水生生态系统</w:t>
            </w:r>
          </w:p>
          <w:p>
            <w:pPr>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①胡家河水文情势及水功能区划：本项目所在地表水—根据《宣汉县水功能区划报告》，本项目河段位于胡家河胡家开发利用区，现状水质为Ⅴ类，水质目标为Ⅲ类，适用于农业用水区及一般景观要求水域；查阅相关资料，项目流域以防洪、灌溉等功能为主。</w:t>
            </w:r>
          </w:p>
          <w:p>
            <w:pPr>
              <w:bidi w:val="0"/>
              <w:rPr>
                <w:rFonts w:hint="default" w:ascii="Times New Roman" w:hAnsi="Times New Roman" w:cs="Times New Roman"/>
                <w:highlight w:val="none"/>
              </w:rPr>
            </w:pPr>
            <w:r>
              <w:rPr>
                <w:rFonts w:hint="default" w:ascii="Times New Roman" w:hAnsi="Times New Roman" w:cs="Times New Roman"/>
                <w:highlight w:val="none"/>
              </w:rPr>
              <w:t>胡家河为后河中下游段右岸一级支流，位于宣汉县境内，地处四川盆地宣汉县北部，起于宣汉县胡家镇锣鼓村，止于宣汉县胡家镇跳河村，控制集水面积72.7km</w:t>
            </w:r>
            <w:r>
              <w:rPr>
                <w:rFonts w:hint="default" w:ascii="Times New Roman" w:hAnsi="Times New Roman" w:cs="Times New Roman"/>
                <w:highlight w:val="none"/>
                <w:vertAlign w:val="superscript"/>
                <w:lang w:val="en-US" w:eastAsia="zh-CN"/>
              </w:rPr>
              <w:t>2</w:t>
            </w:r>
            <w:r>
              <w:rPr>
                <w:rFonts w:hint="default" w:ascii="Times New Roman" w:hAnsi="Times New Roman" w:cs="Times New Roman"/>
                <w:highlight w:val="none"/>
                <w:lang w:eastAsia="zh-CN"/>
              </w:rPr>
              <w:t>，</w:t>
            </w:r>
            <w:r>
              <w:rPr>
                <w:rFonts w:hint="default" w:ascii="Times New Roman" w:hAnsi="Times New Roman" w:cs="Times New Roman"/>
                <w:highlight w:val="none"/>
              </w:rPr>
              <w:t>河道全长17.367km，河道平均坡降15.7‰。域内地势西北高东南低，中、上游高山区在流域西北部，并向东南逐渐降低。高山区坡陡流急，流域中部是高山丘陵过渡带，海拔高程在800～1200m之间，下部为丘陵地带，海拔高程在330～700m之间，坡度较平缓，沿河漫滩与阶地相间，植被较差。未发现新断裂构造和活动断裂，工程区属于相对稳定地块，区域构造稳定性较好。</w:t>
            </w:r>
          </w:p>
          <w:p>
            <w:pPr>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本项目</w:t>
            </w:r>
            <w:r>
              <w:rPr>
                <w:rFonts w:hint="default" w:ascii="Times New Roman" w:hAnsi="Times New Roman" w:cs="Times New Roman"/>
                <w:highlight w:val="none"/>
              </w:rPr>
              <w:t>工程位于</w:t>
            </w:r>
            <w:r>
              <w:rPr>
                <w:rFonts w:hint="default" w:ascii="Times New Roman" w:hAnsi="Times New Roman" w:cs="Times New Roman"/>
                <w:highlight w:val="none"/>
                <w:lang w:val="en-US" w:eastAsia="zh-CN"/>
              </w:rPr>
              <w:t>胡家镇境内胡家河，</w:t>
            </w:r>
            <w:r>
              <w:rPr>
                <w:rFonts w:hint="default" w:ascii="Times New Roman" w:hAnsi="Times New Roman" w:cs="Times New Roman"/>
                <w:highlight w:val="none"/>
              </w:rPr>
              <w:t>工程现状河岸为自然河岸，河段防洪能力弱、岸坡易受冲刷。</w:t>
            </w:r>
          </w:p>
          <w:p>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本项目</w:t>
            </w:r>
            <w:r>
              <w:rPr>
                <w:rFonts w:hint="default" w:ascii="Times New Roman" w:hAnsi="Times New Roman" w:cs="Times New Roman"/>
                <w:highlight w:val="none"/>
              </w:rPr>
              <w:t>工程河段无实测水文资料，因此采用水文比拟法移用清溪水文站设计洪水成果。将清溪站分期洪水成果，按面积比的n次方移至工程各河段，得到各工程河段分期设计洪水。面积指数n随洪水季节性变化而变，枯水期1～3月、11～12月，n值采用1.0；过渡期4月、10月，n值采用0.80；汛期5～9月，n值采用0.67。工程河段分期洪水成果见表</w:t>
            </w:r>
            <w:r>
              <w:rPr>
                <w:rFonts w:hint="default" w:ascii="Times New Roman" w:hAnsi="Times New Roman" w:cs="Times New Roman"/>
                <w:highlight w:val="none"/>
                <w:lang w:val="en-US" w:eastAsia="zh-CN"/>
              </w:rPr>
              <w:t>3-1。</w:t>
            </w:r>
          </w:p>
          <w:p>
            <w:pPr>
              <w:pStyle w:val="16"/>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 xml:space="preserve">表3-1  </w:t>
            </w:r>
            <w:r>
              <w:rPr>
                <w:rFonts w:hint="default" w:ascii="Times New Roman" w:hAnsi="Times New Roman" w:cs="Times New Roman"/>
                <w:spacing w:val="9"/>
                <w:highlight w:val="none"/>
              </w:rPr>
              <w:t>工程处分期洪水成果表</w:t>
            </w:r>
          </w:p>
          <w:tbl>
            <w:tblPr>
              <w:tblStyle w:val="19"/>
              <w:tblW w:w="5000" w:type="pct"/>
              <w:tblInd w:w="5"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860"/>
              <w:gridCol w:w="992"/>
              <w:gridCol w:w="684"/>
              <w:gridCol w:w="780"/>
              <w:gridCol w:w="783"/>
              <w:gridCol w:w="682"/>
              <w:gridCol w:w="780"/>
              <w:gridCol w:w="785"/>
              <w:gridCol w:w="682"/>
              <w:gridCol w:w="782"/>
              <w:gridCol w:w="799"/>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08" w:hRule="atLeast"/>
              </w:trPr>
              <w:tc>
                <w:tcPr>
                  <w:tcW w:w="500" w:type="pct"/>
                  <w:vMerge w:val="restart"/>
                  <w:tcBorders>
                    <w:tl2br w:val="nil"/>
                    <w:tr2bl w:val="nil"/>
                  </w:tcBorders>
                  <w:vAlign w:val="center"/>
                </w:tcPr>
                <w:p>
                  <w:pPr>
                    <w:pStyle w:val="15"/>
                    <w:bidi w:val="0"/>
                    <w:jc w:val="center"/>
                    <w:rPr>
                      <w:rFonts w:hint="default" w:ascii="Times New Roman" w:hAnsi="Times New Roman" w:cs="Times New Roman"/>
                      <w:b/>
                      <w:bCs/>
                      <w:highlight w:val="none"/>
                    </w:rPr>
                  </w:pPr>
                  <w:r>
                    <w:rPr>
                      <w:rFonts w:hint="default" w:ascii="Times New Roman" w:hAnsi="Times New Roman" w:cs="Times New Roman"/>
                      <w:b/>
                      <w:bCs/>
                      <w:highlight w:val="none"/>
                    </w:rPr>
                    <w:t>时段</w:t>
                  </w:r>
                </w:p>
              </w:tc>
              <w:tc>
                <w:tcPr>
                  <w:tcW w:w="576" w:type="pct"/>
                  <w:vMerge w:val="restart"/>
                  <w:tcBorders>
                    <w:tl2br w:val="nil"/>
                    <w:tr2bl w:val="nil"/>
                  </w:tcBorders>
                  <w:vAlign w:val="center"/>
                </w:tcPr>
                <w:p>
                  <w:pPr>
                    <w:pStyle w:val="15"/>
                    <w:bidi w:val="0"/>
                    <w:jc w:val="center"/>
                    <w:rPr>
                      <w:rFonts w:hint="default" w:ascii="Times New Roman" w:hAnsi="Times New Roman" w:cs="Times New Roman"/>
                      <w:b/>
                      <w:bCs/>
                      <w:highlight w:val="none"/>
                    </w:rPr>
                  </w:pPr>
                  <w:r>
                    <w:rPr>
                      <w:rFonts w:hint="default" w:ascii="Times New Roman" w:hAnsi="Times New Roman" w:cs="Times New Roman"/>
                      <w:b/>
                      <w:bCs/>
                      <w:highlight w:val="none"/>
                    </w:rPr>
                    <w:t>均值（m</w:t>
                  </w:r>
                  <w:r>
                    <w:rPr>
                      <w:rFonts w:hint="default" w:ascii="Times New Roman" w:hAnsi="Times New Roman" w:cs="Times New Roman"/>
                      <w:b/>
                      <w:bCs/>
                      <w:highlight w:val="none"/>
                      <w:vertAlign w:val="superscript"/>
                      <w:lang w:val="en-US" w:eastAsia="zh-CN"/>
                    </w:rPr>
                    <w:t>3</w:t>
                  </w:r>
                  <w:r>
                    <w:rPr>
                      <w:rFonts w:hint="default" w:ascii="Times New Roman" w:hAnsi="Times New Roman" w:cs="Times New Roman"/>
                      <w:b/>
                      <w:bCs/>
                      <w:highlight w:val="none"/>
                    </w:rPr>
                    <w:t>/s）</w:t>
                  </w:r>
                </w:p>
              </w:tc>
              <w:tc>
                <w:tcPr>
                  <w:tcW w:w="3922" w:type="pct"/>
                  <w:gridSpan w:val="9"/>
                  <w:tcBorders>
                    <w:tl2br w:val="nil"/>
                    <w:tr2bl w:val="nil"/>
                  </w:tcBorders>
                  <w:vAlign w:val="center"/>
                </w:tcPr>
                <w:p>
                  <w:pPr>
                    <w:pStyle w:val="15"/>
                    <w:bidi w:val="0"/>
                    <w:jc w:val="center"/>
                    <w:rPr>
                      <w:rFonts w:hint="default" w:ascii="Times New Roman" w:hAnsi="Times New Roman" w:cs="Times New Roman"/>
                      <w:b/>
                      <w:bCs/>
                      <w:highlight w:val="none"/>
                    </w:rPr>
                  </w:pPr>
                  <w:r>
                    <w:rPr>
                      <w:rFonts w:hint="default" w:ascii="Times New Roman" w:hAnsi="Times New Roman" w:cs="Times New Roman"/>
                      <w:b/>
                      <w:bCs/>
                      <w:highlight w:val="none"/>
                    </w:rPr>
                    <w:t>各频率设计值Qp（m</w:t>
                  </w:r>
                  <w:r>
                    <w:rPr>
                      <w:rFonts w:hint="default" w:ascii="Times New Roman" w:hAnsi="Times New Roman" w:cs="Times New Roman"/>
                      <w:b/>
                      <w:bCs/>
                      <w:highlight w:val="none"/>
                      <w:vertAlign w:val="superscript"/>
                      <w:lang w:val="en-US" w:eastAsia="zh-CN"/>
                    </w:rPr>
                    <w:t>3</w:t>
                  </w:r>
                  <w:r>
                    <w:rPr>
                      <w:rFonts w:hint="default" w:ascii="Times New Roman" w:hAnsi="Times New Roman" w:cs="Times New Roman"/>
                      <w:b/>
                      <w:bCs/>
                      <w:highlight w:val="none"/>
                    </w:rPr>
                    <w:t>/s）</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00" w:hRule="atLeast"/>
              </w:trPr>
              <w:tc>
                <w:tcPr>
                  <w:tcW w:w="500" w:type="pct"/>
                  <w:vMerge w:val="continue"/>
                  <w:tcBorders>
                    <w:tl2br w:val="nil"/>
                    <w:tr2bl w:val="nil"/>
                  </w:tcBorders>
                  <w:vAlign w:val="center"/>
                </w:tcPr>
                <w:p>
                  <w:pPr>
                    <w:pStyle w:val="15"/>
                    <w:bidi w:val="0"/>
                    <w:jc w:val="center"/>
                    <w:rPr>
                      <w:rFonts w:hint="default" w:ascii="Times New Roman" w:hAnsi="Times New Roman" w:cs="Times New Roman"/>
                      <w:b/>
                      <w:bCs/>
                      <w:highlight w:val="none"/>
                    </w:rPr>
                  </w:pPr>
                </w:p>
              </w:tc>
              <w:tc>
                <w:tcPr>
                  <w:tcW w:w="576" w:type="pct"/>
                  <w:vMerge w:val="continue"/>
                  <w:tcBorders>
                    <w:tl2br w:val="nil"/>
                    <w:tr2bl w:val="nil"/>
                  </w:tcBorders>
                  <w:vAlign w:val="center"/>
                </w:tcPr>
                <w:p>
                  <w:pPr>
                    <w:pStyle w:val="15"/>
                    <w:bidi w:val="0"/>
                    <w:jc w:val="center"/>
                    <w:rPr>
                      <w:rFonts w:hint="default" w:ascii="Times New Roman" w:hAnsi="Times New Roman" w:cs="Times New Roman"/>
                      <w:b/>
                      <w:bCs/>
                      <w:highlight w:val="none"/>
                    </w:rPr>
                  </w:pPr>
                </w:p>
              </w:tc>
              <w:tc>
                <w:tcPr>
                  <w:tcW w:w="1305" w:type="pct"/>
                  <w:gridSpan w:val="3"/>
                  <w:tcBorders>
                    <w:tl2br w:val="nil"/>
                    <w:tr2bl w:val="nil"/>
                  </w:tcBorders>
                  <w:vAlign w:val="center"/>
                </w:tcPr>
                <w:p>
                  <w:pPr>
                    <w:pStyle w:val="15"/>
                    <w:bidi w:val="0"/>
                    <w:jc w:val="center"/>
                    <w:rPr>
                      <w:rFonts w:hint="default" w:ascii="Times New Roman" w:hAnsi="Times New Roman" w:cs="Times New Roman"/>
                      <w:b w:val="0"/>
                      <w:bCs w:val="0"/>
                      <w:highlight w:val="none"/>
                    </w:rPr>
                  </w:pPr>
                  <w:r>
                    <w:rPr>
                      <w:rFonts w:hint="default" w:ascii="Times New Roman" w:hAnsi="Times New Roman" w:cs="Times New Roman"/>
                      <w:b w:val="0"/>
                      <w:bCs w:val="0"/>
                      <w:highlight w:val="none"/>
                    </w:rPr>
                    <w:t>油坊沟</w:t>
                  </w:r>
                </w:p>
              </w:tc>
              <w:tc>
                <w:tcPr>
                  <w:tcW w:w="1305" w:type="pct"/>
                  <w:gridSpan w:val="3"/>
                  <w:tcBorders>
                    <w:tl2br w:val="nil"/>
                    <w:tr2bl w:val="nil"/>
                  </w:tcBorders>
                  <w:vAlign w:val="center"/>
                </w:tcPr>
                <w:p>
                  <w:pPr>
                    <w:pStyle w:val="15"/>
                    <w:bidi w:val="0"/>
                    <w:jc w:val="center"/>
                    <w:rPr>
                      <w:rFonts w:hint="default" w:ascii="Times New Roman" w:hAnsi="Times New Roman" w:cs="Times New Roman"/>
                      <w:b w:val="0"/>
                      <w:bCs w:val="0"/>
                      <w:highlight w:val="none"/>
                    </w:rPr>
                  </w:pPr>
                  <w:r>
                    <w:rPr>
                      <w:rFonts w:hint="default" w:ascii="Times New Roman" w:hAnsi="Times New Roman" w:cs="Times New Roman"/>
                      <w:b w:val="0"/>
                      <w:bCs w:val="0"/>
                      <w:highlight w:val="none"/>
                    </w:rPr>
                    <w:t>胡家河</w:t>
                  </w:r>
                </w:p>
              </w:tc>
              <w:tc>
                <w:tcPr>
                  <w:tcW w:w="1312" w:type="pct"/>
                  <w:gridSpan w:val="3"/>
                  <w:tcBorders>
                    <w:tl2br w:val="nil"/>
                    <w:tr2bl w:val="nil"/>
                  </w:tcBorders>
                  <w:vAlign w:val="center"/>
                </w:tcPr>
                <w:p>
                  <w:pPr>
                    <w:pStyle w:val="15"/>
                    <w:bidi w:val="0"/>
                    <w:jc w:val="center"/>
                    <w:rPr>
                      <w:rFonts w:hint="default" w:ascii="Times New Roman" w:hAnsi="Times New Roman" w:cs="Times New Roman"/>
                      <w:b w:val="0"/>
                      <w:bCs w:val="0"/>
                      <w:highlight w:val="none"/>
                    </w:rPr>
                  </w:pPr>
                  <w:r>
                    <w:rPr>
                      <w:rFonts w:hint="default" w:ascii="Times New Roman" w:hAnsi="Times New Roman" w:cs="Times New Roman"/>
                      <w:b w:val="0"/>
                      <w:bCs w:val="0"/>
                      <w:highlight w:val="none"/>
                    </w:rPr>
                    <w:t>汇合处</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02" w:hRule="atLeast"/>
              </w:trPr>
              <w:tc>
                <w:tcPr>
                  <w:tcW w:w="500" w:type="pct"/>
                  <w:vMerge w:val="continue"/>
                  <w:tcBorders>
                    <w:tl2br w:val="nil"/>
                    <w:tr2bl w:val="nil"/>
                  </w:tcBorders>
                  <w:vAlign w:val="center"/>
                </w:tcPr>
                <w:p>
                  <w:pPr>
                    <w:pStyle w:val="15"/>
                    <w:bidi w:val="0"/>
                    <w:jc w:val="center"/>
                    <w:rPr>
                      <w:rFonts w:hint="default" w:ascii="Times New Roman" w:hAnsi="Times New Roman" w:cs="Times New Roman"/>
                      <w:b/>
                      <w:bCs/>
                      <w:highlight w:val="none"/>
                    </w:rPr>
                  </w:pPr>
                </w:p>
              </w:tc>
              <w:tc>
                <w:tcPr>
                  <w:tcW w:w="576" w:type="pct"/>
                  <w:vMerge w:val="continue"/>
                  <w:tcBorders>
                    <w:tl2br w:val="nil"/>
                    <w:tr2bl w:val="nil"/>
                  </w:tcBorders>
                  <w:vAlign w:val="center"/>
                </w:tcPr>
                <w:p>
                  <w:pPr>
                    <w:pStyle w:val="15"/>
                    <w:bidi w:val="0"/>
                    <w:jc w:val="center"/>
                    <w:rPr>
                      <w:rFonts w:hint="default" w:ascii="Times New Roman" w:hAnsi="Times New Roman" w:cs="Times New Roman"/>
                      <w:b/>
                      <w:bCs/>
                      <w:highlight w:val="none"/>
                    </w:rPr>
                  </w:pPr>
                </w:p>
              </w:tc>
              <w:tc>
                <w:tcPr>
                  <w:tcW w:w="397" w:type="pct"/>
                  <w:tcBorders>
                    <w:tl2br w:val="nil"/>
                    <w:tr2bl w:val="nil"/>
                  </w:tcBorders>
                  <w:vAlign w:val="center"/>
                </w:tcPr>
                <w:p>
                  <w:pPr>
                    <w:pStyle w:val="15"/>
                    <w:bidi w:val="0"/>
                    <w:jc w:val="center"/>
                    <w:rPr>
                      <w:rFonts w:hint="default" w:ascii="Times New Roman" w:hAnsi="Times New Roman" w:cs="Times New Roman"/>
                      <w:b w:val="0"/>
                      <w:bCs w:val="0"/>
                      <w:highlight w:val="none"/>
                    </w:rPr>
                  </w:pPr>
                  <w:r>
                    <w:rPr>
                      <w:rFonts w:hint="default" w:ascii="Times New Roman" w:hAnsi="Times New Roman" w:cs="Times New Roman"/>
                      <w:b w:val="0"/>
                      <w:bCs w:val="0"/>
                      <w:highlight w:val="none"/>
                    </w:rPr>
                    <w:t>p=5%</w:t>
                  </w:r>
                </w:p>
              </w:tc>
              <w:tc>
                <w:tcPr>
                  <w:tcW w:w="453" w:type="pct"/>
                  <w:tcBorders>
                    <w:tl2br w:val="nil"/>
                    <w:tr2bl w:val="nil"/>
                  </w:tcBorders>
                  <w:vAlign w:val="center"/>
                </w:tcPr>
                <w:p>
                  <w:pPr>
                    <w:pStyle w:val="15"/>
                    <w:bidi w:val="0"/>
                    <w:jc w:val="center"/>
                    <w:rPr>
                      <w:rFonts w:hint="default" w:ascii="Times New Roman" w:hAnsi="Times New Roman" w:cs="Times New Roman"/>
                      <w:b w:val="0"/>
                      <w:bCs w:val="0"/>
                      <w:highlight w:val="none"/>
                    </w:rPr>
                  </w:pPr>
                  <w:r>
                    <w:rPr>
                      <w:rFonts w:hint="default" w:ascii="Times New Roman" w:hAnsi="Times New Roman" w:cs="Times New Roman"/>
                      <w:b w:val="0"/>
                      <w:bCs w:val="0"/>
                      <w:highlight w:val="none"/>
                    </w:rPr>
                    <w:t>p=10%</w:t>
                  </w:r>
                </w:p>
              </w:tc>
              <w:tc>
                <w:tcPr>
                  <w:tcW w:w="454" w:type="pct"/>
                  <w:tcBorders>
                    <w:tl2br w:val="nil"/>
                    <w:tr2bl w:val="nil"/>
                  </w:tcBorders>
                  <w:vAlign w:val="center"/>
                </w:tcPr>
                <w:p>
                  <w:pPr>
                    <w:pStyle w:val="15"/>
                    <w:bidi w:val="0"/>
                    <w:jc w:val="center"/>
                    <w:rPr>
                      <w:rFonts w:hint="default" w:ascii="Times New Roman" w:hAnsi="Times New Roman" w:cs="Times New Roman"/>
                      <w:b w:val="0"/>
                      <w:bCs w:val="0"/>
                      <w:highlight w:val="none"/>
                    </w:rPr>
                  </w:pPr>
                  <w:r>
                    <w:rPr>
                      <w:rFonts w:hint="default" w:ascii="Times New Roman" w:hAnsi="Times New Roman" w:cs="Times New Roman"/>
                      <w:b w:val="0"/>
                      <w:bCs w:val="0"/>
                      <w:highlight w:val="none"/>
                    </w:rPr>
                    <w:t>p=20%</w:t>
                  </w:r>
                </w:p>
              </w:tc>
              <w:tc>
                <w:tcPr>
                  <w:tcW w:w="396" w:type="pct"/>
                  <w:tcBorders>
                    <w:tl2br w:val="nil"/>
                    <w:tr2bl w:val="nil"/>
                  </w:tcBorders>
                  <w:vAlign w:val="center"/>
                </w:tcPr>
                <w:p>
                  <w:pPr>
                    <w:pStyle w:val="15"/>
                    <w:bidi w:val="0"/>
                    <w:jc w:val="center"/>
                    <w:rPr>
                      <w:rFonts w:hint="default" w:ascii="Times New Roman" w:hAnsi="Times New Roman" w:cs="Times New Roman"/>
                      <w:b w:val="0"/>
                      <w:bCs w:val="0"/>
                      <w:highlight w:val="none"/>
                    </w:rPr>
                  </w:pPr>
                  <w:r>
                    <w:rPr>
                      <w:rFonts w:hint="default" w:ascii="Times New Roman" w:hAnsi="Times New Roman" w:cs="Times New Roman"/>
                      <w:b w:val="0"/>
                      <w:bCs w:val="0"/>
                      <w:highlight w:val="none"/>
                    </w:rPr>
                    <w:t>p=5%</w:t>
                  </w:r>
                </w:p>
              </w:tc>
              <w:tc>
                <w:tcPr>
                  <w:tcW w:w="453" w:type="pct"/>
                  <w:tcBorders>
                    <w:tl2br w:val="nil"/>
                    <w:tr2bl w:val="nil"/>
                  </w:tcBorders>
                  <w:vAlign w:val="center"/>
                </w:tcPr>
                <w:p>
                  <w:pPr>
                    <w:pStyle w:val="15"/>
                    <w:bidi w:val="0"/>
                    <w:jc w:val="center"/>
                    <w:rPr>
                      <w:rFonts w:hint="default" w:ascii="Times New Roman" w:hAnsi="Times New Roman" w:cs="Times New Roman"/>
                      <w:b w:val="0"/>
                      <w:bCs w:val="0"/>
                      <w:highlight w:val="none"/>
                    </w:rPr>
                  </w:pPr>
                  <w:r>
                    <w:rPr>
                      <w:rFonts w:hint="default" w:ascii="Times New Roman" w:hAnsi="Times New Roman" w:cs="Times New Roman"/>
                      <w:b w:val="0"/>
                      <w:bCs w:val="0"/>
                      <w:highlight w:val="none"/>
                    </w:rPr>
                    <w:t>p=10%</w:t>
                  </w:r>
                </w:p>
              </w:tc>
              <w:tc>
                <w:tcPr>
                  <w:tcW w:w="454" w:type="pct"/>
                  <w:tcBorders>
                    <w:tl2br w:val="nil"/>
                    <w:tr2bl w:val="nil"/>
                  </w:tcBorders>
                  <w:vAlign w:val="center"/>
                </w:tcPr>
                <w:p>
                  <w:pPr>
                    <w:pStyle w:val="15"/>
                    <w:bidi w:val="0"/>
                    <w:jc w:val="center"/>
                    <w:rPr>
                      <w:rFonts w:hint="default" w:ascii="Times New Roman" w:hAnsi="Times New Roman" w:cs="Times New Roman"/>
                      <w:b w:val="0"/>
                      <w:bCs w:val="0"/>
                      <w:highlight w:val="none"/>
                    </w:rPr>
                  </w:pPr>
                  <w:r>
                    <w:rPr>
                      <w:rFonts w:hint="default" w:ascii="Times New Roman" w:hAnsi="Times New Roman" w:cs="Times New Roman"/>
                      <w:b w:val="0"/>
                      <w:bCs w:val="0"/>
                      <w:highlight w:val="none"/>
                    </w:rPr>
                    <w:t>p=20%</w:t>
                  </w:r>
                </w:p>
              </w:tc>
              <w:tc>
                <w:tcPr>
                  <w:tcW w:w="396" w:type="pct"/>
                  <w:tcBorders>
                    <w:tl2br w:val="nil"/>
                    <w:tr2bl w:val="nil"/>
                  </w:tcBorders>
                  <w:vAlign w:val="center"/>
                </w:tcPr>
                <w:p>
                  <w:pPr>
                    <w:pStyle w:val="15"/>
                    <w:bidi w:val="0"/>
                    <w:jc w:val="center"/>
                    <w:rPr>
                      <w:rFonts w:hint="default" w:ascii="Times New Roman" w:hAnsi="Times New Roman" w:cs="Times New Roman"/>
                      <w:b w:val="0"/>
                      <w:bCs w:val="0"/>
                      <w:highlight w:val="none"/>
                    </w:rPr>
                  </w:pPr>
                  <w:r>
                    <w:rPr>
                      <w:rFonts w:hint="default" w:ascii="Times New Roman" w:hAnsi="Times New Roman" w:cs="Times New Roman"/>
                      <w:b w:val="0"/>
                      <w:bCs w:val="0"/>
                      <w:highlight w:val="none"/>
                    </w:rPr>
                    <w:t>p=5%</w:t>
                  </w:r>
                </w:p>
              </w:tc>
              <w:tc>
                <w:tcPr>
                  <w:tcW w:w="454" w:type="pct"/>
                  <w:tcBorders>
                    <w:tl2br w:val="nil"/>
                    <w:tr2bl w:val="nil"/>
                  </w:tcBorders>
                  <w:vAlign w:val="center"/>
                </w:tcPr>
                <w:p>
                  <w:pPr>
                    <w:pStyle w:val="15"/>
                    <w:bidi w:val="0"/>
                    <w:jc w:val="center"/>
                    <w:rPr>
                      <w:rFonts w:hint="default" w:ascii="Times New Roman" w:hAnsi="Times New Roman" w:cs="Times New Roman"/>
                      <w:b w:val="0"/>
                      <w:bCs w:val="0"/>
                      <w:highlight w:val="none"/>
                    </w:rPr>
                  </w:pPr>
                  <w:r>
                    <w:rPr>
                      <w:rFonts w:hint="default" w:ascii="Times New Roman" w:hAnsi="Times New Roman" w:cs="Times New Roman"/>
                      <w:b w:val="0"/>
                      <w:bCs w:val="0"/>
                      <w:highlight w:val="none"/>
                    </w:rPr>
                    <w:t>p=10%</w:t>
                  </w:r>
                </w:p>
              </w:tc>
              <w:tc>
                <w:tcPr>
                  <w:tcW w:w="460" w:type="pct"/>
                  <w:tcBorders>
                    <w:tl2br w:val="nil"/>
                    <w:tr2bl w:val="nil"/>
                  </w:tcBorders>
                  <w:vAlign w:val="center"/>
                </w:tcPr>
                <w:p>
                  <w:pPr>
                    <w:pStyle w:val="15"/>
                    <w:bidi w:val="0"/>
                    <w:jc w:val="center"/>
                    <w:rPr>
                      <w:rFonts w:hint="default" w:ascii="Times New Roman" w:hAnsi="Times New Roman" w:cs="Times New Roman"/>
                      <w:b w:val="0"/>
                      <w:bCs w:val="0"/>
                      <w:highlight w:val="none"/>
                    </w:rPr>
                  </w:pPr>
                  <w:r>
                    <w:rPr>
                      <w:rFonts w:hint="default" w:ascii="Times New Roman" w:hAnsi="Times New Roman" w:cs="Times New Roman"/>
                      <w:b w:val="0"/>
                      <w:bCs w:val="0"/>
                      <w:highlight w:val="none"/>
                    </w:rPr>
                    <w:t>p=20%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00" w:hRule="atLeast"/>
              </w:trPr>
              <w:tc>
                <w:tcPr>
                  <w:tcW w:w="500" w:type="pct"/>
                  <w:tcBorders>
                    <w:tl2br w:val="nil"/>
                    <w:tr2bl w:val="nil"/>
                  </w:tcBorders>
                  <w:vAlign w:val="center"/>
                </w:tcPr>
                <w:p>
                  <w:pPr>
                    <w:pStyle w:val="15"/>
                    <w:bidi w:val="0"/>
                    <w:jc w:val="center"/>
                    <w:rPr>
                      <w:rFonts w:hint="default" w:ascii="Times New Roman" w:hAnsi="Times New Roman" w:cs="Times New Roman"/>
                      <w:highlight w:val="none"/>
                    </w:rPr>
                  </w:pPr>
                  <w:r>
                    <w:rPr>
                      <w:rFonts w:hint="default" w:ascii="Times New Roman" w:hAnsi="Times New Roman" w:cs="Times New Roman"/>
                      <w:highlight w:val="none"/>
                    </w:rPr>
                    <w:t>1月</w:t>
                  </w:r>
                </w:p>
              </w:tc>
              <w:tc>
                <w:tcPr>
                  <w:tcW w:w="576" w:type="pct"/>
                  <w:tcBorders>
                    <w:tl2br w:val="nil"/>
                    <w:tr2bl w:val="nil"/>
                  </w:tcBorders>
                  <w:vAlign w:val="center"/>
                </w:tcPr>
                <w:p>
                  <w:pPr>
                    <w:pStyle w:val="15"/>
                    <w:bidi w:val="0"/>
                    <w:jc w:val="center"/>
                    <w:rPr>
                      <w:rFonts w:hint="default" w:ascii="Times New Roman" w:hAnsi="Times New Roman" w:cs="Times New Roman"/>
                      <w:highlight w:val="none"/>
                    </w:rPr>
                  </w:pPr>
                  <w:r>
                    <w:rPr>
                      <w:rFonts w:hint="default" w:ascii="Times New Roman" w:hAnsi="Times New Roman" w:cs="Times New Roman"/>
                      <w:highlight w:val="none"/>
                    </w:rPr>
                    <w:t>0.772</w:t>
                  </w:r>
                </w:p>
              </w:tc>
              <w:tc>
                <w:tcPr>
                  <w:tcW w:w="397" w:type="pct"/>
                  <w:tcBorders>
                    <w:tl2br w:val="nil"/>
                    <w:tr2bl w:val="nil"/>
                  </w:tcBorders>
                  <w:vAlign w:val="center"/>
                </w:tcPr>
                <w:p>
                  <w:pPr>
                    <w:pStyle w:val="15"/>
                    <w:bidi w:val="0"/>
                    <w:jc w:val="center"/>
                    <w:rPr>
                      <w:rFonts w:hint="default" w:ascii="Times New Roman" w:hAnsi="Times New Roman" w:cs="Times New Roman"/>
                      <w:highlight w:val="none"/>
                    </w:rPr>
                  </w:pPr>
                  <w:r>
                    <w:rPr>
                      <w:rFonts w:hint="default" w:ascii="Times New Roman" w:hAnsi="Times New Roman" w:cs="Times New Roman"/>
                      <w:highlight w:val="none"/>
                    </w:rPr>
                    <w:t>0.307</w:t>
                  </w:r>
                </w:p>
              </w:tc>
              <w:tc>
                <w:tcPr>
                  <w:tcW w:w="453" w:type="pct"/>
                  <w:tcBorders>
                    <w:tl2br w:val="nil"/>
                    <w:tr2bl w:val="nil"/>
                  </w:tcBorders>
                  <w:vAlign w:val="center"/>
                </w:tcPr>
                <w:p>
                  <w:pPr>
                    <w:pStyle w:val="15"/>
                    <w:bidi w:val="0"/>
                    <w:jc w:val="center"/>
                    <w:rPr>
                      <w:rFonts w:hint="default" w:ascii="Times New Roman" w:hAnsi="Times New Roman" w:cs="Times New Roman"/>
                      <w:highlight w:val="none"/>
                    </w:rPr>
                  </w:pPr>
                  <w:r>
                    <w:rPr>
                      <w:rFonts w:hint="default" w:ascii="Times New Roman" w:hAnsi="Times New Roman" w:cs="Times New Roman"/>
                      <w:highlight w:val="none"/>
                    </w:rPr>
                    <w:t>0.160</w:t>
                  </w:r>
                </w:p>
              </w:tc>
              <w:tc>
                <w:tcPr>
                  <w:tcW w:w="454" w:type="pct"/>
                  <w:tcBorders>
                    <w:tl2br w:val="nil"/>
                    <w:tr2bl w:val="nil"/>
                  </w:tcBorders>
                  <w:vAlign w:val="center"/>
                </w:tcPr>
                <w:p>
                  <w:pPr>
                    <w:pStyle w:val="15"/>
                    <w:bidi w:val="0"/>
                    <w:jc w:val="center"/>
                    <w:rPr>
                      <w:rFonts w:hint="default" w:ascii="Times New Roman" w:hAnsi="Times New Roman" w:cs="Times New Roman"/>
                      <w:highlight w:val="none"/>
                    </w:rPr>
                  </w:pPr>
                  <w:r>
                    <w:rPr>
                      <w:rFonts w:hint="default" w:ascii="Times New Roman" w:hAnsi="Times New Roman" w:cs="Times New Roman"/>
                      <w:highlight w:val="none"/>
                    </w:rPr>
                    <w:t>0.040</w:t>
                  </w:r>
                </w:p>
              </w:tc>
              <w:tc>
                <w:tcPr>
                  <w:tcW w:w="396" w:type="pct"/>
                  <w:tcBorders>
                    <w:tl2br w:val="nil"/>
                    <w:tr2bl w:val="nil"/>
                  </w:tcBorders>
                  <w:vAlign w:val="center"/>
                </w:tcPr>
                <w:p>
                  <w:pPr>
                    <w:pStyle w:val="15"/>
                    <w:bidi w:val="0"/>
                    <w:jc w:val="center"/>
                    <w:rPr>
                      <w:rFonts w:hint="default" w:ascii="Times New Roman" w:hAnsi="Times New Roman" w:cs="Times New Roman"/>
                      <w:highlight w:val="none"/>
                    </w:rPr>
                  </w:pPr>
                  <w:r>
                    <w:rPr>
                      <w:rFonts w:hint="default" w:ascii="Times New Roman" w:hAnsi="Times New Roman" w:cs="Times New Roman"/>
                      <w:highlight w:val="none"/>
                    </w:rPr>
                    <w:t>0.383</w:t>
                  </w:r>
                </w:p>
              </w:tc>
              <w:tc>
                <w:tcPr>
                  <w:tcW w:w="453" w:type="pct"/>
                  <w:tcBorders>
                    <w:tl2br w:val="nil"/>
                    <w:tr2bl w:val="nil"/>
                  </w:tcBorders>
                  <w:vAlign w:val="center"/>
                </w:tcPr>
                <w:p>
                  <w:pPr>
                    <w:pStyle w:val="15"/>
                    <w:bidi w:val="0"/>
                    <w:jc w:val="center"/>
                    <w:rPr>
                      <w:rFonts w:hint="default" w:ascii="Times New Roman" w:hAnsi="Times New Roman" w:cs="Times New Roman"/>
                      <w:highlight w:val="none"/>
                    </w:rPr>
                  </w:pPr>
                  <w:r>
                    <w:rPr>
                      <w:rFonts w:hint="default" w:ascii="Times New Roman" w:hAnsi="Times New Roman" w:cs="Times New Roman"/>
                      <w:highlight w:val="none"/>
                    </w:rPr>
                    <w:t>0.200</w:t>
                  </w:r>
                </w:p>
              </w:tc>
              <w:tc>
                <w:tcPr>
                  <w:tcW w:w="454" w:type="pct"/>
                  <w:tcBorders>
                    <w:tl2br w:val="nil"/>
                    <w:tr2bl w:val="nil"/>
                  </w:tcBorders>
                  <w:vAlign w:val="center"/>
                </w:tcPr>
                <w:p>
                  <w:pPr>
                    <w:pStyle w:val="15"/>
                    <w:bidi w:val="0"/>
                    <w:jc w:val="center"/>
                    <w:rPr>
                      <w:rFonts w:hint="default" w:ascii="Times New Roman" w:hAnsi="Times New Roman" w:cs="Times New Roman"/>
                      <w:highlight w:val="none"/>
                    </w:rPr>
                  </w:pPr>
                  <w:r>
                    <w:rPr>
                      <w:rFonts w:hint="default" w:ascii="Times New Roman" w:hAnsi="Times New Roman" w:cs="Times New Roman"/>
                      <w:highlight w:val="none"/>
                    </w:rPr>
                    <w:t>0.050</w:t>
                  </w:r>
                </w:p>
              </w:tc>
              <w:tc>
                <w:tcPr>
                  <w:tcW w:w="396" w:type="pct"/>
                  <w:tcBorders>
                    <w:tl2br w:val="nil"/>
                    <w:tr2bl w:val="nil"/>
                  </w:tcBorders>
                  <w:vAlign w:val="center"/>
                </w:tcPr>
                <w:p>
                  <w:pPr>
                    <w:pStyle w:val="15"/>
                    <w:bidi w:val="0"/>
                    <w:jc w:val="center"/>
                    <w:rPr>
                      <w:rFonts w:hint="default" w:ascii="Times New Roman" w:hAnsi="Times New Roman" w:cs="Times New Roman"/>
                      <w:highlight w:val="none"/>
                    </w:rPr>
                  </w:pPr>
                  <w:r>
                    <w:rPr>
                      <w:rFonts w:hint="default" w:ascii="Times New Roman" w:hAnsi="Times New Roman" w:cs="Times New Roman"/>
                      <w:highlight w:val="none"/>
                    </w:rPr>
                    <w:t>0.690</w:t>
                  </w:r>
                </w:p>
              </w:tc>
              <w:tc>
                <w:tcPr>
                  <w:tcW w:w="454" w:type="pct"/>
                  <w:tcBorders>
                    <w:tl2br w:val="nil"/>
                    <w:tr2bl w:val="nil"/>
                  </w:tcBorders>
                  <w:vAlign w:val="center"/>
                </w:tcPr>
                <w:p>
                  <w:pPr>
                    <w:pStyle w:val="15"/>
                    <w:bidi w:val="0"/>
                    <w:jc w:val="center"/>
                    <w:rPr>
                      <w:rFonts w:hint="default" w:ascii="Times New Roman" w:hAnsi="Times New Roman" w:cs="Times New Roman"/>
                      <w:highlight w:val="none"/>
                    </w:rPr>
                  </w:pPr>
                  <w:r>
                    <w:rPr>
                      <w:rFonts w:hint="default" w:ascii="Times New Roman" w:hAnsi="Times New Roman" w:cs="Times New Roman"/>
                      <w:highlight w:val="none"/>
                    </w:rPr>
                    <w:t>0.360</w:t>
                  </w:r>
                </w:p>
              </w:tc>
              <w:tc>
                <w:tcPr>
                  <w:tcW w:w="460" w:type="pct"/>
                  <w:tcBorders>
                    <w:tl2br w:val="nil"/>
                    <w:tr2bl w:val="nil"/>
                  </w:tcBorders>
                  <w:vAlign w:val="center"/>
                </w:tcPr>
                <w:p>
                  <w:pPr>
                    <w:pStyle w:val="15"/>
                    <w:bidi w:val="0"/>
                    <w:jc w:val="center"/>
                    <w:rPr>
                      <w:rFonts w:hint="default" w:ascii="Times New Roman" w:hAnsi="Times New Roman" w:cs="Times New Roman"/>
                      <w:highlight w:val="none"/>
                    </w:rPr>
                  </w:pPr>
                  <w:r>
                    <w:rPr>
                      <w:rFonts w:hint="default" w:ascii="Times New Roman" w:hAnsi="Times New Roman" w:cs="Times New Roman"/>
                      <w:highlight w:val="none"/>
                    </w:rPr>
                    <w:t>0.090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01" w:hRule="atLeast"/>
              </w:trPr>
              <w:tc>
                <w:tcPr>
                  <w:tcW w:w="500" w:type="pct"/>
                  <w:tcBorders>
                    <w:tl2br w:val="nil"/>
                    <w:tr2bl w:val="nil"/>
                  </w:tcBorders>
                  <w:vAlign w:val="center"/>
                </w:tcPr>
                <w:p>
                  <w:pPr>
                    <w:pStyle w:val="15"/>
                    <w:bidi w:val="0"/>
                    <w:jc w:val="center"/>
                    <w:rPr>
                      <w:rFonts w:hint="default" w:ascii="Times New Roman" w:hAnsi="Times New Roman" w:cs="Times New Roman"/>
                      <w:highlight w:val="none"/>
                    </w:rPr>
                  </w:pPr>
                  <w:r>
                    <w:rPr>
                      <w:rFonts w:hint="default" w:ascii="Times New Roman" w:hAnsi="Times New Roman" w:cs="Times New Roman"/>
                      <w:highlight w:val="none"/>
                    </w:rPr>
                    <w:t>2月</w:t>
                  </w:r>
                </w:p>
              </w:tc>
              <w:tc>
                <w:tcPr>
                  <w:tcW w:w="576" w:type="pct"/>
                  <w:tcBorders>
                    <w:tl2br w:val="nil"/>
                    <w:tr2bl w:val="nil"/>
                  </w:tcBorders>
                  <w:vAlign w:val="center"/>
                </w:tcPr>
                <w:p>
                  <w:pPr>
                    <w:pStyle w:val="15"/>
                    <w:bidi w:val="0"/>
                    <w:jc w:val="center"/>
                    <w:rPr>
                      <w:rFonts w:hint="default" w:ascii="Times New Roman" w:hAnsi="Times New Roman" w:cs="Times New Roman"/>
                      <w:highlight w:val="none"/>
                    </w:rPr>
                  </w:pPr>
                  <w:r>
                    <w:rPr>
                      <w:rFonts w:hint="default" w:ascii="Times New Roman" w:hAnsi="Times New Roman" w:cs="Times New Roman"/>
                      <w:highlight w:val="none"/>
                    </w:rPr>
                    <w:t>1.16</w:t>
                  </w:r>
                </w:p>
              </w:tc>
              <w:tc>
                <w:tcPr>
                  <w:tcW w:w="397" w:type="pct"/>
                  <w:tcBorders>
                    <w:tl2br w:val="nil"/>
                    <w:tr2bl w:val="nil"/>
                  </w:tcBorders>
                  <w:vAlign w:val="center"/>
                </w:tcPr>
                <w:p>
                  <w:pPr>
                    <w:pStyle w:val="15"/>
                    <w:bidi w:val="0"/>
                    <w:jc w:val="center"/>
                    <w:rPr>
                      <w:rFonts w:hint="default" w:ascii="Times New Roman" w:hAnsi="Times New Roman" w:cs="Times New Roman"/>
                      <w:highlight w:val="none"/>
                    </w:rPr>
                  </w:pPr>
                  <w:r>
                    <w:rPr>
                      <w:rFonts w:hint="default" w:ascii="Times New Roman" w:hAnsi="Times New Roman" w:cs="Times New Roman"/>
                      <w:highlight w:val="none"/>
                    </w:rPr>
                    <w:t>0.534</w:t>
                  </w:r>
                </w:p>
              </w:tc>
              <w:tc>
                <w:tcPr>
                  <w:tcW w:w="453" w:type="pct"/>
                  <w:tcBorders>
                    <w:tl2br w:val="nil"/>
                    <w:tr2bl w:val="nil"/>
                  </w:tcBorders>
                  <w:vAlign w:val="center"/>
                </w:tcPr>
                <w:p>
                  <w:pPr>
                    <w:pStyle w:val="15"/>
                    <w:bidi w:val="0"/>
                    <w:jc w:val="center"/>
                    <w:rPr>
                      <w:rFonts w:hint="default" w:ascii="Times New Roman" w:hAnsi="Times New Roman" w:cs="Times New Roman"/>
                      <w:highlight w:val="none"/>
                    </w:rPr>
                  </w:pPr>
                  <w:r>
                    <w:rPr>
                      <w:rFonts w:hint="default" w:ascii="Times New Roman" w:hAnsi="Times New Roman" w:cs="Times New Roman"/>
                      <w:highlight w:val="none"/>
                    </w:rPr>
                    <w:t>0.236</w:t>
                  </w:r>
                </w:p>
              </w:tc>
              <w:tc>
                <w:tcPr>
                  <w:tcW w:w="454" w:type="pct"/>
                  <w:tcBorders>
                    <w:tl2br w:val="nil"/>
                    <w:tr2bl w:val="nil"/>
                  </w:tcBorders>
                  <w:vAlign w:val="center"/>
                </w:tcPr>
                <w:p>
                  <w:pPr>
                    <w:pStyle w:val="15"/>
                    <w:bidi w:val="0"/>
                    <w:jc w:val="center"/>
                    <w:rPr>
                      <w:rFonts w:hint="default" w:ascii="Times New Roman" w:hAnsi="Times New Roman" w:cs="Times New Roman"/>
                      <w:highlight w:val="none"/>
                    </w:rPr>
                  </w:pPr>
                  <w:r>
                    <w:rPr>
                      <w:rFonts w:hint="default" w:ascii="Times New Roman" w:hAnsi="Times New Roman" w:cs="Times New Roman"/>
                      <w:highlight w:val="none"/>
                    </w:rPr>
                    <w:t>0.020</w:t>
                  </w:r>
                </w:p>
              </w:tc>
              <w:tc>
                <w:tcPr>
                  <w:tcW w:w="396" w:type="pct"/>
                  <w:tcBorders>
                    <w:tl2br w:val="nil"/>
                    <w:tr2bl w:val="nil"/>
                  </w:tcBorders>
                  <w:vAlign w:val="center"/>
                </w:tcPr>
                <w:p>
                  <w:pPr>
                    <w:pStyle w:val="15"/>
                    <w:bidi w:val="0"/>
                    <w:jc w:val="center"/>
                    <w:rPr>
                      <w:rFonts w:hint="default" w:ascii="Times New Roman" w:hAnsi="Times New Roman" w:cs="Times New Roman"/>
                      <w:highlight w:val="none"/>
                    </w:rPr>
                  </w:pPr>
                  <w:r>
                    <w:rPr>
                      <w:rFonts w:hint="default" w:ascii="Times New Roman" w:hAnsi="Times New Roman" w:cs="Times New Roman"/>
                      <w:highlight w:val="none"/>
                    </w:rPr>
                    <w:t>0.667</w:t>
                  </w:r>
                </w:p>
              </w:tc>
              <w:tc>
                <w:tcPr>
                  <w:tcW w:w="453" w:type="pct"/>
                  <w:tcBorders>
                    <w:tl2br w:val="nil"/>
                    <w:tr2bl w:val="nil"/>
                  </w:tcBorders>
                  <w:vAlign w:val="center"/>
                </w:tcPr>
                <w:p>
                  <w:pPr>
                    <w:pStyle w:val="15"/>
                    <w:bidi w:val="0"/>
                    <w:jc w:val="center"/>
                    <w:rPr>
                      <w:rFonts w:hint="default" w:ascii="Times New Roman" w:hAnsi="Times New Roman" w:cs="Times New Roman"/>
                      <w:highlight w:val="none"/>
                    </w:rPr>
                  </w:pPr>
                  <w:r>
                    <w:rPr>
                      <w:rFonts w:hint="default" w:ascii="Times New Roman" w:hAnsi="Times New Roman" w:cs="Times New Roman"/>
                      <w:highlight w:val="none"/>
                    </w:rPr>
                    <w:t>0.295</w:t>
                  </w:r>
                </w:p>
              </w:tc>
              <w:tc>
                <w:tcPr>
                  <w:tcW w:w="454" w:type="pct"/>
                  <w:tcBorders>
                    <w:tl2br w:val="nil"/>
                    <w:tr2bl w:val="nil"/>
                  </w:tcBorders>
                  <w:vAlign w:val="center"/>
                </w:tcPr>
                <w:p>
                  <w:pPr>
                    <w:pStyle w:val="15"/>
                    <w:bidi w:val="0"/>
                    <w:jc w:val="center"/>
                    <w:rPr>
                      <w:rFonts w:hint="default" w:ascii="Times New Roman" w:hAnsi="Times New Roman" w:cs="Times New Roman"/>
                      <w:highlight w:val="none"/>
                    </w:rPr>
                  </w:pPr>
                  <w:r>
                    <w:rPr>
                      <w:rFonts w:hint="default" w:ascii="Times New Roman" w:hAnsi="Times New Roman" w:cs="Times New Roman"/>
                      <w:highlight w:val="none"/>
                    </w:rPr>
                    <w:t>0.025</w:t>
                  </w:r>
                </w:p>
              </w:tc>
              <w:tc>
                <w:tcPr>
                  <w:tcW w:w="396" w:type="pct"/>
                  <w:tcBorders>
                    <w:tl2br w:val="nil"/>
                    <w:tr2bl w:val="nil"/>
                  </w:tcBorders>
                  <w:vAlign w:val="center"/>
                </w:tcPr>
                <w:p>
                  <w:pPr>
                    <w:pStyle w:val="15"/>
                    <w:bidi w:val="0"/>
                    <w:jc w:val="center"/>
                    <w:rPr>
                      <w:rFonts w:hint="default" w:ascii="Times New Roman" w:hAnsi="Times New Roman" w:cs="Times New Roman"/>
                      <w:highlight w:val="none"/>
                    </w:rPr>
                  </w:pPr>
                  <w:r>
                    <w:rPr>
                      <w:rFonts w:hint="default" w:ascii="Times New Roman" w:hAnsi="Times New Roman" w:cs="Times New Roman"/>
                      <w:highlight w:val="none"/>
                    </w:rPr>
                    <w:t>1.20</w:t>
                  </w:r>
                </w:p>
              </w:tc>
              <w:tc>
                <w:tcPr>
                  <w:tcW w:w="454" w:type="pct"/>
                  <w:tcBorders>
                    <w:tl2br w:val="nil"/>
                    <w:tr2bl w:val="nil"/>
                  </w:tcBorders>
                  <w:vAlign w:val="center"/>
                </w:tcPr>
                <w:p>
                  <w:pPr>
                    <w:pStyle w:val="15"/>
                    <w:bidi w:val="0"/>
                    <w:jc w:val="center"/>
                    <w:rPr>
                      <w:rFonts w:hint="default" w:ascii="Times New Roman" w:hAnsi="Times New Roman" w:cs="Times New Roman"/>
                      <w:highlight w:val="none"/>
                    </w:rPr>
                  </w:pPr>
                  <w:r>
                    <w:rPr>
                      <w:rFonts w:hint="default" w:ascii="Times New Roman" w:hAnsi="Times New Roman" w:cs="Times New Roman"/>
                      <w:highlight w:val="none"/>
                    </w:rPr>
                    <w:t>0.532</w:t>
                  </w:r>
                </w:p>
              </w:tc>
              <w:tc>
                <w:tcPr>
                  <w:tcW w:w="460" w:type="pct"/>
                  <w:tcBorders>
                    <w:tl2br w:val="nil"/>
                    <w:tr2bl w:val="nil"/>
                  </w:tcBorders>
                  <w:vAlign w:val="center"/>
                </w:tcPr>
                <w:p>
                  <w:pPr>
                    <w:pStyle w:val="15"/>
                    <w:bidi w:val="0"/>
                    <w:jc w:val="center"/>
                    <w:rPr>
                      <w:rFonts w:hint="default" w:ascii="Times New Roman" w:hAnsi="Times New Roman" w:cs="Times New Roman"/>
                      <w:highlight w:val="none"/>
                    </w:rPr>
                  </w:pPr>
                  <w:r>
                    <w:rPr>
                      <w:rFonts w:hint="default" w:ascii="Times New Roman" w:hAnsi="Times New Roman" w:cs="Times New Roman"/>
                      <w:highlight w:val="none"/>
                    </w:rPr>
                    <w:t>0.045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02" w:hRule="atLeast"/>
              </w:trPr>
              <w:tc>
                <w:tcPr>
                  <w:tcW w:w="500" w:type="pct"/>
                  <w:tcBorders>
                    <w:tl2br w:val="nil"/>
                    <w:tr2bl w:val="nil"/>
                  </w:tcBorders>
                  <w:vAlign w:val="center"/>
                </w:tcPr>
                <w:p>
                  <w:pPr>
                    <w:pStyle w:val="15"/>
                    <w:bidi w:val="0"/>
                    <w:jc w:val="center"/>
                    <w:rPr>
                      <w:rFonts w:hint="default" w:ascii="Times New Roman" w:hAnsi="Times New Roman" w:cs="Times New Roman"/>
                      <w:highlight w:val="none"/>
                    </w:rPr>
                  </w:pPr>
                  <w:r>
                    <w:rPr>
                      <w:rFonts w:hint="default" w:ascii="Times New Roman" w:hAnsi="Times New Roman" w:cs="Times New Roman"/>
                      <w:highlight w:val="none"/>
                    </w:rPr>
                    <w:t>3月</w:t>
                  </w:r>
                </w:p>
              </w:tc>
              <w:tc>
                <w:tcPr>
                  <w:tcW w:w="576" w:type="pct"/>
                  <w:tcBorders>
                    <w:tl2br w:val="nil"/>
                    <w:tr2bl w:val="nil"/>
                  </w:tcBorders>
                  <w:vAlign w:val="center"/>
                </w:tcPr>
                <w:p>
                  <w:pPr>
                    <w:pStyle w:val="15"/>
                    <w:bidi w:val="0"/>
                    <w:jc w:val="center"/>
                    <w:rPr>
                      <w:rFonts w:hint="default" w:ascii="Times New Roman" w:hAnsi="Times New Roman" w:cs="Times New Roman"/>
                      <w:highlight w:val="none"/>
                    </w:rPr>
                  </w:pPr>
                  <w:r>
                    <w:rPr>
                      <w:rFonts w:hint="default" w:ascii="Times New Roman" w:hAnsi="Times New Roman" w:cs="Times New Roman"/>
                      <w:highlight w:val="none"/>
                    </w:rPr>
                    <w:t>6.01</w:t>
                  </w:r>
                </w:p>
              </w:tc>
              <w:tc>
                <w:tcPr>
                  <w:tcW w:w="397" w:type="pct"/>
                  <w:tcBorders>
                    <w:tl2br w:val="nil"/>
                    <w:tr2bl w:val="nil"/>
                  </w:tcBorders>
                  <w:vAlign w:val="center"/>
                </w:tcPr>
                <w:p>
                  <w:pPr>
                    <w:pStyle w:val="15"/>
                    <w:bidi w:val="0"/>
                    <w:jc w:val="center"/>
                    <w:rPr>
                      <w:rFonts w:hint="default" w:ascii="Times New Roman" w:hAnsi="Times New Roman" w:cs="Times New Roman"/>
                      <w:highlight w:val="none"/>
                    </w:rPr>
                  </w:pPr>
                  <w:r>
                    <w:rPr>
                      <w:rFonts w:hint="default" w:ascii="Times New Roman" w:hAnsi="Times New Roman" w:cs="Times New Roman"/>
                      <w:highlight w:val="none"/>
                    </w:rPr>
                    <w:t>2.75</w:t>
                  </w:r>
                </w:p>
              </w:tc>
              <w:tc>
                <w:tcPr>
                  <w:tcW w:w="453" w:type="pct"/>
                  <w:tcBorders>
                    <w:tl2br w:val="nil"/>
                    <w:tr2bl w:val="nil"/>
                  </w:tcBorders>
                  <w:vAlign w:val="center"/>
                </w:tcPr>
                <w:p>
                  <w:pPr>
                    <w:pStyle w:val="15"/>
                    <w:bidi w:val="0"/>
                    <w:jc w:val="center"/>
                    <w:rPr>
                      <w:rFonts w:hint="default" w:ascii="Times New Roman" w:hAnsi="Times New Roman" w:cs="Times New Roman"/>
                      <w:highlight w:val="none"/>
                    </w:rPr>
                  </w:pPr>
                  <w:r>
                    <w:rPr>
                      <w:rFonts w:hint="default" w:ascii="Times New Roman" w:hAnsi="Times New Roman" w:cs="Times New Roman"/>
                      <w:highlight w:val="none"/>
                    </w:rPr>
                    <w:t>1.33</w:t>
                  </w:r>
                </w:p>
              </w:tc>
              <w:tc>
                <w:tcPr>
                  <w:tcW w:w="454" w:type="pct"/>
                  <w:tcBorders>
                    <w:tl2br w:val="nil"/>
                    <w:tr2bl w:val="nil"/>
                  </w:tcBorders>
                  <w:vAlign w:val="center"/>
                </w:tcPr>
                <w:p>
                  <w:pPr>
                    <w:pStyle w:val="15"/>
                    <w:bidi w:val="0"/>
                    <w:jc w:val="center"/>
                    <w:rPr>
                      <w:rFonts w:hint="default" w:ascii="Times New Roman" w:hAnsi="Times New Roman" w:cs="Times New Roman"/>
                      <w:highlight w:val="none"/>
                    </w:rPr>
                  </w:pPr>
                  <w:r>
                    <w:rPr>
                      <w:rFonts w:hint="default" w:ascii="Times New Roman" w:hAnsi="Times New Roman" w:cs="Times New Roman"/>
                      <w:highlight w:val="none"/>
                    </w:rPr>
                    <w:t>0.160</w:t>
                  </w:r>
                </w:p>
              </w:tc>
              <w:tc>
                <w:tcPr>
                  <w:tcW w:w="396" w:type="pct"/>
                  <w:tcBorders>
                    <w:tl2br w:val="nil"/>
                    <w:tr2bl w:val="nil"/>
                  </w:tcBorders>
                  <w:vAlign w:val="center"/>
                </w:tcPr>
                <w:p>
                  <w:pPr>
                    <w:pStyle w:val="15"/>
                    <w:bidi w:val="0"/>
                    <w:jc w:val="center"/>
                    <w:rPr>
                      <w:rFonts w:hint="default" w:ascii="Times New Roman" w:hAnsi="Times New Roman" w:cs="Times New Roman"/>
                      <w:highlight w:val="none"/>
                    </w:rPr>
                  </w:pPr>
                  <w:r>
                    <w:rPr>
                      <w:rFonts w:hint="default" w:ascii="Times New Roman" w:hAnsi="Times New Roman" w:cs="Times New Roman"/>
                      <w:highlight w:val="none"/>
                    </w:rPr>
                    <w:t>3.44</w:t>
                  </w:r>
                </w:p>
              </w:tc>
              <w:tc>
                <w:tcPr>
                  <w:tcW w:w="453" w:type="pct"/>
                  <w:tcBorders>
                    <w:tl2br w:val="nil"/>
                    <w:tr2bl w:val="nil"/>
                  </w:tcBorders>
                  <w:vAlign w:val="center"/>
                </w:tcPr>
                <w:p>
                  <w:pPr>
                    <w:pStyle w:val="15"/>
                    <w:bidi w:val="0"/>
                    <w:jc w:val="center"/>
                    <w:rPr>
                      <w:rFonts w:hint="default" w:ascii="Times New Roman" w:hAnsi="Times New Roman" w:cs="Times New Roman"/>
                      <w:highlight w:val="none"/>
                    </w:rPr>
                  </w:pPr>
                  <w:r>
                    <w:rPr>
                      <w:rFonts w:hint="default" w:ascii="Times New Roman" w:hAnsi="Times New Roman" w:cs="Times New Roman"/>
                      <w:highlight w:val="none"/>
                    </w:rPr>
                    <w:t>1.67</w:t>
                  </w:r>
                </w:p>
              </w:tc>
              <w:tc>
                <w:tcPr>
                  <w:tcW w:w="454" w:type="pct"/>
                  <w:tcBorders>
                    <w:tl2br w:val="nil"/>
                    <w:tr2bl w:val="nil"/>
                  </w:tcBorders>
                  <w:vAlign w:val="center"/>
                </w:tcPr>
                <w:p>
                  <w:pPr>
                    <w:pStyle w:val="15"/>
                    <w:bidi w:val="0"/>
                    <w:jc w:val="center"/>
                    <w:rPr>
                      <w:rFonts w:hint="default" w:ascii="Times New Roman" w:hAnsi="Times New Roman" w:cs="Times New Roman"/>
                      <w:highlight w:val="none"/>
                    </w:rPr>
                  </w:pPr>
                  <w:r>
                    <w:rPr>
                      <w:rFonts w:hint="default" w:ascii="Times New Roman" w:hAnsi="Times New Roman" w:cs="Times New Roman"/>
                      <w:highlight w:val="none"/>
                    </w:rPr>
                    <w:t>0.200</w:t>
                  </w:r>
                </w:p>
              </w:tc>
              <w:tc>
                <w:tcPr>
                  <w:tcW w:w="396" w:type="pct"/>
                  <w:tcBorders>
                    <w:tl2br w:val="nil"/>
                    <w:tr2bl w:val="nil"/>
                  </w:tcBorders>
                  <w:vAlign w:val="center"/>
                </w:tcPr>
                <w:p>
                  <w:pPr>
                    <w:pStyle w:val="15"/>
                    <w:bidi w:val="0"/>
                    <w:jc w:val="center"/>
                    <w:rPr>
                      <w:rFonts w:hint="default" w:ascii="Times New Roman" w:hAnsi="Times New Roman" w:cs="Times New Roman"/>
                      <w:highlight w:val="none"/>
                    </w:rPr>
                  </w:pPr>
                  <w:r>
                    <w:rPr>
                      <w:rFonts w:hint="default" w:ascii="Times New Roman" w:hAnsi="Times New Roman" w:cs="Times New Roman"/>
                      <w:highlight w:val="none"/>
                    </w:rPr>
                    <w:t>6.20</w:t>
                  </w:r>
                </w:p>
              </w:tc>
              <w:tc>
                <w:tcPr>
                  <w:tcW w:w="454" w:type="pct"/>
                  <w:tcBorders>
                    <w:tl2br w:val="nil"/>
                    <w:tr2bl w:val="nil"/>
                  </w:tcBorders>
                  <w:vAlign w:val="center"/>
                </w:tcPr>
                <w:p>
                  <w:pPr>
                    <w:pStyle w:val="15"/>
                    <w:bidi w:val="0"/>
                    <w:jc w:val="center"/>
                    <w:rPr>
                      <w:rFonts w:hint="default" w:ascii="Times New Roman" w:hAnsi="Times New Roman" w:cs="Times New Roman"/>
                      <w:highlight w:val="none"/>
                    </w:rPr>
                  </w:pPr>
                  <w:r>
                    <w:rPr>
                      <w:rFonts w:hint="default" w:ascii="Times New Roman" w:hAnsi="Times New Roman" w:cs="Times New Roman"/>
                      <w:highlight w:val="none"/>
                    </w:rPr>
                    <w:t>3.00</w:t>
                  </w:r>
                </w:p>
              </w:tc>
              <w:tc>
                <w:tcPr>
                  <w:tcW w:w="460" w:type="pct"/>
                  <w:tcBorders>
                    <w:tl2br w:val="nil"/>
                    <w:tr2bl w:val="nil"/>
                  </w:tcBorders>
                  <w:vAlign w:val="center"/>
                </w:tcPr>
                <w:p>
                  <w:pPr>
                    <w:pStyle w:val="15"/>
                    <w:bidi w:val="0"/>
                    <w:jc w:val="center"/>
                    <w:rPr>
                      <w:rFonts w:hint="default" w:ascii="Times New Roman" w:hAnsi="Times New Roman" w:cs="Times New Roman"/>
                      <w:highlight w:val="none"/>
                    </w:rPr>
                  </w:pPr>
                  <w:r>
                    <w:rPr>
                      <w:rFonts w:hint="default" w:ascii="Times New Roman" w:hAnsi="Times New Roman" w:cs="Times New Roman"/>
                      <w:highlight w:val="none"/>
                    </w:rPr>
                    <w:t>0.360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01" w:hRule="atLeast"/>
              </w:trPr>
              <w:tc>
                <w:tcPr>
                  <w:tcW w:w="500" w:type="pct"/>
                  <w:tcBorders>
                    <w:tl2br w:val="nil"/>
                    <w:tr2bl w:val="nil"/>
                  </w:tcBorders>
                  <w:vAlign w:val="center"/>
                </w:tcPr>
                <w:p>
                  <w:pPr>
                    <w:pStyle w:val="15"/>
                    <w:bidi w:val="0"/>
                    <w:jc w:val="center"/>
                    <w:rPr>
                      <w:rFonts w:hint="default" w:ascii="Times New Roman" w:hAnsi="Times New Roman" w:cs="Times New Roman"/>
                      <w:highlight w:val="none"/>
                    </w:rPr>
                  </w:pPr>
                  <w:r>
                    <w:rPr>
                      <w:rFonts w:hint="default" w:ascii="Times New Roman" w:hAnsi="Times New Roman" w:cs="Times New Roman"/>
                      <w:highlight w:val="none"/>
                    </w:rPr>
                    <w:t>4月</w:t>
                  </w:r>
                </w:p>
              </w:tc>
              <w:tc>
                <w:tcPr>
                  <w:tcW w:w="576" w:type="pct"/>
                  <w:tcBorders>
                    <w:tl2br w:val="nil"/>
                    <w:tr2bl w:val="nil"/>
                  </w:tcBorders>
                  <w:vAlign w:val="center"/>
                </w:tcPr>
                <w:p>
                  <w:pPr>
                    <w:pStyle w:val="15"/>
                    <w:bidi w:val="0"/>
                    <w:jc w:val="center"/>
                    <w:rPr>
                      <w:rFonts w:hint="default" w:ascii="Times New Roman" w:hAnsi="Times New Roman" w:cs="Times New Roman"/>
                      <w:highlight w:val="none"/>
                    </w:rPr>
                  </w:pPr>
                  <w:r>
                    <w:rPr>
                      <w:rFonts w:hint="default" w:ascii="Times New Roman" w:hAnsi="Times New Roman" w:cs="Times New Roman"/>
                      <w:highlight w:val="none"/>
                    </w:rPr>
                    <w:t>36.6</w:t>
                  </w:r>
                </w:p>
              </w:tc>
              <w:tc>
                <w:tcPr>
                  <w:tcW w:w="397" w:type="pct"/>
                  <w:tcBorders>
                    <w:tl2br w:val="nil"/>
                    <w:tr2bl w:val="nil"/>
                  </w:tcBorders>
                  <w:vAlign w:val="center"/>
                </w:tcPr>
                <w:p>
                  <w:pPr>
                    <w:pStyle w:val="15"/>
                    <w:bidi w:val="0"/>
                    <w:jc w:val="center"/>
                    <w:rPr>
                      <w:rFonts w:hint="default" w:ascii="Times New Roman" w:hAnsi="Times New Roman" w:cs="Times New Roman"/>
                      <w:highlight w:val="none"/>
                    </w:rPr>
                  </w:pPr>
                  <w:r>
                    <w:rPr>
                      <w:rFonts w:hint="default" w:ascii="Times New Roman" w:hAnsi="Times New Roman" w:cs="Times New Roman"/>
                      <w:highlight w:val="none"/>
                    </w:rPr>
                    <w:t>21.3</w:t>
                  </w:r>
                </w:p>
              </w:tc>
              <w:tc>
                <w:tcPr>
                  <w:tcW w:w="453" w:type="pct"/>
                  <w:tcBorders>
                    <w:tl2br w:val="nil"/>
                    <w:tr2bl w:val="nil"/>
                  </w:tcBorders>
                  <w:vAlign w:val="center"/>
                </w:tcPr>
                <w:p>
                  <w:pPr>
                    <w:pStyle w:val="15"/>
                    <w:bidi w:val="0"/>
                    <w:jc w:val="center"/>
                    <w:rPr>
                      <w:rFonts w:hint="default" w:ascii="Times New Roman" w:hAnsi="Times New Roman" w:cs="Times New Roman"/>
                      <w:highlight w:val="none"/>
                    </w:rPr>
                  </w:pPr>
                  <w:r>
                    <w:rPr>
                      <w:rFonts w:hint="default" w:ascii="Times New Roman" w:hAnsi="Times New Roman" w:cs="Times New Roman"/>
                      <w:highlight w:val="none"/>
                    </w:rPr>
                    <w:t>13.4</w:t>
                  </w:r>
                </w:p>
              </w:tc>
              <w:tc>
                <w:tcPr>
                  <w:tcW w:w="454" w:type="pct"/>
                  <w:tcBorders>
                    <w:tl2br w:val="nil"/>
                    <w:tr2bl w:val="nil"/>
                  </w:tcBorders>
                  <w:vAlign w:val="center"/>
                </w:tcPr>
                <w:p>
                  <w:pPr>
                    <w:pStyle w:val="15"/>
                    <w:bidi w:val="0"/>
                    <w:jc w:val="center"/>
                    <w:rPr>
                      <w:rFonts w:hint="default" w:ascii="Times New Roman" w:hAnsi="Times New Roman" w:cs="Times New Roman"/>
                      <w:highlight w:val="none"/>
                    </w:rPr>
                  </w:pPr>
                  <w:r>
                    <w:rPr>
                      <w:rFonts w:hint="default" w:ascii="Times New Roman" w:hAnsi="Times New Roman" w:cs="Times New Roman"/>
                      <w:highlight w:val="none"/>
                    </w:rPr>
                    <w:t>4.24</w:t>
                  </w:r>
                </w:p>
              </w:tc>
              <w:tc>
                <w:tcPr>
                  <w:tcW w:w="396" w:type="pct"/>
                  <w:tcBorders>
                    <w:tl2br w:val="nil"/>
                    <w:tr2bl w:val="nil"/>
                  </w:tcBorders>
                  <w:vAlign w:val="center"/>
                </w:tcPr>
                <w:p>
                  <w:pPr>
                    <w:pStyle w:val="15"/>
                    <w:bidi w:val="0"/>
                    <w:jc w:val="center"/>
                    <w:rPr>
                      <w:rFonts w:hint="default" w:ascii="Times New Roman" w:hAnsi="Times New Roman" w:cs="Times New Roman"/>
                      <w:highlight w:val="none"/>
                    </w:rPr>
                  </w:pPr>
                  <w:r>
                    <w:rPr>
                      <w:rFonts w:hint="default" w:ascii="Times New Roman" w:hAnsi="Times New Roman" w:cs="Times New Roman"/>
                      <w:highlight w:val="none"/>
                    </w:rPr>
                    <w:t>25.4</w:t>
                  </w:r>
                </w:p>
              </w:tc>
              <w:tc>
                <w:tcPr>
                  <w:tcW w:w="453" w:type="pct"/>
                  <w:tcBorders>
                    <w:tl2br w:val="nil"/>
                    <w:tr2bl w:val="nil"/>
                  </w:tcBorders>
                  <w:vAlign w:val="center"/>
                </w:tcPr>
                <w:p>
                  <w:pPr>
                    <w:pStyle w:val="15"/>
                    <w:bidi w:val="0"/>
                    <w:jc w:val="center"/>
                    <w:rPr>
                      <w:rFonts w:hint="default" w:ascii="Times New Roman" w:hAnsi="Times New Roman" w:cs="Times New Roman"/>
                      <w:highlight w:val="none"/>
                    </w:rPr>
                  </w:pPr>
                  <w:r>
                    <w:rPr>
                      <w:rFonts w:hint="default" w:ascii="Times New Roman" w:hAnsi="Times New Roman" w:cs="Times New Roman"/>
                      <w:highlight w:val="none"/>
                    </w:rPr>
                    <w:t>16.0</w:t>
                  </w:r>
                </w:p>
              </w:tc>
              <w:tc>
                <w:tcPr>
                  <w:tcW w:w="454" w:type="pct"/>
                  <w:tcBorders>
                    <w:tl2br w:val="nil"/>
                    <w:tr2bl w:val="nil"/>
                  </w:tcBorders>
                  <w:vAlign w:val="center"/>
                </w:tcPr>
                <w:p>
                  <w:pPr>
                    <w:pStyle w:val="15"/>
                    <w:bidi w:val="0"/>
                    <w:jc w:val="center"/>
                    <w:rPr>
                      <w:rFonts w:hint="default" w:ascii="Times New Roman" w:hAnsi="Times New Roman" w:cs="Times New Roman"/>
                      <w:highlight w:val="none"/>
                    </w:rPr>
                  </w:pPr>
                  <w:r>
                    <w:rPr>
                      <w:rFonts w:hint="default" w:ascii="Times New Roman" w:hAnsi="Times New Roman" w:cs="Times New Roman"/>
                      <w:highlight w:val="none"/>
                    </w:rPr>
                    <w:t>5.07</w:t>
                  </w:r>
                </w:p>
              </w:tc>
              <w:tc>
                <w:tcPr>
                  <w:tcW w:w="396" w:type="pct"/>
                  <w:tcBorders>
                    <w:tl2br w:val="nil"/>
                    <w:tr2bl w:val="nil"/>
                  </w:tcBorders>
                  <w:vAlign w:val="center"/>
                </w:tcPr>
                <w:p>
                  <w:pPr>
                    <w:pStyle w:val="15"/>
                    <w:bidi w:val="0"/>
                    <w:jc w:val="center"/>
                    <w:rPr>
                      <w:rFonts w:hint="default" w:ascii="Times New Roman" w:hAnsi="Times New Roman" w:cs="Times New Roman"/>
                      <w:highlight w:val="none"/>
                    </w:rPr>
                  </w:pPr>
                  <w:r>
                    <w:rPr>
                      <w:rFonts w:hint="default" w:ascii="Times New Roman" w:hAnsi="Times New Roman" w:cs="Times New Roman"/>
                      <w:highlight w:val="none"/>
                    </w:rPr>
                    <w:t>40.7</w:t>
                  </w:r>
                </w:p>
              </w:tc>
              <w:tc>
                <w:tcPr>
                  <w:tcW w:w="454" w:type="pct"/>
                  <w:tcBorders>
                    <w:tl2br w:val="nil"/>
                    <w:tr2bl w:val="nil"/>
                  </w:tcBorders>
                  <w:vAlign w:val="center"/>
                </w:tcPr>
                <w:p>
                  <w:pPr>
                    <w:pStyle w:val="15"/>
                    <w:bidi w:val="0"/>
                    <w:jc w:val="center"/>
                    <w:rPr>
                      <w:rFonts w:hint="default" w:ascii="Times New Roman" w:hAnsi="Times New Roman" w:cs="Times New Roman"/>
                      <w:highlight w:val="none"/>
                    </w:rPr>
                  </w:pPr>
                  <w:r>
                    <w:rPr>
                      <w:rFonts w:hint="default" w:ascii="Times New Roman" w:hAnsi="Times New Roman" w:cs="Times New Roman"/>
                      <w:highlight w:val="none"/>
                    </w:rPr>
                    <w:t>25.6</w:t>
                  </w:r>
                </w:p>
              </w:tc>
              <w:tc>
                <w:tcPr>
                  <w:tcW w:w="460" w:type="pct"/>
                  <w:tcBorders>
                    <w:tl2br w:val="nil"/>
                    <w:tr2bl w:val="nil"/>
                  </w:tcBorders>
                  <w:vAlign w:val="center"/>
                </w:tcPr>
                <w:p>
                  <w:pPr>
                    <w:pStyle w:val="15"/>
                    <w:bidi w:val="0"/>
                    <w:jc w:val="center"/>
                    <w:rPr>
                      <w:rFonts w:hint="default" w:ascii="Times New Roman" w:hAnsi="Times New Roman" w:cs="Times New Roman"/>
                      <w:highlight w:val="none"/>
                    </w:rPr>
                  </w:pPr>
                  <w:r>
                    <w:rPr>
                      <w:rFonts w:hint="default" w:ascii="Times New Roman" w:hAnsi="Times New Roman" w:cs="Times New Roman"/>
                      <w:highlight w:val="none"/>
                    </w:rPr>
                    <w:t>8.11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01" w:hRule="atLeast"/>
              </w:trPr>
              <w:tc>
                <w:tcPr>
                  <w:tcW w:w="500" w:type="pct"/>
                  <w:tcBorders>
                    <w:tl2br w:val="nil"/>
                    <w:tr2bl w:val="nil"/>
                  </w:tcBorders>
                  <w:vAlign w:val="center"/>
                </w:tcPr>
                <w:p>
                  <w:pPr>
                    <w:pStyle w:val="15"/>
                    <w:bidi w:val="0"/>
                    <w:jc w:val="center"/>
                    <w:rPr>
                      <w:rFonts w:hint="default" w:ascii="Times New Roman" w:hAnsi="Times New Roman" w:cs="Times New Roman"/>
                      <w:highlight w:val="none"/>
                    </w:rPr>
                  </w:pPr>
                  <w:r>
                    <w:rPr>
                      <w:rFonts w:hint="default" w:ascii="Times New Roman" w:hAnsi="Times New Roman" w:cs="Times New Roman"/>
                      <w:highlight w:val="none"/>
                    </w:rPr>
                    <w:t>5～9月</w:t>
                  </w:r>
                </w:p>
              </w:tc>
              <w:tc>
                <w:tcPr>
                  <w:tcW w:w="576" w:type="pct"/>
                  <w:tcBorders>
                    <w:tl2br w:val="nil"/>
                    <w:tr2bl w:val="nil"/>
                  </w:tcBorders>
                  <w:vAlign w:val="center"/>
                </w:tcPr>
                <w:p>
                  <w:pPr>
                    <w:pStyle w:val="15"/>
                    <w:bidi w:val="0"/>
                    <w:jc w:val="center"/>
                    <w:rPr>
                      <w:rFonts w:hint="default" w:ascii="Times New Roman" w:hAnsi="Times New Roman" w:cs="Times New Roman"/>
                      <w:highlight w:val="none"/>
                    </w:rPr>
                  </w:pPr>
                  <w:r>
                    <w:rPr>
                      <w:rFonts w:hint="default" w:ascii="Times New Roman" w:hAnsi="Times New Roman" w:cs="Times New Roman"/>
                      <w:highlight w:val="none"/>
                    </w:rPr>
                    <w:t>391</w:t>
                  </w:r>
                </w:p>
              </w:tc>
              <w:tc>
                <w:tcPr>
                  <w:tcW w:w="397" w:type="pct"/>
                  <w:tcBorders>
                    <w:tl2br w:val="nil"/>
                    <w:tr2bl w:val="nil"/>
                  </w:tcBorders>
                  <w:vAlign w:val="center"/>
                </w:tcPr>
                <w:p>
                  <w:pPr>
                    <w:pStyle w:val="15"/>
                    <w:bidi w:val="0"/>
                    <w:jc w:val="center"/>
                    <w:rPr>
                      <w:rFonts w:hint="default" w:ascii="Times New Roman" w:hAnsi="Times New Roman" w:cs="Times New Roman"/>
                      <w:highlight w:val="none"/>
                    </w:rPr>
                  </w:pPr>
                  <w:r>
                    <w:rPr>
                      <w:rFonts w:hint="default" w:ascii="Times New Roman" w:hAnsi="Times New Roman" w:cs="Times New Roman"/>
                      <w:highlight w:val="none"/>
                    </w:rPr>
                    <w:t>146</w:t>
                  </w:r>
                </w:p>
              </w:tc>
              <w:tc>
                <w:tcPr>
                  <w:tcW w:w="453" w:type="pct"/>
                  <w:tcBorders>
                    <w:tl2br w:val="nil"/>
                    <w:tr2bl w:val="nil"/>
                  </w:tcBorders>
                  <w:vAlign w:val="center"/>
                </w:tcPr>
                <w:p>
                  <w:pPr>
                    <w:pStyle w:val="15"/>
                    <w:bidi w:val="0"/>
                    <w:jc w:val="center"/>
                    <w:rPr>
                      <w:rFonts w:hint="default" w:ascii="Times New Roman" w:hAnsi="Times New Roman" w:cs="Times New Roman"/>
                      <w:highlight w:val="none"/>
                    </w:rPr>
                  </w:pPr>
                  <w:r>
                    <w:rPr>
                      <w:rFonts w:hint="default" w:ascii="Times New Roman" w:hAnsi="Times New Roman" w:cs="Times New Roman"/>
                      <w:highlight w:val="none"/>
                    </w:rPr>
                    <w:t>112</w:t>
                  </w:r>
                </w:p>
              </w:tc>
              <w:tc>
                <w:tcPr>
                  <w:tcW w:w="454" w:type="pct"/>
                  <w:tcBorders>
                    <w:tl2br w:val="nil"/>
                    <w:tr2bl w:val="nil"/>
                  </w:tcBorders>
                  <w:vAlign w:val="center"/>
                </w:tcPr>
                <w:p>
                  <w:pPr>
                    <w:pStyle w:val="15"/>
                    <w:bidi w:val="0"/>
                    <w:jc w:val="center"/>
                    <w:rPr>
                      <w:rFonts w:hint="default" w:ascii="Times New Roman" w:hAnsi="Times New Roman" w:cs="Times New Roman"/>
                      <w:highlight w:val="none"/>
                    </w:rPr>
                  </w:pPr>
                  <w:r>
                    <w:rPr>
                      <w:rFonts w:hint="default" w:ascii="Times New Roman" w:hAnsi="Times New Roman" w:cs="Times New Roman"/>
                      <w:highlight w:val="none"/>
                    </w:rPr>
                    <w:t>65.6</w:t>
                  </w:r>
                </w:p>
              </w:tc>
              <w:tc>
                <w:tcPr>
                  <w:tcW w:w="396" w:type="pct"/>
                  <w:tcBorders>
                    <w:tl2br w:val="nil"/>
                    <w:tr2bl w:val="nil"/>
                  </w:tcBorders>
                  <w:vAlign w:val="center"/>
                </w:tcPr>
                <w:p>
                  <w:pPr>
                    <w:pStyle w:val="15"/>
                    <w:bidi w:val="0"/>
                    <w:jc w:val="center"/>
                    <w:rPr>
                      <w:rFonts w:hint="default" w:ascii="Times New Roman" w:hAnsi="Times New Roman" w:cs="Times New Roman"/>
                      <w:highlight w:val="none"/>
                    </w:rPr>
                  </w:pPr>
                  <w:r>
                    <w:rPr>
                      <w:rFonts w:hint="default" w:ascii="Times New Roman" w:hAnsi="Times New Roman" w:cs="Times New Roman"/>
                      <w:highlight w:val="none"/>
                    </w:rPr>
                    <w:t>193</w:t>
                  </w:r>
                </w:p>
              </w:tc>
              <w:tc>
                <w:tcPr>
                  <w:tcW w:w="453" w:type="pct"/>
                  <w:tcBorders>
                    <w:tl2br w:val="nil"/>
                    <w:tr2bl w:val="nil"/>
                  </w:tcBorders>
                  <w:vAlign w:val="center"/>
                </w:tcPr>
                <w:p>
                  <w:pPr>
                    <w:pStyle w:val="15"/>
                    <w:bidi w:val="0"/>
                    <w:jc w:val="center"/>
                    <w:rPr>
                      <w:rFonts w:hint="default" w:ascii="Times New Roman" w:hAnsi="Times New Roman" w:cs="Times New Roman"/>
                      <w:highlight w:val="none"/>
                    </w:rPr>
                  </w:pPr>
                  <w:r>
                    <w:rPr>
                      <w:rFonts w:hint="default" w:ascii="Times New Roman" w:hAnsi="Times New Roman" w:cs="Times New Roman"/>
                      <w:highlight w:val="none"/>
                    </w:rPr>
                    <w:t>149</w:t>
                  </w:r>
                </w:p>
              </w:tc>
              <w:tc>
                <w:tcPr>
                  <w:tcW w:w="454" w:type="pct"/>
                  <w:tcBorders>
                    <w:tl2br w:val="nil"/>
                    <w:tr2bl w:val="nil"/>
                  </w:tcBorders>
                  <w:vAlign w:val="center"/>
                </w:tcPr>
                <w:p>
                  <w:pPr>
                    <w:pStyle w:val="15"/>
                    <w:bidi w:val="0"/>
                    <w:jc w:val="center"/>
                    <w:rPr>
                      <w:rFonts w:hint="default" w:ascii="Times New Roman" w:hAnsi="Times New Roman" w:cs="Times New Roman"/>
                      <w:highlight w:val="none"/>
                    </w:rPr>
                  </w:pPr>
                  <w:r>
                    <w:rPr>
                      <w:rFonts w:hint="default" w:ascii="Times New Roman" w:hAnsi="Times New Roman" w:cs="Times New Roman"/>
                      <w:highlight w:val="none"/>
                    </w:rPr>
                    <w:t>88.3</w:t>
                  </w:r>
                </w:p>
              </w:tc>
              <w:tc>
                <w:tcPr>
                  <w:tcW w:w="396" w:type="pct"/>
                  <w:tcBorders>
                    <w:tl2br w:val="nil"/>
                    <w:tr2bl w:val="nil"/>
                  </w:tcBorders>
                  <w:vAlign w:val="center"/>
                </w:tcPr>
                <w:p>
                  <w:pPr>
                    <w:pStyle w:val="15"/>
                    <w:bidi w:val="0"/>
                    <w:jc w:val="center"/>
                    <w:rPr>
                      <w:rFonts w:hint="default" w:ascii="Times New Roman" w:hAnsi="Times New Roman" w:cs="Times New Roman"/>
                      <w:highlight w:val="none"/>
                    </w:rPr>
                  </w:pPr>
                  <w:r>
                    <w:rPr>
                      <w:rFonts w:hint="default" w:ascii="Times New Roman" w:hAnsi="Times New Roman" w:cs="Times New Roman"/>
                      <w:highlight w:val="none"/>
                    </w:rPr>
                    <w:t>387</w:t>
                  </w:r>
                </w:p>
              </w:tc>
              <w:tc>
                <w:tcPr>
                  <w:tcW w:w="454" w:type="pct"/>
                  <w:tcBorders>
                    <w:tl2br w:val="nil"/>
                    <w:tr2bl w:val="nil"/>
                  </w:tcBorders>
                  <w:vAlign w:val="center"/>
                </w:tcPr>
                <w:p>
                  <w:pPr>
                    <w:pStyle w:val="15"/>
                    <w:bidi w:val="0"/>
                    <w:jc w:val="center"/>
                    <w:rPr>
                      <w:rFonts w:hint="default" w:ascii="Times New Roman" w:hAnsi="Times New Roman" w:cs="Times New Roman"/>
                      <w:highlight w:val="none"/>
                    </w:rPr>
                  </w:pPr>
                  <w:r>
                    <w:rPr>
                      <w:rFonts w:hint="default" w:ascii="Times New Roman" w:hAnsi="Times New Roman" w:cs="Times New Roman"/>
                      <w:highlight w:val="none"/>
                    </w:rPr>
                    <w:t>301</w:t>
                  </w:r>
                </w:p>
              </w:tc>
              <w:tc>
                <w:tcPr>
                  <w:tcW w:w="460" w:type="pct"/>
                  <w:tcBorders>
                    <w:tl2br w:val="nil"/>
                    <w:tr2bl w:val="nil"/>
                  </w:tcBorders>
                  <w:vAlign w:val="center"/>
                </w:tcPr>
                <w:p>
                  <w:pPr>
                    <w:pStyle w:val="15"/>
                    <w:bidi w:val="0"/>
                    <w:jc w:val="center"/>
                    <w:rPr>
                      <w:rFonts w:hint="default" w:ascii="Times New Roman" w:hAnsi="Times New Roman" w:cs="Times New Roman"/>
                      <w:highlight w:val="none"/>
                    </w:rPr>
                  </w:pPr>
                  <w:r>
                    <w:rPr>
                      <w:rFonts w:hint="default" w:ascii="Times New Roman" w:hAnsi="Times New Roman" w:cs="Times New Roman"/>
                      <w:highlight w:val="none"/>
                    </w:rPr>
                    <w:t>182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02" w:hRule="atLeast"/>
              </w:trPr>
              <w:tc>
                <w:tcPr>
                  <w:tcW w:w="500" w:type="pct"/>
                  <w:tcBorders>
                    <w:tl2br w:val="nil"/>
                    <w:tr2bl w:val="nil"/>
                  </w:tcBorders>
                  <w:vAlign w:val="center"/>
                </w:tcPr>
                <w:p>
                  <w:pPr>
                    <w:pStyle w:val="15"/>
                    <w:bidi w:val="0"/>
                    <w:jc w:val="center"/>
                    <w:rPr>
                      <w:rFonts w:hint="default" w:ascii="Times New Roman" w:hAnsi="Times New Roman" w:cs="Times New Roman"/>
                      <w:highlight w:val="none"/>
                    </w:rPr>
                  </w:pPr>
                  <w:r>
                    <w:rPr>
                      <w:rFonts w:hint="default" w:ascii="Times New Roman" w:hAnsi="Times New Roman" w:cs="Times New Roman"/>
                      <w:highlight w:val="none"/>
                    </w:rPr>
                    <w:t>10月</w:t>
                  </w:r>
                </w:p>
              </w:tc>
              <w:tc>
                <w:tcPr>
                  <w:tcW w:w="576" w:type="pct"/>
                  <w:tcBorders>
                    <w:tl2br w:val="nil"/>
                    <w:tr2bl w:val="nil"/>
                  </w:tcBorders>
                  <w:vAlign w:val="center"/>
                </w:tcPr>
                <w:p>
                  <w:pPr>
                    <w:pStyle w:val="15"/>
                    <w:bidi w:val="0"/>
                    <w:jc w:val="center"/>
                    <w:rPr>
                      <w:rFonts w:hint="default" w:ascii="Times New Roman" w:hAnsi="Times New Roman" w:cs="Times New Roman"/>
                      <w:highlight w:val="none"/>
                    </w:rPr>
                  </w:pPr>
                  <w:r>
                    <w:rPr>
                      <w:rFonts w:hint="default" w:ascii="Times New Roman" w:hAnsi="Times New Roman" w:cs="Times New Roman"/>
                      <w:highlight w:val="none"/>
                    </w:rPr>
                    <w:t>67.2</w:t>
                  </w:r>
                </w:p>
              </w:tc>
              <w:tc>
                <w:tcPr>
                  <w:tcW w:w="397" w:type="pct"/>
                  <w:tcBorders>
                    <w:tl2br w:val="nil"/>
                    <w:tr2bl w:val="nil"/>
                  </w:tcBorders>
                  <w:vAlign w:val="center"/>
                </w:tcPr>
                <w:p>
                  <w:pPr>
                    <w:pStyle w:val="15"/>
                    <w:bidi w:val="0"/>
                    <w:jc w:val="center"/>
                    <w:rPr>
                      <w:rFonts w:hint="default" w:ascii="Times New Roman" w:hAnsi="Times New Roman" w:cs="Times New Roman"/>
                      <w:highlight w:val="none"/>
                    </w:rPr>
                  </w:pPr>
                  <w:r>
                    <w:rPr>
                      <w:rFonts w:hint="default" w:ascii="Times New Roman" w:hAnsi="Times New Roman" w:cs="Times New Roman"/>
                      <w:highlight w:val="none"/>
                    </w:rPr>
                    <w:t>44.0</w:t>
                  </w:r>
                </w:p>
              </w:tc>
              <w:tc>
                <w:tcPr>
                  <w:tcW w:w="453" w:type="pct"/>
                  <w:tcBorders>
                    <w:tl2br w:val="nil"/>
                    <w:tr2bl w:val="nil"/>
                  </w:tcBorders>
                  <w:vAlign w:val="center"/>
                </w:tcPr>
                <w:p>
                  <w:pPr>
                    <w:pStyle w:val="15"/>
                    <w:bidi w:val="0"/>
                    <w:jc w:val="center"/>
                    <w:rPr>
                      <w:rFonts w:hint="default" w:ascii="Times New Roman" w:hAnsi="Times New Roman" w:cs="Times New Roman"/>
                      <w:highlight w:val="none"/>
                    </w:rPr>
                  </w:pPr>
                  <w:r>
                    <w:rPr>
                      <w:rFonts w:hint="default" w:ascii="Times New Roman" w:hAnsi="Times New Roman" w:cs="Times New Roman"/>
                      <w:highlight w:val="none"/>
                    </w:rPr>
                    <w:t>23.1</w:t>
                  </w:r>
                </w:p>
              </w:tc>
              <w:tc>
                <w:tcPr>
                  <w:tcW w:w="454" w:type="pct"/>
                  <w:tcBorders>
                    <w:tl2br w:val="nil"/>
                    <w:tr2bl w:val="nil"/>
                  </w:tcBorders>
                  <w:vAlign w:val="center"/>
                </w:tcPr>
                <w:p>
                  <w:pPr>
                    <w:pStyle w:val="15"/>
                    <w:bidi w:val="0"/>
                    <w:jc w:val="center"/>
                    <w:rPr>
                      <w:rFonts w:hint="default" w:ascii="Times New Roman" w:hAnsi="Times New Roman" w:cs="Times New Roman"/>
                      <w:highlight w:val="none"/>
                    </w:rPr>
                  </w:pPr>
                  <w:r>
                    <w:rPr>
                      <w:rFonts w:hint="default" w:ascii="Times New Roman" w:hAnsi="Times New Roman" w:cs="Times New Roman"/>
                      <w:highlight w:val="none"/>
                    </w:rPr>
                    <w:t>3.81</w:t>
                  </w:r>
                </w:p>
              </w:tc>
              <w:tc>
                <w:tcPr>
                  <w:tcW w:w="396" w:type="pct"/>
                  <w:tcBorders>
                    <w:tl2br w:val="nil"/>
                    <w:tr2bl w:val="nil"/>
                  </w:tcBorders>
                  <w:vAlign w:val="center"/>
                </w:tcPr>
                <w:p>
                  <w:pPr>
                    <w:pStyle w:val="15"/>
                    <w:bidi w:val="0"/>
                    <w:jc w:val="center"/>
                    <w:rPr>
                      <w:rFonts w:hint="default" w:ascii="Times New Roman" w:hAnsi="Times New Roman" w:cs="Times New Roman"/>
                      <w:highlight w:val="none"/>
                    </w:rPr>
                  </w:pPr>
                  <w:r>
                    <w:rPr>
                      <w:rFonts w:hint="default" w:ascii="Times New Roman" w:hAnsi="Times New Roman" w:cs="Times New Roman"/>
                      <w:highlight w:val="none"/>
                    </w:rPr>
                    <w:t>52.6</w:t>
                  </w:r>
                </w:p>
              </w:tc>
              <w:tc>
                <w:tcPr>
                  <w:tcW w:w="453" w:type="pct"/>
                  <w:tcBorders>
                    <w:tl2br w:val="nil"/>
                    <w:tr2bl w:val="nil"/>
                  </w:tcBorders>
                  <w:vAlign w:val="center"/>
                </w:tcPr>
                <w:p>
                  <w:pPr>
                    <w:pStyle w:val="15"/>
                    <w:bidi w:val="0"/>
                    <w:jc w:val="center"/>
                    <w:rPr>
                      <w:rFonts w:hint="default" w:ascii="Times New Roman" w:hAnsi="Times New Roman" w:cs="Times New Roman"/>
                      <w:highlight w:val="none"/>
                    </w:rPr>
                  </w:pPr>
                  <w:r>
                    <w:rPr>
                      <w:rFonts w:hint="default" w:ascii="Times New Roman" w:hAnsi="Times New Roman" w:cs="Times New Roman"/>
                      <w:highlight w:val="none"/>
                    </w:rPr>
                    <w:t>27.6</w:t>
                  </w:r>
                </w:p>
              </w:tc>
              <w:tc>
                <w:tcPr>
                  <w:tcW w:w="454" w:type="pct"/>
                  <w:tcBorders>
                    <w:tl2br w:val="nil"/>
                    <w:tr2bl w:val="nil"/>
                  </w:tcBorders>
                  <w:vAlign w:val="center"/>
                </w:tcPr>
                <w:p>
                  <w:pPr>
                    <w:pStyle w:val="15"/>
                    <w:bidi w:val="0"/>
                    <w:jc w:val="center"/>
                    <w:rPr>
                      <w:rFonts w:hint="default" w:ascii="Times New Roman" w:hAnsi="Times New Roman" w:cs="Times New Roman"/>
                      <w:highlight w:val="none"/>
                    </w:rPr>
                  </w:pPr>
                  <w:r>
                    <w:rPr>
                      <w:rFonts w:hint="default" w:ascii="Times New Roman" w:hAnsi="Times New Roman" w:cs="Times New Roman"/>
                      <w:highlight w:val="none"/>
                    </w:rPr>
                    <w:t>4.56</w:t>
                  </w:r>
                </w:p>
              </w:tc>
              <w:tc>
                <w:tcPr>
                  <w:tcW w:w="396" w:type="pct"/>
                  <w:tcBorders>
                    <w:tl2br w:val="nil"/>
                    <w:tr2bl w:val="nil"/>
                  </w:tcBorders>
                  <w:vAlign w:val="center"/>
                </w:tcPr>
                <w:p>
                  <w:pPr>
                    <w:pStyle w:val="15"/>
                    <w:bidi w:val="0"/>
                    <w:jc w:val="center"/>
                    <w:rPr>
                      <w:rFonts w:hint="default" w:ascii="Times New Roman" w:hAnsi="Times New Roman" w:cs="Times New Roman"/>
                      <w:highlight w:val="none"/>
                    </w:rPr>
                  </w:pPr>
                  <w:r>
                    <w:rPr>
                      <w:rFonts w:hint="default" w:ascii="Times New Roman" w:hAnsi="Times New Roman" w:cs="Times New Roman"/>
                      <w:highlight w:val="none"/>
                    </w:rPr>
                    <w:t>84.1</w:t>
                  </w:r>
                </w:p>
              </w:tc>
              <w:tc>
                <w:tcPr>
                  <w:tcW w:w="454" w:type="pct"/>
                  <w:tcBorders>
                    <w:tl2br w:val="nil"/>
                    <w:tr2bl w:val="nil"/>
                  </w:tcBorders>
                  <w:vAlign w:val="center"/>
                </w:tcPr>
                <w:p>
                  <w:pPr>
                    <w:pStyle w:val="15"/>
                    <w:bidi w:val="0"/>
                    <w:jc w:val="center"/>
                    <w:rPr>
                      <w:rFonts w:hint="default" w:ascii="Times New Roman" w:hAnsi="Times New Roman" w:cs="Times New Roman"/>
                      <w:highlight w:val="none"/>
                    </w:rPr>
                  </w:pPr>
                  <w:r>
                    <w:rPr>
                      <w:rFonts w:hint="default" w:ascii="Times New Roman" w:hAnsi="Times New Roman" w:cs="Times New Roman"/>
                      <w:highlight w:val="none"/>
                    </w:rPr>
                    <w:t>44.1</w:t>
                  </w:r>
                </w:p>
              </w:tc>
              <w:tc>
                <w:tcPr>
                  <w:tcW w:w="460" w:type="pct"/>
                  <w:tcBorders>
                    <w:tl2br w:val="nil"/>
                    <w:tr2bl w:val="nil"/>
                  </w:tcBorders>
                  <w:vAlign w:val="center"/>
                </w:tcPr>
                <w:p>
                  <w:pPr>
                    <w:pStyle w:val="15"/>
                    <w:bidi w:val="0"/>
                    <w:jc w:val="center"/>
                    <w:rPr>
                      <w:rFonts w:hint="default" w:ascii="Times New Roman" w:hAnsi="Times New Roman" w:cs="Times New Roman"/>
                      <w:highlight w:val="none"/>
                    </w:rPr>
                  </w:pPr>
                  <w:r>
                    <w:rPr>
                      <w:rFonts w:hint="default" w:ascii="Times New Roman" w:hAnsi="Times New Roman" w:cs="Times New Roman"/>
                      <w:highlight w:val="none"/>
                    </w:rPr>
                    <w:t>7.29</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00" w:hRule="atLeast"/>
              </w:trPr>
              <w:tc>
                <w:tcPr>
                  <w:tcW w:w="500" w:type="pct"/>
                  <w:tcBorders>
                    <w:tl2br w:val="nil"/>
                    <w:tr2bl w:val="nil"/>
                  </w:tcBorders>
                  <w:vAlign w:val="center"/>
                </w:tcPr>
                <w:p>
                  <w:pPr>
                    <w:pStyle w:val="15"/>
                    <w:bidi w:val="0"/>
                    <w:jc w:val="center"/>
                    <w:rPr>
                      <w:rFonts w:hint="default" w:ascii="Times New Roman" w:hAnsi="Times New Roman" w:cs="Times New Roman"/>
                      <w:highlight w:val="none"/>
                    </w:rPr>
                  </w:pPr>
                  <w:r>
                    <w:rPr>
                      <w:rFonts w:hint="default" w:ascii="Times New Roman" w:hAnsi="Times New Roman" w:cs="Times New Roman"/>
                      <w:highlight w:val="none"/>
                    </w:rPr>
                    <w:t>11月</w:t>
                  </w:r>
                </w:p>
              </w:tc>
              <w:tc>
                <w:tcPr>
                  <w:tcW w:w="576" w:type="pct"/>
                  <w:tcBorders>
                    <w:tl2br w:val="nil"/>
                    <w:tr2bl w:val="nil"/>
                  </w:tcBorders>
                  <w:vAlign w:val="center"/>
                </w:tcPr>
                <w:p>
                  <w:pPr>
                    <w:pStyle w:val="15"/>
                    <w:bidi w:val="0"/>
                    <w:jc w:val="center"/>
                    <w:rPr>
                      <w:rFonts w:hint="default" w:ascii="Times New Roman" w:hAnsi="Times New Roman" w:cs="Times New Roman"/>
                      <w:highlight w:val="none"/>
                    </w:rPr>
                  </w:pPr>
                  <w:r>
                    <w:rPr>
                      <w:rFonts w:hint="default" w:ascii="Times New Roman" w:hAnsi="Times New Roman" w:cs="Times New Roman"/>
                      <w:highlight w:val="none"/>
                    </w:rPr>
                    <w:t>13.0</w:t>
                  </w:r>
                </w:p>
              </w:tc>
              <w:tc>
                <w:tcPr>
                  <w:tcW w:w="397" w:type="pct"/>
                  <w:tcBorders>
                    <w:tl2br w:val="nil"/>
                    <w:tr2bl w:val="nil"/>
                  </w:tcBorders>
                  <w:vAlign w:val="center"/>
                </w:tcPr>
                <w:p>
                  <w:pPr>
                    <w:pStyle w:val="15"/>
                    <w:bidi w:val="0"/>
                    <w:jc w:val="center"/>
                    <w:rPr>
                      <w:rFonts w:hint="default" w:ascii="Times New Roman" w:hAnsi="Times New Roman" w:cs="Times New Roman"/>
                      <w:highlight w:val="none"/>
                    </w:rPr>
                  </w:pPr>
                  <w:r>
                    <w:rPr>
                      <w:rFonts w:hint="default" w:ascii="Times New Roman" w:hAnsi="Times New Roman" w:cs="Times New Roman"/>
                      <w:highlight w:val="none"/>
                    </w:rPr>
                    <w:t>5.89</w:t>
                  </w:r>
                </w:p>
              </w:tc>
              <w:tc>
                <w:tcPr>
                  <w:tcW w:w="453" w:type="pct"/>
                  <w:tcBorders>
                    <w:tl2br w:val="nil"/>
                    <w:tr2bl w:val="nil"/>
                  </w:tcBorders>
                  <w:vAlign w:val="center"/>
                </w:tcPr>
                <w:p>
                  <w:pPr>
                    <w:pStyle w:val="15"/>
                    <w:bidi w:val="0"/>
                    <w:jc w:val="center"/>
                    <w:rPr>
                      <w:rFonts w:hint="default" w:ascii="Times New Roman" w:hAnsi="Times New Roman" w:cs="Times New Roman"/>
                      <w:highlight w:val="none"/>
                    </w:rPr>
                  </w:pPr>
                  <w:r>
                    <w:rPr>
                      <w:rFonts w:hint="default" w:ascii="Times New Roman" w:hAnsi="Times New Roman" w:cs="Times New Roman"/>
                      <w:highlight w:val="none"/>
                    </w:rPr>
                    <w:t>2.97</w:t>
                  </w:r>
                </w:p>
              </w:tc>
              <w:tc>
                <w:tcPr>
                  <w:tcW w:w="454" w:type="pct"/>
                  <w:tcBorders>
                    <w:tl2br w:val="nil"/>
                    <w:tr2bl w:val="nil"/>
                  </w:tcBorders>
                  <w:vAlign w:val="center"/>
                </w:tcPr>
                <w:p>
                  <w:pPr>
                    <w:pStyle w:val="15"/>
                    <w:bidi w:val="0"/>
                    <w:jc w:val="center"/>
                    <w:rPr>
                      <w:rFonts w:hint="default" w:ascii="Times New Roman" w:hAnsi="Times New Roman" w:cs="Times New Roman"/>
                      <w:highlight w:val="none"/>
                    </w:rPr>
                  </w:pPr>
                  <w:r>
                    <w:rPr>
                      <w:rFonts w:hint="default" w:ascii="Times New Roman" w:hAnsi="Times New Roman" w:cs="Times New Roman"/>
                      <w:highlight w:val="none"/>
                    </w:rPr>
                    <w:t>0.421</w:t>
                  </w:r>
                </w:p>
              </w:tc>
              <w:tc>
                <w:tcPr>
                  <w:tcW w:w="396" w:type="pct"/>
                  <w:tcBorders>
                    <w:tl2br w:val="nil"/>
                    <w:tr2bl w:val="nil"/>
                  </w:tcBorders>
                  <w:vAlign w:val="center"/>
                </w:tcPr>
                <w:p>
                  <w:pPr>
                    <w:pStyle w:val="15"/>
                    <w:bidi w:val="0"/>
                    <w:jc w:val="center"/>
                    <w:rPr>
                      <w:rFonts w:hint="default" w:ascii="Times New Roman" w:hAnsi="Times New Roman" w:cs="Times New Roman"/>
                      <w:highlight w:val="none"/>
                    </w:rPr>
                  </w:pPr>
                  <w:r>
                    <w:rPr>
                      <w:rFonts w:hint="default" w:ascii="Times New Roman" w:hAnsi="Times New Roman" w:cs="Times New Roman"/>
                      <w:highlight w:val="none"/>
                    </w:rPr>
                    <w:t>7.37</w:t>
                  </w:r>
                </w:p>
              </w:tc>
              <w:tc>
                <w:tcPr>
                  <w:tcW w:w="453" w:type="pct"/>
                  <w:tcBorders>
                    <w:tl2br w:val="nil"/>
                    <w:tr2bl w:val="nil"/>
                  </w:tcBorders>
                  <w:vAlign w:val="center"/>
                </w:tcPr>
                <w:p>
                  <w:pPr>
                    <w:pStyle w:val="15"/>
                    <w:bidi w:val="0"/>
                    <w:jc w:val="center"/>
                    <w:rPr>
                      <w:rFonts w:hint="default" w:ascii="Times New Roman" w:hAnsi="Times New Roman" w:cs="Times New Roman"/>
                      <w:highlight w:val="none"/>
                    </w:rPr>
                  </w:pPr>
                  <w:r>
                    <w:rPr>
                      <w:rFonts w:hint="default" w:ascii="Times New Roman" w:hAnsi="Times New Roman" w:cs="Times New Roman"/>
                      <w:highlight w:val="none"/>
                    </w:rPr>
                    <w:t>3.71</w:t>
                  </w:r>
                </w:p>
              </w:tc>
              <w:tc>
                <w:tcPr>
                  <w:tcW w:w="454" w:type="pct"/>
                  <w:tcBorders>
                    <w:tl2br w:val="nil"/>
                    <w:tr2bl w:val="nil"/>
                  </w:tcBorders>
                  <w:vAlign w:val="center"/>
                </w:tcPr>
                <w:p>
                  <w:pPr>
                    <w:pStyle w:val="15"/>
                    <w:bidi w:val="0"/>
                    <w:jc w:val="center"/>
                    <w:rPr>
                      <w:rFonts w:hint="default" w:ascii="Times New Roman" w:hAnsi="Times New Roman" w:cs="Times New Roman"/>
                      <w:highlight w:val="none"/>
                    </w:rPr>
                  </w:pPr>
                  <w:r>
                    <w:rPr>
                      <w:rFonts w:hint="default" w:ascii="Times New Roman" w:hAnsi="Times New Roman" w:cs="Times New Roman"/>
                      <w:highlight w:val="none"/>
                    </w:rPr>
                    <w:t>0.526</w:t>
                  </w:r>
                </w:p>
              </w:tc>
              <w:tc>
                <w:tcPr>
                  <w:tcW w:w="396" w:type="pct"/>
                  <w:tcBorders>
                    <w:tl2br w:val="nil"/>
                    <w:tr2bl w:val="nil"/>
                  </w:tcBorders>
                  <w:vAlign w:val="center"/>
                </w:tcPr>
                <w:p>
                  <w:pPr>
                    <w:pStyle w:val="15"/>
                    <w:bidi w:val="0"/>
                    <w:jc w:val="center"/>
                    <w:rPr>
                      <w:rFonts w:hint="default" w:ascii="Times New Roman" w:hAnsi="Times New Roman" w:cs="Times New Roman"/>
                      <w:highlight w:val="none"/>
                    </w:rPr>
                  </w:pPr>
                  <w:r>
                    <w:rPr>
                      <w:rFonts w:hint="default" w:ascii="Times New Roman" w:hAnsi="Times New Roman" w:cs="Times New Roman"/>
                      <w:highlight w:val="none"/>
                    </w:rPr>
                    <w:t>13.26</w:t>
                  </w:r>
                </w:p>
              </w:tc>
              <w:tc>
                <w:tcPr>
                  <w:tcW w:w="454" w:type="pct"/>
                  <w:tcBorders>
                    <w:tl2br w:val="nil"/>
                    <w:tr2bl w:val="nil"/>
                  </w:tcBorders>
                  <w:vAlign w:val="center"/>
                </w:tcPr>
                <w:p>
                  <w:pPr>
                    <w:pStyle w:val="15"/>
                    <w:bidi w:val="0"/>
                    <w:jc w:val="center"/>
                    <w:rPr>
                      <w:rFonts w:hint="default" w:ascii="Times New Roman" w:hAnsi="Times New Roman" w:cs="Times New Roman"/>
                      <w:highlight w:val="none"/>
                    </w:rPr>
                  </w:pPr>
                  <w:r>
                    <w:rPr>
                      <w:rFonts w:hint="default" w:ascii="Times New Roman" w:hAnsi="Times New Roman" w:cs="Times New Roman"/>
                      <w:highlight w:val="none"/>
                    </w:rPr>
                    <w:t>6.68</w:t>
                  </w:r>
                </w:p>
              </w:tc>
              <w:tc>
                <w:tcPr>
                  <w:tcW w:w="460" w:type="pct"/>
                  <w:tcBorders>
                    <w:tl2br w:val="nil"/>
                    <w:tr2bl w:val="nil"/>
                  </w:tcBorders>
                  <w:vAlign w:val="center"/>
                </w:tcPr>
                <w:p>
                  <w:pPr>
                    <w:pStyle w:val="15"/>
                    <w:bidi w:val="0"/>
                    <w:jc w:val="center"/>
                    <w:rPr>
                      <w:rFonts w:hint="default" w:ascii="Times New Roman" w:hAnsi="Times New Roman" w:cs="Times New Roman"/>
                      <w:highlight w:val="none"/>
                    </w:rPr>
                  </w:pPr>
                  <w:r>
                    <w:rPr>
                      <w:rFonts w:hint="default" w:ascii="Times New Roman" w:hAnsi="Times New Roman" w:cs="Times New Roman"/>
                      <w:highlight w:val="none"/>
                    </w:rPr>
                    <w:t>0.946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08" w:hRule="atLeast"/>
              </w:trPr>
              <w:tc>
                <w:tcPr>
                  <w:tcW w:w="500" w:type="pct"/>
                  <w:tcBorders>
                    <w:tl2br w:val="nil"/>
                    <w:tr2bl w:val="nil"/>
                  </w:tcBorders>
                  <w:vAlign w:val="center"/>
                </w:tcPr>
                <w:p>
                  <w:pPr>
                    <w:pStyle w:val="15"/>
                    <w:bidi w:val="0"/>
                    <w:jc w:val="center"/>
                    <w:rPr>
                      <w:rFonts w:hint="default" w:ascii="Times New Roman" w:hAnsi="Times New Roman" w:cs="Times New Roman"/>
                      <w:highlight w:val="none"/>
                    </w:rPr>
                  </w:pPr>
                  <w:r>
                    <w:rPr>
                      <w:rFonts w:hint="default" w:ascii="Times New Roman" w:hAnsi="Times New Roman" w:cs="Times New Roman"/>
                      <w:highlight w:val="none"/>
                    </w:rPr>
                    <w:t>12月</w:t>
                  </w:r>
                </w:p>
              </w:tc>
              <w:tc>
                <w:tcPr>
                  <w:tcW w:w="576" w:type="pct"/>
                  <w:tcBorders>
                    <w:tl2br w:val="nil"/>
                    <w:tr2bl w:val="nil"/>
                  </w:tcBorders>
                  <w:vAlign w:val="center"/>
                </w:tcPr>
                <w:p>
                  <w:pPr>
                    <w:pStyle w:val="15"/>
                    <w:bidi w:val="0"/>
                    <w:jc w:val="center"/>
                    <w:rPr>
                      <w:rFonts w:hint="default" w:ascii="Times New Roman" w:hAnsi="Times New Roman" w:cs="Times New Roman"/>
                      <w:highlight w:val="none"/>
                    </w:rPr>
                  </w:pPr>
                  <w:r>
                    <w:rPr>
                      <w:rFonts w:hint="default" w:ascii="Times New Roman" w:hAnsi="Times New Roman" w:cs="Times New Roman"/>
                      <w:highlight w:val="none"/>
                    </w:rPr>
                    <w:t>1.99</w:t>
                  </w:r>
                </w:p>
              </w:tc>
              <w:tc>
                <w:tcPr>
                  <w:tcW w:w="397" w:type="pct"/>
                  <w:tcBorders>
                    <w:tl2br w:val="nil"/>
                    <w:tr2bl w:val="nil"/>
                  </w:tcBorders>
                  <w:vAlign w:val="center"/>
                </w:tcPr>
                <w:p>
                  <w:pPr>
                    <w:pStyle w:val="15"/>
                    <w:bidi w:val="0"/>
                    <w:jc w:val="center"/>
                    <w:rPr>
                      <w:rFonts w:hint="default" w:ascii="Times New Roman" w:hAnsi="Times New Roman" w:cs="Times New Roman"/>
                      <w:highlight w:val="none"/>
                    </w:rPr>
                  </w:pPr>
                  <w:r>
                    <w:rPr>
                      <w:rFonts w:hint="default" w:ascii="Times New Roman" w:hAnsi="Times New Roman" w:cs="Times New Roman"/>
                      <w:highlight w:val="none"/>
                    </w:rPr>
                    <w:t>0.918</w:t>
                  </w:r>
                </w:p>
              </w:tc>
              <w:tc>
                <w:tcPr>
                  <w:tcW w:w="453" w:type="pct"/>
                  <w:tcBorders>
                    <w:tl2br w:val="nil"/>
                    <w:tr2bl w:val="nil"/>
                  </w:tcBorders>
                  <w:vAlign w:val="center"/>
                </w:tcPr>
                <w:p>
                  <w:pPr>
                    <w:pStyle w:val="15"/>
                    <w:bidi w:val="0"/>
                    <w:jc w:val="center"/>
                    <w:rPr>
                      <w:rFonts w:hint="default" w:ascii="Times New Roman" w:hAnsi="Times New Roman" w:cs="Times New Roman"/>
                      <w:highlight w:val="none"/>
                    </w:rPr>
                  </w:pPr>
                  <w:r>
                    <w:rPr>
                      <w:rFonts w:hint="default" w:ascii="Times New Roman" w:hAnsi="Times New Roman" w:cs="Times New Roman"/>
                      <w:highlight w:val="none"/>
                    </w:rPr>
                    <w:t>0.387</w:t>
                  </w:r>
                </w:p>
              </w:tc>
              <w:tc>
                <w:tcPr>
                  <w:tcW w:w="454" w:type="pct"/>
                  <w:tcBorders>
                    <w:tl2br w:val="nil"/>
                    <w:tr2bl w:val="nil"/>
                  </w:tcBorders>
                  <w:vAlign w:val="center"/>
                </w:tcPr>
                <w:p>
                  <w:pPr>
                    <w:pStyle w:val="15"/>
                    <w:bidi w:val="0"/>
                    <w:jc w:val="center"/>
                    <w:rPr>
                      <w:rFonts w:hint="default" w:ascii="Times New Roman" w:hAnsi="Times New Roman" w:cs="Times New Roman"/>
                      <w:highlight w:val="none"/>
                    </w:rPr>
                  </w:pPr>
                  <w:r>
                    <w:rPr>
                      <w:rFonts w:hint="default" w:ascii="Times New Roman" w:hAnsi="Times New Roman" w:cs="Times New Roman"/>
                      <w:highlight w:val="none"/>
                    </w:rPr>
                    <w:t>0.027</w:t>
                  </w:r>
                </w:p>
              </w:tc>
              <w:tc>
                <w:tcPr>
                  <w:tcW w:w="396" w:type="pct"/>
                  <w:tcBorders>
                    <w:tl2br w:val="nil"/>
                    <w:tr2bl w:val="nil"/>
                  </w:tcBorders>
                  <w:vAlign w:val="center"/>
                </w:tcPr>
                <w:p>
                  <w:pPr>
                    <w:pStyle w:val="15"/>
                    <w:bidi w:val="0"/>
                    <w:jc w:val="center"/>
                    <w:rPr>
                      <w:rFonts w:hint="default" w:ascii="Times New Roman" w:hAnsi="Times New Roman" w:cs="Times New Roman"/>
                      <w:highlight w:val="none"/>
                    </w:rPr>
                  </w:pPr>
                  <w:r>
                    <w:rPr>
                      <w:rFonts w:hint="default" w:ascii="Times New Roman" w:hAnsi="Times New Roman" w:cs="Times New Roman"/>
                      <w:highlight w:val="none"/>
                    </w:rPr>
                    <w:t>1.148</w:t>
                  </w:r>
                </w:p>
              </w:tc>
              <w:tc>
                <w:tcPr>
                  <w:tcW w:w="453" w:type="pct"/>
                  <w:tcBorders>
                    <w:tl2br w:val="nil"/>
                    <w:tr2bl w:val="nil"/>
                  </w:tcBorders>
                  <w:vAlign w:val="center"/>
                </w:tcPr>
                <w:p>
                  <w:pPr>
                    <w:pStyle w:val="15"/>
                    <w:bidi w:val="0"/>
                    <w:jc w:val="center"/>
                    <w:rPr>
                      <w:rFonts w:hint="default" w:ascii="Times New Roman" w:hAnsi="Times New Roman" w:cs="Times New Roman"/>
                      <w:highlight w:val="none"/>
                    </w:rPr>
                  </w:pPr>
                  <w:r>
                    <w:rPr>
                      <w:rFonts w:hint="default" w:ascii="Times New Roman" w:hAnsi="Times New Roman" w:cs="Times New Roman"/>
                      <w:highlight w:val="none"/>
                    </w:rPr>
                    <w:t>0.484</w:t>
                  </w:r>
                </w:p>
              </w:tc>
              <w:tc>
                <w:tcPr>
                  <w:tcW w:w="454" w:type="pct"/>
                  <w:tcBorders>
                    <w:tl2br w:val="nil"/>
                    <w:tr2bl w:val="nil"/>
                  </w:tcBorders>
                  <w:vAlign w:val="center"/>
                </w:tcPr>
                <w:p>
                  <w:pPr>
                    <w:pStyle w:val="15"/>
                    <w:bidi w:val="0"/>
                    <w:jc w:val="center"/>
                    <w:rPr>
                      <w:rFonts w:hint="default" w:ascii="Times New Roman" w:hAnsi="Times New Roman" w:cs="Times New Roman"/>
                      <w:highlight w:val="none"/>
                    </w:rPr>
                  </w:pPr>
                  <w:r>
                    <w:rPr>
                      <w:rFonts w:hint="default" w:ascii="Times New Roman" w:hAnsi="Times New Roman" w:cs="Times New Roman"/>
                      <w:highlight w:val="none"/>
                    </w:rPr>
                    <w:t>0.034</w:t>
                  </w:r>
                </w:p>
              </w:tc>
              <w:tc>
                <w:tcPr>
                  <w:tcW w:w="396" w:type="pct"/>
                  <w:tcBorders>
                    <w:tl2br w:val="nil"/>
                    <w:tr2bl w:val="nil"/>
                  </w:tcBorders>
                  <w:vAlign w:val="center"/>
                </w:tcPr>
                <w:p>
                  <w:pPr>
                    <w:pStyle w:val="15"/>
                    <w:bidi w:val="0"/>
                    <w:jc w:val="center"/>
                    <w:rPr>
                      <w:rFonts w:hint="default" w:ascii="Times New Roman" w:hAnsi="Times New Roman" w:cs="Times New Roman"/>
                      <w:highlight w:val="none"/>
                    </w:rPr>
                  </w:pPr>
                  <w:r>
                    <w:rPr>
                      <w:rFonts w:hint="default" w:ascii="Times New Roman" w:hAnsi="Times New Roman" w:cs="Times New Roman"/>
                      <w:highlight w:val="none"/>
                    </w:rPr>
                    <w:t>2.07</w:t>
                  </w:r>
                </w:p>
              </w:tc>
              <w:tc>
                <w:tcPr>
                  <w:tcW w:w="454" w:type="pct"/>
                  <w:tcBorders>
                    <w:tl2br w:val="nil"/>
                    <w:tr2bl w:val="nil"/>
                  </w:tcBorders>
                  <w:vAlign w:val="center"/>
                </w:tcPr>
                <w:p>
                  <w:pPr>
                    <w:pStyle w:val="15"/>
                    <w:bidi w:val="0"/>
                    <w:jc w:val="center"/>
                    <w:rPr>
                      <w:rFonts w:hint="default" w:ascii="Times New Roman" w:hAnsi="Times New Roman" w:cs="Times New Roman"/>
                      <w:highlight w:val="none"/>
                    </w:rPr>
                  </w:pPr>
                  <w:r>
                    <w:rPr>
                      <w:rFonts w:hint="default" w:ascii="Times New Roman" w:hAnsi="Times New Roman" w:cs="Times New Roman"/>
                      <w:highlight w:val="none"/>
                    </w:rPr>
                    <w:t>0.872</w:t>
                  </w:r>
                </w:p>
              </w:tc>
              <w:tc>
                <w:tcPr>
                  <w:tcW w:w="460" w:type="pct"/>
                  <w:tcBorders>
                    <w:tl2br w:val="nil"/>
                    <w:tr2bl w:val="nil"/>
                  </w:tcBorders>
                  <w:vAlign w:val="center"/>
                </w:tcPr>
                <w:p>
                  <w:pPr>
                    <w:pStyle w:val="15"/>
                    <w:bidi w:val="0"/>
                    <w:jc w:val="center"/>
                    <w:rPr>
                      <w:rFonts w:hint="default" w:ascii="Times New Roman" w:hAnsi="Times New Roman" w:cs="Times New Roman"/>
                      <w:highlight w:val="none"/>
                    </w:rPr>
                  </w:pPr>
                  <w:r>
                    <w:rPr>
                      <w:rFonts w:hint="default" w:ascii="Times New Roman" w:hAnsi="Times New Roman" w:cs="Times New Roman"/>
                      <w:highlight w:val="none"/>
                    </w:rPr>
                    <w:t>0.061</w:t>
                  </w:r>
                </w:p>
              </w:tc>
            </w:tr>
          </w:tbl>
          <w:p>
            <w:pPr>
              <w:pStyle w:val="24"/>
              <w:spacing w:line="360" w:lineRule="auto"/>
              <w:ind w:firstLine="480" w:firstLineChars="200"/>
              <w:rPr>
                <w:rFonts w:hint="default" w:ascii="Times New Roman" w:hAnsi="Times New Roman" w:cs="Times New Roman"/>
                <w:bCs/>
                <w:color w:val="auto"/>
                <w:highlight w:val="none"/>
                <w:lang w:eastAsia="zh-CN"/>
              </w:rPr>
            </w:pPr>
            <w:r>
              <w:rPr>
                <w:rFonts w:hint="default" w:ascii="Times New Roman" w:hAnsi="Times New Roman" w:eastAsia="微软雅黑" w:cs="Times New Roman"/>
                <w:bCs/>
                <w:color w:val="auto"/>
                <w:highlight w:val="none"/>
                <w:u w:val="none"/>
                <w:lang w:val="en-US" w:eastAsia="zh-CN"/>
              </w:rPr>
              <w:t>②</w:t>
            </w:r>
            <w:r>
              <w:rPr>
                <w:rFonts w:hint="default" w:ascii="Times New Roman" w:hAnsi="Times New Roman" w:cs="Times New Roman"/>
                <w:bCs/>
                <w:color w:val="auto"/>
                <w:highlight w:val="none"/>
                <w:u w:val="none"/>
                <w:lang w:val="en-US" w:eastAsia="zh-CN"/>
              </w:rPr>
              <w:t>水生生态：通过现场踏勘胡家河属于小型河流，</w:t>
            </w:r>
            <w:r>
              <w:rPr>
                <w:rFonts w:hint="default" w:ascii="Times New Roman" w:hAnsi="Times New Roman" w:cs="Times New Roman"/>
                <w:color w:val="auto"/>
                <w:sz w:val="24"/>
                <w:highlight w:val="none"/>
                <w:u w:val="none"/>
                <w:lang w:val="en-US" w:eastAsia="zh-CN"/>
              </w:rPr>
              <w:t>水中以当地常见藻类、浮游生物、当地常见鱼类（草鱼、鲫鱼、鲢等）、两栖生物等为主，项目河段胡家河为山洪沟，</w:t>
            </w:r>
            <w:r>
              <w:rPr>
                <w:rFonts w:hint="default" w:ascii="Times New Roman" w:hAnsi="Times New Roman" w:cs="Times New Roman"/>
                <w:bCs/>
                <w:color w:val="auto"/>
                <w:highlight w:val="none"/>
                <w:lang w:val="en-US" w:eastAsia="zh-CN"/>
              </w:rPr>
              <w:t>施工段</w:t>
            </w:r>
            <w:r>
              <w:rPr>
                <w:rFonts w:hint="default" w:ascii="Times New Roman" w:hAnsi="Times New Roman" w:cs="Times New Roman"/>
                <w:color w:val="auto"/>
                <w:sz w:val="24"/>
                <w:highlight w:val="none"/>
              </w:rPr>
              <w:t>不涉及“鱼类三场”</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越冬场、产卵场、索饵场</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洄游通道、珍稀频危受保护鱼类</w:t>
            </w:r>
            <w:r>
              <w:rPr>
                <w:rFonts w:hint="default" w:ascii="Times New Roman" w:hAnsi="Times New Roman" w:cs="Times New Roman"/>
                <w:color w:val="auto"/>
                <w:sz w:val="24"/>
                <w:highlight w:val="none"/>
              </w:rPr>
              <w:t>及</w:t>
            </w:r>
            <w:r>
              <w:rPr>
                <w:rFonts w:hint="default" w:ascii="Times New Roman" w:hAnsi="Times New Roman" w:cs="Times New Roman"/>
                <w:bCs/>
                <w:color w:val="auto"/>
                <w:highlight w:val="none"/>
              </w:rPr>
              <w:t>水生珍稀植物、重点保护动物等</w:t>
            </w:r>
            <w:r>
              <w:rPr>
                <w:rFonts w:hint="default" w:ascii="Times New Roman" w:hAnsi="Times New Roman" w:cs="Times New Roman"/>
                <w:bCs/>
                <w:color w:val="auto"/>
                <w:highlight w:val="none"/>
                <w:lang w:eastAsia="zh-CN"/>
              </w:rPr>
              <w:t>。</w:t>
            </w:r>
          </w:p>
          <w:p>
            <w:pPr>
              <w:rPr>
                <w:rFonts w:hint="default" w:ascii="Times New Roman" w:hAnsi="Times New Roman" w:cs="Times New Roman"/>
                <w:bCs/>
                <w:color w:val="auto"/>
                <w:highlight w:val="none"/>
                <w:lang w:val="en-US" w:eastAsia="zh-CN"/>
              </w:rPr>
            </w:pPr>
            <w:r>
              <w:rPr>
                <w:rFonts w:hint="default" w:ascii="Times New Roman" w:hAnsi="Times New Roman" w:cs="Times New Roman"/>
                <w:b w:val="0"/>
                <w:bCs w:val="0"/>
                <w:highlight w:val="none"/>
                <w:lang w:val="en-US" w:eastAsia="zh-CN"/>
              </w:rPr>
              <w:t>（4）区域水土流失情况</w:t>
            </w:r>
          </w:p>
          <w:p>
            <w:pPr>
              <w:bidi w:val="0"/>
              <w:rPr>
                <w:rFonts w:hint="default" w:ascii="Times New Roman" w:hAnsi="Times New Roman" w:eastAsia="宋体" w:cs="Times New Roman"/>
                <w:color w:val="auto"/>
                <w:highlight w:val="none"/>
                <w:lang w:eastAsia="zh-CN"/>
              </w:rPr>
            </w:pPr>
            <w:r>
              <w:rPr>
                <w:rFonts w:hint="default" w:ascii="Times New Roman" w:hAnsi="Times New Roman" w:cs="Times New Roman"/>
                <w:bCs/>
                <w:color w:val="auto"/>
                <w:highlight w:val="none"/>
                <w:u w:val="none"/>
                <w:shd w:val="clear"/>
                <w:lang w:val="en-US" w:eastAsia="zh-CN"/>
              </w:rPr>
              <w:t>水土流失情况：</w:t>
            </w:r>
            <w:r>
              <w:rPr>
                <w:rFonts w:hint="default" w:ascii="Times New Roman" w:hAnsi="Times New Roman" w:cs="Times New Roman"/>
                <w:highlight w:val="none"/>
                <w:lang w:val="en-US" w:eastAsia="zh-CN"/>
              </w:rPr>
              <w:t>本项目</w:t>
            </w:r>
            <w:r>
              <w:rPr>
                <w:rFonts w:hint="default" w:ascii="Times New Roman" w:hAnsi="Times New Roman" w:cs="Times New Roman"/>
                <w:highlight w:val="none"/>
              </w:rPr>
              <w:t>水土流失类型主要以水力侵蚀为主，根据项目区地形地貌条件，参照1996年《达州市土壤侵蚀现状图》遥感资料，按《土壤侵蚀分类分级标准》（SL190－2007）进行分析，项目区水土流失现状的平均土壤侵蚀模数为2405km</w:t>
            </w:r>
            <w:r>
              <w:rPr>
                <w:rFonts w:hint="default" w:ascii="Times New Roman" w:hAnsi="Times New Roman" w:cs="Times New Roman"/>
                <w:highlight w:val="none"/>
                <w:vertAlign w:val="superscript"/>
                <w:lang w:val="en-US" w:eastAsia="zh-CN"/>
              </w:rPr>
              <w:t>2</w:t>
            </w:r>
            <w:r>
              <w:rPr>
                <w:rFonts w:hint="default" w:ascii="Times New Roman" w:hAnsi="Times New Roman" w:cs="Times New Roman"/>
                <w:highlight w:val="none"/>
              </w:rPr>
              <w:t>·a，年水土流失总量18t，属轻度水土流失区</w:t>
            </w:r>
            <w:r>
              <w:rPr>
                <w:rFonts w:hint="default" w:ascii="Times New Roman" w:hAnsi="Times New Roman" w:cs="Times New Roman"/>
                <w:highlight w:val="none"/>
                <w:lang w:eastAsia="zh-CN"/>
              </w:rPr>
              <w:t>，</w:t>
            </w:r>
            <w:r>
              <w:rPr>
                <w:rFonts w:hint="default" w:ascii="Times New Roman" w:hAnsi="Times New Roman" w:cs="Times New Roman"/>
                <w:bCs/>
                <w:color w:val="auto"/>
                <w:highlight w:val="none"/>
                <w:shd w:val="clear"/>
                <w:lang w:val="en-US" w:eastAsia="zh-CN"/>
              </w:rPr>
              <w:t>施工期须落实审批后的水土流失防治方案。</w:t>
            </w:r>
            <w:r>
              <w:rPr>
                <w:rFonts w:hint="default" w:ascii="Times New Roman" w:hAnsi="Times New Roman" w:cs="Times New Roman"/>
                <w:color w:val="auto"/>
                <w:highlight w:val="none"/>
                <w:shd w:val="clear"/>
              </w:rPr>
              <w:t>项目水土流失防治类型区分为主体工程建筑物占地和施工临时设施占地</w:t>
            </w:r>
            <w:r>
              <w:rPr>
                <w:rFonts w:hint="default" w:ascii="Times New Roman" w:hAnsi="Times New Roman" w:cs="Times New Roman"/>
                <w:color w:val="auto"/>
                <w:highlight w:val="none"/>
                <w:shd w:val="clear"/>
                <w:lang w:eastAsia="zh-CN"/>
              </w:rPr>
              <w:t>。</w:t>
            </w:r>
          </w:p>
          <w:p>
            <w:pPr>
              <w:rPr>
                <w:rFonts w:hint="default" w:ascii="Times New Roman" w:hAnsi="Times New Roman" w:cs="Times New Roman"/>
                <w:bCs/>
                <w:color w:val="auto"/>
                <w:highlight w:val="none"/>
                <w:lang w:val="en-US" w:eastAsia="zh-CN"/>
              </w:rPr>
            </w:pPr>
            <w:r>
              <w:rPr>
                <w:rFonts w:hint="default" w:ascii="Times New Roman" w:hAnsi="Times New Roman" w:cs="Times New Roman"/>
                <w:b/>
                <w:bCs/>
                <w:color w:val="auto"/>
                <w:highlight w:val="none"/>
              </w:rPr>
              <w:t>二、项目所在区域的环境质量现状</w:t>
            </w:r>
          </w:p>
          <w:p>
            <w:pP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lang w:val="en-US" w:eastAsia="zh-CN"/>
              </w:rPr>
              <w:t>1、</w:t>
            </w:r>
            <w:r>
              <w:rPr>
                <w:rFonts w:hint="default" w:ascii="Times New Roman" w:hAnsi="Times New Roman" w:cs="Times New Roman"/>
                <w:b/>
                <w:bCs/>
                <w:color w:val="auto"/>
                <w:highlight w:val="none"/>
              </w:rPr>
              <w:t>大气环境质量现状</w:t>
            </w:r>
          </w:p>
          <w:p>
            <w:pPr>
              <w:keepNext w:val="0"/>
              <w:keepLines w:val="0"/>
              <w:suppressLineNumbers w:val="0"/>
              <w:autoSpaceDE/>
              <w:autoSpaceDN/>
              <w:adjustRightInd/>
              <w:snapToGrid/>
              <w:spacing w:before="0" w:beforeAutospacing="0" w:after="0" w:afterAutospacing="0" w:line="360" w:lineRule="auto"/>
              <w:ind w:left="0" w:right="0" w:firstLine="480" w:firstLineChars="200"/>
              <w:rPr>
                <w:rFonts w:hint="default" w:ascii="Times New Roman" w:hAnsi="Times New Roman" w:eastAsia="宋体" w:cs="Times New Roman"/>
                <w:highlight w:val="none"/>
                <w:lang w:eastAsia="zh-CN"/>
              </w:rPr>
            </w:pPr>
            <w:r>
              <w:rPr>
                <w:rFonts w:hint="default" w:ascii="Times New Roman" w:hAnsi="Times New Roman" w:cs="Times New Roman"/>
                <w:b w:val="0"/>
                <w:bCs w:val="0"/>
                <w:color w:val="auto"/>
                <w:sz w:val="24"/>
                <w:szCs w:val="24"/>
                <w:highlight w:val="none"/>
              </w:rPr>
              <w:t>根据</w:t>
            </w:r>
            <w:r>
              <w:rPr>
                <w:rFonts w:hint="default" w:ascii="Times New Roman" w:hAnsi="Times New Roman" w:cs="Times New Roman"/>
                <w:color w:val="auto"/>
                <w:kern w:val="2"/>
                <w:szCs w:val="24"/>
                <w:highlight w:val="none"/>
              </w:rPr>
              <w:t>达州市生态环境局官方网站发布的《达州市</w:t>
            </w:r>
            <w:r>
              <w:rPr>
                <w:rFonts w:hint="default" w:ascii="Times New Roman" w:hAnsi="Times New Roman" w:cs="Times New Roman"/>
                <w:color w:val="auto"/>
                <w:kern w:val="2"/>
                <w:szCs w:val="24"/>
                <w:highlight w:val="none"/>
                <w:lang w:val="en-US" w:eastAsia="zh-CN"/>
              </w:rPr>
              <w:t>2023年</w:t>
            </w:r>
            <w:r>
              <w:rPr>
                <w:rFonts w:hint="default" w:ascii="Times New Roman" w:hAnsi="Times New Roman" w:cs="Times New Roman"/>
                <w:color w:val="auto"/>
                <w:kern w:val="2"/>
                <w:szCs w:val="24"/>
                <w:highlight w:val="none"/>
              </w:rPr>
              <w:t>环境空气质量</w:t>
            </w:r>
            <w:r>
              <w:rPr>
                <w:rFonts w:hint="default" w:ascii="Times New Roman" w:hAnsi="Times New Roman" w:cs="Times New Roman"/>
                <w:color w:val="auto"/>
                <w:kern w:val="2"/>
                <w:szCs w:val="24"/>
                <w:highlight w:val="none"/>
                <w:lang w:val="en-US" w:eastAsia="zh-CN"/>
              </w:rPr>
              <w:t>状况</w:t>
            </w:r>
            <w:r>
              <w:rPr>
                <w:rFonts w:hint="default" w:ascii="Times New Roman" w:hAnsi="Times New Roman" w:cs="Times New Roman"/>
                <w:color w:val="auto"/>
                <w:kern w:val="2"/>
                <w:szCs w:val="24"/>
                <w:highlight w:val="none"/>
              </w:rPr>
              <w:t>》，</w:t>
            </w:r>
            <w:r>
              <w:rPr>
                <w:rFonts w:hint="default" w:ascii="Times New Roman" w:hAnsi="Times New Roman" w:cs="Times New Roman"/>
                <w:highlight w:val="none"/>
              </w:rPr>
              <w:t>2023年达州市5个县级城市达标率均同比下降，其中宣汉县和渠县降幅最大（4.4%）。128个县级城市中，万源市达标率为97.5%，第50名；开江县达标率为93.4%，第64名；宣汉县达标率为92.9%，第66名；渠县达标率为89.6%</w:t>
            </w:r>
            <w:r>
              <w:rPr>
                <w:rFonts w:hint="default" w:ascii="Times New Roman" w:hAnsi="Times New Roman" w:cs="Times New Roman"/>
                <w:highlight w:val="none"/>
                <w:lang w:eastAsia="zh-CN"/>
              </w:rPr>
              <w:t>，</w:t>
            </w:r>
            <w:r>
              <w:rPr>
                <w:rFonts w:hint="default" w:ascii="Times New Roman" w:hAnsi="Times New Roman" w:cs="Times New Roman"/>
                <w:highlight w:val="none"/>
              </w:rPr>
              <w:t>第86名；大竹县达标率为88.5%，第91名</w:t>
            </w:r>
            <w:r>
              <w:rPr>
                <w:rFonts w:hint="default" w:ascii="Times New Roman" w:hAnsi="Times New Roman" w:cs="Times New Roman"/>
                <w:highlight w:val="none"/>
                <w:lang w:eastAsia="zh-CN"/>
              </w:rPr>
              <w:t>。</w:t>
            </w:r>
          </w:p>
          <w:p>
            <w:pPr>
              <w:bidi w:val="0"/>
              <w:rPr>
                <w:rFonts w:hint="default" w:ascii="Times New Roman" w:hAnsi="Times New Roman" w:cs="Times New Roman"/>
                <w:highlight w:val="none"/>
              </w:rPr>
            </w:pPr>
            <w:r>
              <w:rPr>
                <w:rFonts w:hint="default" w:ascii="Times New Roman" w:hAnsi="Times New Roman" w:cs="Times New Roman"/>
                <w:highlight w:val="none"/>
              </w:rPr>
              <w:t>2023年宣汉县、开江县、大竹县和渠县NO</w:t>
            </w:r>
            <w:r>
              <w:rPr>
                <w:rFonts w:hint="default" w:ascii="Times New Roman" w:hAnsi="Times New Roman" w:cs="Times New Roman"/>
                <w:highlight w:val="none"/>
                <w:vertAlign w:val="subscript"/>
                <w:lang w:val="en-US" w:eastAsia="zh-CN"/>
              </w:rPr>
              <w:t>2</w:t>
            </w:r>
            <w:r>
              <w:rPr>
                <w:rFonts w:hint="default" w:ascii="Times New Roman" w:hAnsi="Times New Roman" w:cs="Times New Roman"/>
                <w:highlight w:val="none"/>
              </w:rPr>
              <w:t>和PM</w:t>
            </w:r>
            <w:r>
              <w:rPr>
                <w:rFonts w:hint="default" w:ascii="Times New Roman" w:hAnsi="Times New Roman" w:cs="Times New Roman"/>
                <w:highlight w:val="none"/>
                <w:vertAlign w:val="subscript"/>
              </w:rPr>
              <w:t>10</w:t>
            </w:r>
            <w:r>
              <w:rPr>
                <w:rFonts w:hint="default" w:ascii="Times New Roman" w:hAnsi="Times New Roman" w:cs="Times New Roman"/>
                <w:highlight w:val="none"/>
              </w:rPr>
              <w:t>浓度均同比上升，其中大竹县NO</w:t>
            </w:r>
            <w:r>
              <w:rPr>
                <w:rFonts w:hint="default" w:ascii="Times New Roman" w:hAnsi="Times New Roman" w:cs="Times New Roman"/>
                <w:highlight w:val="none"/>
                <w:vertAlign w:val="subscript"/>
              </w:rPr>
              <w:t>2</w:t>
            </w:r>
            <w:r>
              <w:rPr>
                <w:rFonts w:hint="default" w:ascii="Times New Roman" w:hAnsi="Times New Roman" w:cs="Times New Roman"/>
                <w:highlight w:val="none"/>
              </w:rPr>
              <w:t>浓度上升幅度最大，上升25.0%。宣汉县、大竹县、渠县和万源市PM</w:t>
            </w:r>
            <w:r>
              <w:rPr>
                <w:rFonts w:hint="default" w:ascii="Times New Roman" w:hAnsi="Times New Roman" w:cs="Times New Roman"/>
                <w:highlight w:val="none"/>
                <w:vertAlign w:val="subscript"/>
              </w:rPr>
              <w:t>2.5</w:t>
            </w:r>
            <w:r>
              <w:rPr>
                <w:rFonts w:hint="default" w:ascii="Times New Roman" w:hAnsi="Times New Roman" w:cs="Times New Roman"/>
                <w:highlight w:val="none"/>
              </w:rPr>
              <w:t>浓度均同比上升，其中渠县-5-PM</w:t>
            </w:r>
            <w:r>
              <w:rPr>
                <w:rFonts w:hint="default" w:ascii="Times New Roman" w:hAnsi="Times New Roman" w:cs="Times New Roman"/>
                <w:highlight w:val="none"/>
                <w:vertAlign w:val="subscript"/>
              </w:rPr>
              <w:t>2.5</w:t>
            </w:r>
            <w:r>
              <w:rPr>
                <w:rFonts w:hint="default" w:ascii="Times New Roman" w:hAnsi="Times New Roman" w:cs="Times New Roman"/>
                <w:highlight w:val="none"/>
              </w:rPr>
              <w:t>浓度上升幅度最大，上升13.8%。</w:t>
            </w:r>
          </w:p>
          <w:p>
            <w:pPr>
              <w:bidi w:val="0"/>
              <w:rPr>
                <w:rFonts w:hint="default" w:ascii="Times New Roman" w:hAnsi="Times New Roman" w:eastAsia="宋体" w:cs="Times New Roman"/>
                <w:highlight w:val="none"/>
                <w:lang w:eastAsia="zh-CN"/>
              </w:rPr>
            </w:pPr>
            <w:r>
              <w:rPr>
                <w:rFonts w:hint="default" w:ascii="Times New Roman" w:hAnsi="Times New Roman" w:cs="Times New Roman"/>
                <w:highlight w:val="none"/>
              </w:rPr>
              <w:t>2023年在128个县级城市中：万源市综合指数为2.78，第57名；宣汉县综合指数为3.08，第75名；开江县综合指数为3.23，第84名；渠县综合指数为3.30，第88名；大竹县综合指数为3.60，第110名</w:t>
            </w:r>
            <w:r>
              <w:rPr>
                <w:rFonts w:hint="default" w:ascii="Times New Roman" w:hAnsi="Times New Roman" w:cs="Times New Roman"/>
                <w:highlight w:val="none"/>
                <w:lang w:eastAsia="zh-CN"/>
              </w:rPr>
              <w:t>。</w:t>
            </w:r>
          </w:p>
          <w:p>
            <w:pPr>
              <w:bidi w:val="0"/>
              <w:rPr>
                <w:rFonts w:hint="default" w:ascii="Times New Roman" w:hAnsi="Times New Roman" w:cs="Times New Roman"/>
                <w:highlight w:val="none"/>
                <w:lang w:val="en-US" w:eastAsia="zh-CN"/>
              </w:rPr>
            </w:pPr>
            <w:r>
              <w:rPr>
                <w:rFonts w:hint="default" w:ascii="Times New Roman" w:hAnsi="Times New Roman" w:cs="Times New Roman"/>
                <w:highlight w:val="none"/>
              </w:rPr>
              <w:t>202</w:t>
            </w:r>
            <w:r>
              <w:rPr>
                <w:rFonts w:hint="default" w:ascii="Times New Roman" w:hAnsi="Times New Roman" w:cs="Times New Roman"/>
                <w:highlight w:val="none"/>
                <w:lang w:val="en-US" w:eastAsia="zh-CN"/>
              </w:rPr>
              <w:t>3</w:t>
            </w:r>
            <w:r>
              <w:rPr>
                <w:rFonts w:hint="default" w:ascii="Times New Roman" w:hAnsi="Times New Roman" w:cs="Times New Roman"/>
                <w:highlight w:val="none"/>
              </w:rPr>
              <w:t>年</w:t>
            </w:r>
            <w:r>
              <w:rPr>
                <w:rFonts w:hint="default" w:ascii="Times New Roman" w:hAnsi="Times New Roman" w:cs="Times New Roman"/>
                <w:highlight w:val="none"/>
                <w:lang w:val="en-US" w:eastAsia="zh-CN"/>
              </w:rPr>
              <w:t>达州市宣汉县环境</w:t>
            </w:r>
            <w:r>
              <w:rPr>
                <w:rFonts w:hint="default" w:ascii="Times New Roman" w:hAnsi="Times New Roman" w:cs="Times New Roman"/>
                <w:highlight w:val="none"/>
              </w:rPr>
              <w:t>空气质量</w:t>
            </w:r>
            <w:r>
              <w:rPr>
                <w:rFonts w:hint="default" w:ascii="Times New Roman" w:hAnsi="Times New Roman" w:cs="Times New Roman"/>
                <w:highlight w:val="none"/>
                <w:lang w:val="en-US" w:eastAsia="zh-CN"/>
              </w:rPr>
              <w:t>见下表。</w:t>
            </w:r>
          </w:p>
          <w:p>
            <w:pPr>
              <w:pStyle w:val="16"/>
              <w:rPr>
                <w:rFonts w:hint="default" w:ascii="Times New Roman" w:hAnsi="Times New Roman" w:cs="Times New Roman"/>
                <w:highlight w:val="none"/>
                <w:lang w:val="zh-CN" w:eastAsia="zh-CN"/>
              </w:rPr>
            </w:pPr>
            <w:r>
              <w:rPr>
                <w:rFonts w:hint="default" w:ascii="Times New Roman" w:hAnsi="Times New Roman" w:cs="Times New Roman"/>
                <w:highlight w:val="none"/>
                <w:lang w:val="en-US" w:eastAsia="zh-CN"/>
              </w:rPr>
              <w:t xml:space="preserve">表3-2  </w:t>
            </w:r>
            <w:r>
              <w:rPr>
                <w:rFonts w:hint="default" w:ascii="Times New Roman" w:hAnsi="Times New Roman" w:cs="Times New Roman"/>
                <w:highlight w:val="none"/>
                <w:lang w:val="zh-CN" w:eastAsia="zh-CN"/>
              </w:rPr>
              <w:t>202</w:t>
            </w:r>
            <w:r>
              <w:rPr>
                <w:rFonts w:hint="default" w:ascii="Times New Roman" w:hAnsi="Times New Roman" w:cs="Times New Roman"/>
                <w:highlight w:val="none"/>
                <w:lang w:val="en-US" w:eastAsia="zh-CN"/>
              </w:rPr>
              <w:t>3</w:t>
            </w:r>
            <w:r>
              <w:rPr>
                <w:rFonts w:hint="default" w:ascii="Times New Roman" w:hAnsi="Times New Roman" w:cs="Times New Roman"/>
                <w:highlight w:val="none"/>
                <w:lang w:val="zh-CN" w:eastAsia="zh-CN"/>
              </w:rPr>
              <w:t>年</w:t>
            </w:r>
            <w:r>
              <w:rPr>
                <w:rFonts w:hint="default" w:ascii="Times New Roman" w:hAnsi="Times New Roman" w:cs="Times New Roman"/>
                <w:highlight w:val="none"/>
                <w:lang w:val="en-US" w:eastAsia="zh-CN"/>
              </w:rPr>
              <w:t>达州市宣汉县环境</w:t>
            </w:r>
            <w:r>
              <w:rPr>
                <w:rFonts w:hint="default" w:ascii="Times New Roman" w:hAnsi="Times New Roman" w:cs="Times New Roman"/>
                <w:highlight w:val="none"/>
                <w:lang w:val="zh-CN" w:eastAsia="zh-CN"/>
              </w:rPr>
              <w:t>空气质量</w:t>
            </w:r>
            <w:r>
              <w:rPr>
                <w:rFonts w:hint="default" w:ascii="Times New Roman" w:hAnsi="Times New Roman" w:cs="Times New Roman"/>
                <w:highlight w:val="none"/>
                <w:lang w:val="en-US" w:eastAsia="zh-CN"/>
              </w:rPr>
              <w:t>统计</w:t>
            </w:r>
            <w:r>
              <w:rPr>
                <w:rFonts w:hint="default" w:ascii="Times New Roman" w:hAnsi="Times New Roman" w:cs="Times New Roman"/>
                <w:highlight w:val="none"/>
                <w:lang w:val="zh-CN" w:eastAsia="zh-CN"/>
              </w:rPr>
              <w:t>表</w:t>
            </w:r>
          </w:p>
          <w:tbl>
            <w:tblPr>
              <w:tblStyle w:val="11"/>
              <w:tblW w:w="4995"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369"/>
              <w:gridCol w:w="632"/>
              <w:gridCol w:w="632"/>
              <w:gridCol w:w="632"/>
              <w:gridCol w:w="632"/>
              <w:gridCol w:w="632"/>
              <w:gridCol w:w="632"/>
              <w:gridCol w:w="632"/>
              <w:gridCol w:w="633"/>
              <w:gridCol w:w="633"/>
              <w:gridCol w:w="633"/>
              <w:gridCol w:w="633"/>
              <w:gridCol w:w="633"/>
              <w:gridCol w:w="642"/>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81" w:hRule="atLeast"/>
                <w:jc w:val="center"/>
              </w:trPr>
              <w:tc>
                <w:tcPr>
                  <w:tcW w:w="214" w:type="pct"/>
                  <w:tcBorders>
                    <w:tl2br w:val="nil"/>
                    <w:tr2bl w:val="nil"/>
                  </w:tcBorders>
                  <w:noWrap w:val="0"/>
                  <w:vAlign w:val="center"/>
                </w:tcPr>
                <w:p>
                  <w:pPr>
                    <w:pStyle w:val="15"/>
                    <w:bidi w:val="0"/>
                    <w:rPr>
                      <w:rFonts w:hint="default" w:ascii="Times New Roman" w:hAnsi="Times New Roman" w:cs="Times New Roman"/>
                      <w:b/>
                      <w:bCs/>
                      <w:highlight w:val="none"/>
                      <w:lang w:val="en-US" w:eastAsia="zh-CN"/>
                    </w:rPr>
                  </w:pPr>
                  <w:r>
                    <w:rPr>
                      <w:rFonts w:hint="default" w:ascii="Times New Roman" w:hAnsi="Times New Roman" w:cs="Times New Roman"/>
                      <w:b/>
                      <w:bCs/>
                      <w:highlight w:val="none"/>
                      <w:lang w:val="en-US" w:eastAsia="zh-CN"/>
                    </w:rPr>
                    <w:t>地区</w:t>
                  </w:r>
                </w:p>
              </w:tc>
              <w:tc>
                <w:tcPr>
                  <w:tcW w:w="367" w:type="pct"/>
                  <w:tcBorders>
                    <w:tl2br w:val="nil"/>
                    <w:tr2bl w:val="nil"/>
                  </w:tcBorders>
                  <w:noWrap w:val="0"/>
                  <w:vAlign w:val="center"/>
                </w:tcPr>
                <w:p>
                  <w:pPr>
                    <w:pStyle w:val="15"/>
                    <w:bidi w:val="0"/>
                    <w:rPr>
                      <w:rFonts w:hint="default" w:ascii="Times New Roman" w:hAnsi="Times New Roman" w:cs="Times New Roman"/>
                      <w:b/>
                      <w:bCs/>
                      <w:highlight w:val="none"/>
                      <w:lang w:val="en-US" w:eastAsia="zh-CN"/>
                    </w:rPr>
                  </w:pPr>
                  <w:r>
                    <w:rPr>
                      <w:rFonts w:hint="default" w:ascii="Times New Roman" w:hAnsi="Times New Roman" w:cs="Times New Roman"/>
                      <w:b/>
                      <w:bCs/>
                      <w:highlight w:val="none"/>
                      <w:lang w:val="en-US" w:eastAsia="zh-CN"/>
                    </w:rPr>
                    <w:t>优（天）</w:t>
                  </w:r>
                </w:p>
              </w:tc>
              <w:tc>
                <w:tcPr>
                  <w:tcW w:w="367" w:type="pct"/>
                  <w:tcBorders>
                    <w:tl2br w:val="nil"/>
                    <w:tr2bl w:val="nil"/>
                  </w:tcBorders>
                  <w:noWrap w:val="0"/>
                  <w:vAlign w:val="center"/>
                </w:tcPr>
                <w:p>
                  <w:pPr>
                    <w:pStyle w:val="15"/>
                    <w:bidi w:val="0"/>
                    <w:rPr>
                      <w:rFonts w:hint="default" w:ascii="Times New Roman" w:hAnsi="Times New Roman" w:cs="Times New Roman"/>
                      <w:b/>
                      <w:bCs/>
                      <w:highlight w:val="none"/>
                      <w:lang w:val="en-US" w:eastAsia="zh-CN"/>
                    </w:rPr>
                  </w:pPr>
                  <w:r>
                    <w:rPr>
                      <w:rFonts w:hint="default" w:ascii="Times New Roman" w:hAnsi="Times New Roman" w:cs="Times New Roman"/>
                      <w:b/>
                      <w:bCs/>
                      <w:highlight w:val="none"/>
                      <w:lang w:val="en-US" w:eastAsia="zh-CN"/>
                    </w:rPr>
                    <w:t>良（天）</w:t>
                  </w:r>
                </w:p>
              </w:tc>
              <w:tc>
                <w:tcPr>
                  <w:tcW w:w="367" w:type="pct"/>
                  <w:tcBorders>
                    <w:tl2br w:val="nil"/>
                    <w:tr2bl w:val="nil"/>
                  </w:tcBorders>
                  <w:noWrap w:val="0"/>
                  <w:vAlign w:val="center"/>
                </w:tcPr>
                <w:p>
                  <w:pPr>
                    <w:pStyle w:val="15"/>
                    <w:bidi w:val="0"/>
                    <w:rPr>
                      <w:rFonts w:hint="default" w:ascii="Times New Roman" w:hAnsi="Times New Roman" w:cs="Times New Roman"/>
                      <w:b/>
                      <w:bCs/>
                      <w:highlight w:val="none"/>
                      <w:lang w:val="en-US" w:eastAsia="zh-CN"/>
                    </w:rPr>
                  </w:pPr>
                  <w:r>
                    <w:rPr>
                      <w:rFonts w:hint="default" w:ascii="Times New Roman" w:hAnsi="Times New Roman" w:cs="Times New Roman"/>
                      <w:b/>
                      <w:bCs/>
                      <w:highlight w:val="none"/>
                      <w:lang w:val="en-US" w:eastAsia="zh-CN"/>
                    </w:rPr>
                    <w:t>轻度污染（天）</w:t>
                  </w:r>
                </w:p>
              </w:tc>
              <w:tc>
                <w:tcPr>
                  <w:tcW w:w="367" w:type="pct"/>
                  <w:tcBorders>
                    <w:tl2br w:val="nil"/>
                    <w:tr2bl w:val="nil"/>
                  </w:tcBorders>
                  <w:noWrap w:val="0"/>
                  <w:vAlign w:val="center"/>
                </w:tcPr>
                <w:p>
                  <w:pPr>
                    <w:pStyle w:val="15"/>
                    <w:bidi w:val="0"/>
                    <w:rPr>
                      <w:rFonts w:hint="default" w:ascii="Times New Roman" w:hAnsi="Times New Roman" w:cs="Times New Roman"/>
                      <w:b/>
                      <w:bCs/>
                      <w:highlight w:val="none"/>
                      <w:lang w:val="en-US" w:eastAsia="zh-CN"/>
                    </w:rPr>
                  </w:pPr>
                  <w:r>
                    <w:rPr>
                      <w:rFonts w:hint="default" w:ascii="Times New Roman" w:hAnsi="Times New Roman" w:cs="Times New Roman"/>
                      <w:b/>
                      <w:bCs/>
                      <w:highlight w:val="none"/>
                      <w:lang w:val="en-US" w:eastAsia="zh-CN"/>
                    </w:rPr>
                    <w:t>中度污染（天）</w:t>
                  </w:r>
                </w:p>
              </w:tc>
              <w:tc>
                <w:tcPr>
                  <w:tcW w:w="367" w:type="pct"/>
                  <w:tcBorders>
                    <w:tl2br w:val="nil"/>
                    <w:tr2bl w:val="nil"/>
                  </w:tcBorders>
                  <w:noWrap w:val="0"/>
                  <w:vAlign w:val="center"/>
                </w:tcPr>
                <w:p>
                  <w:pPr>
                    <w:pStyle w:val="15"/>
                    <w:bidi w:val="0"/>
                    <w:rPr>
                      <w:rFonts w:hint="default" w:ascii="Times New Roman" w:hAnsi="Times New Roman" w:cs="Times New Roman"/>
                      <w:b/>
                      <w:bCs/>
                      <w:highlight w:val="none"/>
                      <w:lang w:val="en-US" w:eastAsia="zh-CN"/>
                    </w:rPr>
                  </w:pPr>
                  <w:r>
                    <w:rPr>
                      <w:rFonts w:hint="default" w:ascii="Times New Roman" w:hAnsi="Times New Roman" w:cs="Times New Roman"/>
                      <w:b/>
                      <w:bCs/>
                      <w:highlight w:val="none"/>
                      <w:lang w:val="en-US" w:eastAsia="zh-CN"/>
                    </w:rPr>
                    <w:t>重度污染（天）</w:t>
                  </w:r>
                </w:p>
              </w:tc>
              <w:tc>
                <w:tcPr>
                  <w:tcW w:w="367" w:type="pct"/>
                  <w:tcBorders>
                    <w:tl2br w:val="nil"/>
                    <w:tr2bl w:val="nil"/>
                  </w:tcBorders>
                  <w:noWrap w:val="0"/>
                  <w:vAlign w:val="center"/>
                </w:tcPr>
                <w:p>
                  <w:pPr>
                    <w:pStyle w:val="15"/>
                    <w:bidi w:val="0"/>
                    <w:rPr>
                      <w:rFonts w:hint="default" w:ascii="Times New Roman" w:hAnsi="Times New Roman" w:cs="Times New Roman"/>
                      <w:b/>
                      <w:bCs/>
                      <w:highlight w:val="none"/>
                      <w:lang w:val="en-US" w:eastAsia="zh-CN"/>
                    </w:rPr>
                  </w:pPr>
                  <w:r>
                    <w:rPr>
                      <w:rFonts w:hint="default" w:ascii="Times New Roman" w:hAnsi="Times New Roman" w:cs="Times New Roman"/>
                      <w:b/>
                      <w:bCs/>
                      <w:highlight w:val="none"/>
                      <w:lang w:val="en-US" w:eastAsia="zh-CN"/>
                    </w:rPr>
                    <w:t>严重污染（天）</w:t>
                  </w:r>
                </w:p>
              </w:tc>
              <w:tc>
                <w:tcPr>
                  <w:tcW w:w="367" w:type="pct"/>
                  <w:tcBorders>
                    <w:tl2br w:val="nil"/>
                    <w:tr2bl w:val="nil"/>
                  </w:tcBorders>
                  <w:noWrap w:val="0"/>
                  <w:vAlign w:val="center"/>
                </w:tcPr>
                <w:p>
                  <w:pPr>
                    <w:pStyle w:val="15"/>
                    <w:bidi w:val="0"/>
                    <w:rPr>
                      <w:rFonts w:hint="default" w:ascii="Times New Roman" w:hAnsi="Times New Roman" w:cs="Times New Roman"/>
                      <w:b/>
                      <w:bCs/>
                      <w:highlight w:val="none"/>
                      <w:lang w:val="en-US" w:eastAsia="zh-CN"/>
                    </w:rPr>
                  </w:pPr>
                  <w:r>
                    <w:rPr>
                      <w:rFonts w:hint="default" w:ascii="Times New Roman" w:hAnsi="Times New Roman" w:cs="Times New Roman"/>
                      <w:b/>
                      <w:bCs/>
                      <w:highlight w:val="none"/>
                      <w:lang w:val="en-US" w:eastAsia="zh-CN"/>
                    </w:rPr>
                    <w:t>有效监测天数（天）</w:t>
                  </w:r>
                </w:p>
              </w:tc>
              <w:tc>
                <w:tcPr>
                  <w:tcW w:w="367" w:type="pct"/>
                  <w:tcBorders>
                    <w:tl2br w:val="nil"/>
                    <w:tr2bl w:val="nil"/>
                  </w:tcBorders>
                  <w:noWrap w:val="0"/>
                  <w:vAlign w:val="center"/>
                </w:tcPr>
                <w:p>
                  <w:pPr>
                    <w:pStyle w:val="15"/>
                    <w:bidi w:val="0"/>
                    <w:rPr>
                      <w:rFonts w:hint="default" w:ascii="Times New Roman" w:hAnsi="Times New Roman" w:cs="Times New Roman"/>
                      <w:b/>
                      <w:bCs/>
                      <w:highlight w:val="none"/>
                      <w:lang w:val="en-US" w:eastAsia="zh-CN"/>
                    </w:rPr>
                  </w:pPr>
                  <w:r>
                    <w:rPr>
                      <w:rFonts w:hint="default" w:ascii="Times New Roman" w:hAnsi="Times New Roman" w:cs="Times New Roman"/>
                      <w:b/>
                      <w:bCs/>
                      <w:highlight w:val="none"/>
                      <w:lang w:val="en-US" w:eastAsia="zh-CN"/>
                    </w:rPr>
                    <w:t>达标天数（天）</w:t>
                  </w:r>
                </w:p>
              </w:tc>
              <w:tc>
                <w:tcPr>
                  <w:tcW w:w="367" w:type="pct"/>
                  <w:tcBorders>
                    <w:tl2br w:val="nil"/>
                    <w:tr2bl w:val="nil"/>
                  </w:tcBorders>
                  <w:noWrap w:val="0"/>
                  <w:vAlign w:val="center"/>
                </w:tcPr>
                <w:p>
                  <w:pPr>
                    <w:pStyle w:val="15"/>
                    <w:bidi w:val="0"/>
                    <w:rPr>
                      <w:rFonts w:hint="default" w:ascii="Times New Roman" w:hAnsi="Times New Roman" w:cs="Times New Roman"/>
                      <w:b/>
                      <w:bCs/>
                      <w:highlight w:val="none"/>
                      <w:lang w:val="en-US" w:eastAsia="zh-CN"/>
                    </w:rPr>
                  </w:pPr>
                  <w:r>
                    <w:rPr>
                      <w:rFonts w:hint="default" w:ascii="Times New Roman" w:hAnsi="Times New Roman" w:cs="Times New Roman"/>
                      <w:b/>
                      <w:bCs/>
                      <w:highlight w:val="none"/>
                      <w:lang w:val="en-US" w:eastAsia="zh-CN"/>
                    </w:rPr>
                    <w:t>达标率（%）</w:t>
                  </w:r>
                </w:p>
              </w:tc>
              <w:tc>
                <w:tcPr>
                  <w:tcW w:w="367" w:type="pct"/>
                  <w:tcBorders>
                    <w:tl2br w:val="nil"/>
                    <w:tr2bl w:val="nil"/>
                  </w:tcBorders>
                  <w:noWrap w:val="0"/>
                  <w:vAlign w:val="center"/>
                </w:tcPr>
                <w:p>
                  <w:pPr>
                    <w:pStyle w:val="15"/>
                    <w:bidi w:val="0"/>
                    <w:rPr>
                      <w:rFonts w:hint="default" w:ascii="Times New Roman" w:hAnsi="Times New Roman" w:cs="Times New Roman"/>
                      <w:b/>
                      <w:bCs/>
                      <w:highlight w:val="none"/>
                      <w:lang w:val="en-US" w:eastAsia="zh-CN"/>
                    </w:rPr>
                  </w:pPr>
                  <w:r>
                    <w:rPr>
                      <w:rFonts w:hint="default" w:ascii="Times New Roman" w:hAnsi="Times New Roman" w:cs="Times New Roman"/>
                      <w:b/>
                      <w:bCs/>
                      <w:highlight w:val="none"/>
                      <w:lang w:val="en-US" w:eastAsia="zh-CN"/>
                    </w:rPr>
                    <w:t>达标率同比（%）</w:t>
                  </w:r>
                </w:p>
              </w:tc>
              <w:tc>
                <w:tcPr>
                  <w:tcW w:w="367" w:type="pct"/>
                  <w:tcBorders>
                    <w:tl2br w:val="nil"/>
                    <w:tr2bl w:val="nil"/>
                  </w:tcBorders>
                  <w:noWrap w:val="0"/>
                  <w:vAlign w:val="center"/>
                </w:tcPr>
                <w:p>
                  <w:pPr>
                    <w:pStyle w:val="15"/>
                    <w:bidi w:val="0"/>
                    <w:rPr>
                      <w:rFonts w:hint="default" w:ascii="Times New Roman" w:hAnsi="Times New Roman" w:cs="Times New Roman"/>
                      <w:b/>
                      <w:bCs/>
                      <w:highlight w:val="none"/>
                      <w:lang w:val="en-US" w:eastAsia="zh-CN"/>
                    </w:rPr>
                  </w:pPr>
                  <w:r>
                    <w:rPr>
                      <w:rFonts w:hint="default" w:ascii="Times New Roman" w:hAnsi="Times New Roman" w:cs="Times New Roman"/>
                      <w:b/>
                      <w:bCs/>
                      <w:highlight w:val="none"/>
                      <w:lang w:val="en-US" w:eastAsia="zh-CN"/>
                    </w:rPr>
                    <w:t>去年同期达标率（%）</w:t>
                  </w:r>
                </w:p>
              </w:tc>
              <w:tc>
                <w:tcPr>
                  <w:tcW w:w="367" w:type="pct"/>
                  <w:tcBorders>
                    <w:tl2br w:val="nil"/>
                    <w:tr2bl w:val="nil"/>
                  </w:tcBorders>
                  <w:noWrap w:val="0"/>
                  <w:vAlign w:val="center"/>
                </w:tcPr>
                <w:p>
                  <w:pPr>
                    <w:pStyle w:val="15"/>
                    <w:bidi w:val="0"/>
                    <w:rPr>
                      <w:rFonts w:hint="default" w:ascii="Times New Roman" w:hAnsi="Times New Roman" w:cs="Times New Roman"/>
                      <w:b/>
                      <w:bCs/>
                      <w:highlight w:val="none"/>
                      <w:lang w:val="en-US" w:eastAsia="zh-CN"/>
                    </w:rPr>
                  </w:pPr>
                  <w:r>
                    <w:rPr>
                      <w:rFonts w:hint="default" w:ascii="Times New Roman" w:hAnsi="Times New Roman" w:cs="Times New Roman"/>
                      <w:b/>
                      <w:bCs/>
                      <w:highlight w:val="none"/>
                      <w:lang w:val="en-US" w:eastAsia="zh-CN"/>
                    </w:rPr>
                    <w:t>空气质量综合指数</w:t>
                  </w:r>
                </w:p>
              </w:tc>
              <w:tc>
                <w:tcPr>
                  <w:tcW w:w="372" w:type="pct"/>
                  <w:tcBorders>
                    <w:tl2br w:val="nil"/>
                    <w:tr2bl w:val="nil"/>
                  </w:tcBorders>
                  <w:noWrap w:val="0"/>
                  <w:vAlign w:val="center"/>
                </w:tcPr>
                <w:p>
                  <w:pPr>
                    <w:pStyle w:val="15"/>
                    <w:bidi w:val="0"/>
                    <w:rPr>
                      <w:rFonts w:hint="default" w:ascii="Times New Roman" w:hAnsi="Times New Roman" w:cs="Times New Roman"/>
                      <w:b/>
                      <w:bCs/>
                      <w:highlight w:val="none"/>
                      <w:lang w:val="en-US" w:eastAsia="zh-CN"/>
                    </w:rPr>
                  </w:pPr>
                  <w:r>
                    <w:rPr>
                      <w:rFonts w:hint="default" w:ascii="Times New Roman" w:hAnsi="Times New Roman" w:cs="Times New Roman"/>
                      <w:b/>
                      <w:bCs/>
                      <w:highlight w:val="none"/>
                      <w:lang w:val="en-US" w:eastAsia="zh-CN"/>
                    </w:rPr>
                    <w:t>空气质量综合指数全市排名</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17" w:hRule="atLeast"/>
                <w:jc w:val="center"/>
              </w:trPr>
              <w:tc>
                <w:tcPr>
                  <w:tcW w:w="214" w:type="pct"/>
                  <w:tcBorders>
                    <w:tl2br w:val="nil"/>
                    <w:tr2bl w:val="nil"/>
                  </w:tcBorders>
                  <w:noWrap w:val="0"/>
                  <w:vAlign w:val="center"/>
                </w:tcPr>
                <w:p>
                  <w:pPr>
                    <w:pStyle w:val="15"/>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宣汉县</w:t>
                  </w:r>
                </w:p>
              </w:tc>
              <w:tc>
                <w:tcPr>
                  <w:tcW w:w="367" w:type="pct"/>
                  <w:tcBorders>
                    <w:tl2br w:val="nil"/>
                    <w:tr2bl w:val="nil"/>
                  </w:tcBorders>
                  <w:noWrap w:val="0"/>
                  <w:vAlign w:val="center"/>
                </w:tcPr>
                <w:p>
                  <w:pPr>
                    <w:pStyle w:val="15"/>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203</w:t>
                  </w:r>
                </w:p>
              </w:tc>
              <w:tc>
                <w:tcPr>
                  <w:tcW w:w="367" w:type="pct"/>
                  <w:tcBorders>
                    <w:tl2br w:val="nil"/>
                    <w:tr2bl w:val="nil"/>
                  </w:tcBorders>
                  <w:noWrap w:val="0"/>
                  <w:vAlign w:val="center"/>
                </w:tcPr>
                <w:p>
                  <w:pPr>
                    <w:pStyle w:val="15"/>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136</w:t>
                  </w:r>
                </w:p>
              </w:tc>
              <w:tc>
                <w:tcPr>
                  <w:tcW w:w="367" w:type="pct"/>
                  <w:tcBorders>
                    <w:tl2br w:val="nil"/>
                    <w:tr2bl w:val="nil"/>
                  </w:tcBorders>
                  <w:noWrap w:val="0"/>
                  <w:vAlign w:val="center"/>
                </w:tcPr>
                <w:p>
                  <w:pPr>
                    <w:pStyle w:val="15"/>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17</w:t>
                  </w:r>
                </w:p>
              </w:tc>
              <w:tc>
                <w:tcPr>
                  <w:tcW w:w="367" w:type="pct"/>
                  <w:tcBorders>
                    <w:tl2br w:val="nil"/>
                    <w:tr2bl w:val="nil"/>
                  </w:tcBorders>
                  <w:noWrap w:val="0"/>
                  <w:vAlign w:val="center"/>
                </w:tcPr>
                <w:p>
                  <w:pPr>
                    <w:pStyle w:val="15"/>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w:t>
                  </w:r>
                </w:p>
              </w:tc>
              <w:tc>
                <w:tcPr>
                  <w:tcW w:w="367" w:type="pct"/>
                  <w:tcBorders>
                    <w:tl2br w:val="nil"/>
                    <w:tr2bl w:val="nil"/>
                  </w:tcBorders>
                  <w:noWrap w:val="0"/>
                  <w:vAlign w:val="center"/>
                </w:tcPr>
                <w:p>
                  <w:pPr>
                    <w:pStyle w:val="15"/>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w:t>
                  </w:r>
                </w:p>
              </w:tc>
              <w:tc>
                <w:tcPr>
                  <w:tcW w:w="367" w:type="pct"/>
                  <w:tcBorders>
                    <w:tl2br w:val="nil"/>
                    <w:tr2bl w:val="nil"/>
                  </w:tcBorders>
                  <w:noWrap w:val="0"/>
                  <w:vAlign w:val="center"/>
                </w:tcPr>
                <w:p>
                  <w:pPr>
                    <w:pStyle w:val="15"/>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c>
                <w:tcPr>
                  <w:tcW w:w="367" w:type="pct"/>
                  <w:tcBorders>
                    <w:tl2br w:val="nil"/>
                    <w:tr2bl w:val="nil"/>
                  </w:tcBorders>
                  <w:noWrap w:val="0"/>
                  <w:vAlign w:val="center"/>
                </w:tcPr>
                <w:p>
                  <w:pPr>
                    <w:pStyle w:val="15"/>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365</w:t>
                  </w:r>
                </w:p>
              </w:tc>
              <w:tc>
                <w:tcPr>
                  <w:tcW w:w="367" w:type="pct"/>
                  <w:tcBorders>
                    <w:tl2br w:val="nil"/>
                    <w:tr2bl w:val="nil"/>
                  </w:tcBorders>
                  <w:noWrap w:val="0"/>
                  <w:vAlign w:val="center"/>
                </w:tcPr>
                <w:p>
                  <w:pPr>
                    <w:pStyle w:val="15"/>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339</w:t>
                  </w:r>
                </w:p>
              </w:tc>
              <w:tc>
                <w:tcPr>
                  <w:tcW w:w="367" w:type="pct"/>
                  <w:tcBorders>
                    <w:tl2br w:val="nil"/>
                    <w:tr2bl w:val="nil"/>
                  </w:tcBorders>
                  <w:noWrap w:val="0"/>
                  <w:vAlign w:val="center"/>
                </w:tcPr>
                <w:p>
                  <w:pPr>
                    <w:pStyle w:val="15"/>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92.9</w:t>
                  </w:r>
                </w:p>
              </w:tc>
              <w:tc>
                <w:tcPr>
                  <w:tcW w:w="367" w:type="pct"/>
                  <w:tcBorders>
                    <w:tl2br w:val="nil"/>
                    <w:tr2bl w:val="nil"/>
                  </w:tcBorders>
                  <w:noWrap w:val="0"/>
                  <w:vAlign w:val="center"/>
                </w:tcPr>
                <w:p>
                  <w:pPr>
                    <w:pStyle w:val="15"/>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-4.4</w:t>
                  </w:r>
                </w:p>
              </w:tc>
              <w:tc>
                <w:tcPr>
                  <w:tcW w:w="367" w:type="pct"/>
                  <w:tcBorders>
                    <w:tl2br w:val="nil"/>
                    <w:tr2bl w:val="nil"/>
                  </w:tcBorders>
                  <w:noWrap w:val="0"/>
                  <w:vAlign w:val="center"/>
                </w:tcPr>
                <w:p>
                  <w:pPr>
                    <w:pStyle w:val="15"/>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97.3</w:t>
                  </w:r>
                </w:p>
              </w:tc>
              <w:tc>
                <w:tcPr>
                  <w:tcW w:w="367" w:type="pct"/>
                  <w:tcBorders>
                    <w:tl2br w:val="nil"/>
                    <w:tr2bl w:val="nil"/>
                  </w:tcBorders>
                  <w:noWrap w:val="0"/>
                  <w:vAlign w:val="center"/>
                </w:tcPr>
                <w:p>
                  <w:pPr>
                    <w:pStyle w:val="15"/>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3.08</w:t>
                  </w:r>
                </w:p>
              </w:tc>
              <w:tc>
                <w:tcPr>
                  <w:tcW w:w="372" w:type="pct"/>
                  <w:tcBorders>
                    <w:tl2br w:val="nil"/>
                    <w:tr2bl w:val="nil"/>
                  </w:tcBorders>
                  <w:noWrap w:val="0"/>
                  <w:vAlign w:val="center"/>
                </w:tcPr>
                <w:p>
                  <w:pPr>
                    <w:pStyle w:val="15"/>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w:t>
                  </w:r>
                </w:p>
              </w:tc>
            </w:tr>
          </w:tbl>
          <w:p>
            <w:pPr>
              <w:adjustRightInd/>
              <w:snapToGrid/>
              <w:spacing w:line="360" w:lineRule="auto"/>
              <w:ind w:firstLine="480" w:firstLineChars="200"/>
              <w:rPr>
                <w:rFonts w:hint="default" w:ascii="Times New Roman" w:hAnsi="Times New Roman" w:cs="Times New Roman"/>
                <w:highlight w:val="none"/>
              </w:rPr>
            </w:pPr>
            <w:r>
              <w:rPr>
                <w:rFonts w:hint="default" w:ascii="Times New Roman" w:hAnsi="Times New Roman" w:cs="Times New Roman"/>
                <w:highlight w:val="none"/>
                <w:lang w:val="en-US" w:eastAsia="zh-CN"/>
              </w:rPr>
              <w:t>由上表可知，达州市宣汉县2023年环境空气质量达标率为92.9%</w:t>
            </w:r>
            <w:r>
              <w:rPr>
                <w:rFonts w:hint="default" w:ascii="Times New Roman" w:hAnsi="Times New Roman" w:cs="Times New Roman"/>
                <w:highlight w:val="none"/>
                <w:lang w:eastAsia="zh-CN"/>
              </w:rPr>
              <w:t>。</w:t>
            </w:r>
            <w:r>
              <w:rPr>
                <w:rFonts w:hint="default" w:ascii="Times New Roman" w:hAnsi="Times New Roman" w:cs="Times New Roman"/>
                <w:highlight w:val="none"/>
              </w:rPr>
              <w:t>本项目位于宣汉县</w:t>
            </w:r>
            <w:r>
              <w:rPr>
                <w:rFonts w:hint="default" w:ascii="Times New Roman" w:hAnsi="Times New Roman" w:cs="Times New Roman"/>
                <w:highlight w:val="none"/>
                <w:lang w:val="en-US" w:eastAsia="zh-CN"/>
              </w:rPr>
              <w:t>胡家镇</w:t>
            </w:r>
            <w:r>
              <w:rPr>
                <w:rFonts w:hint="default" w:ascii="Times New Roman" w:hAnsi="Times New Roman" w:cs="Times New Roman"/>
                <w:highlight w:val="none"/>
                <w:lang w:eastAsia="zh-CN"/>
              </w:rPr>
              <w:t>，宣汉</w:t>
            </w:r>
            <w:r>
              <w:rPr>
                <w:rFonts w:hint="default" w:ascii="Times New Roman" w:hAnsi="Times New Roman" w:cs="Times New Roman"/>
                <w:highlight w:val="none"/>
              </w:rPr>
              <w:t>县202</w:t>
            </w:r>
            <w:r>
              <w:rPr>
                <w:rFonts w:hint="default" w:ascii="Times New Roman" w:hAnsi="Times New Roman" w:cs="Times New Roman"/>
                <w:highlight w:val="none"/>
                <w:lang w:val="en-US" w:eastAsia="zh-CN"/>
              </w:rPr>
              <w:t>3</w:t>
            </w:r>
            <w:r>
              <w:rPr>
                <w:rFonts w:hint="default" w:ascii="Times New Roman" w:hAnsi="Times New Roman" w:cs="Times New Roman"/>
                <w:highlight w:val="none"/>
              </w:rPr>
              <w:t>年环境空气质量满足《环境空气质量标准》(GB3095-2012)二级标准要求，属于达标区域。因此，本项目所在地为空气质量达标区。</w:t>
            </w:r>
          </w:p>
          <w:p>
            <w:pPr>
              <w:rPr>
                <w:rFonts w:hint="default" w:ascii="Times New Roman" w:hAnsi="Times New Roman" w:cs="Times New Roman"/>
                <w:color w:val="auto"/>
                <w:kern w:val="2"/>
                <w:szCs w:val="24"/>
                <w:highlight w:val="none"/>
                <w:lang w:val="en-US" w:eastAsia="zh-CN"/>
              </w:rPr>
            </w:pPr>
            <w:r>
              <w:rPr>
                <w:rFonts w:hint="default" w:ascii="Times New Roman" w:hAnsi="Times New Roman" w:eastAsia="黑体" w:cs="Times New Roman"/>
                <w:b/>
                <w:bCs/>
                <w:color w:val="auto"/>
                <w:szCs w:val="28"/>
                <w:highlight w:val="none"/>
                <w:lang w:val="en-US" w:eastAsia="zh-CN"/>
              </w:rPr>
              <w:t>2、</w:t>
            </w:r>
            <w:r>
              <w:rPr>
                <w:rFonts w:hint="default" w:ascii="Times New Roman" w:hAnsi="Times New Roman" w:eastAsia="黑体" w:cs="Times New Roman"/>
                <w:b/>
                <w:bCs/>
                <w:color w:val="auto"/>
                <w:szCs w:val="28"/>
                <w:highlight w:val="none"/>
              </w:rPr>
              <w:t>地表水环境质量现状</w:t>
            </w:r>
          </w:p>
          <w:p>
            <w:pPr>
              <w:spacing w:line="360" w:lineRule="auto"/>
              <w:ind w:left="0" w:firstLine="480"/>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cs="Times New Roman"/>
                <w:color w:val="auto"/>
                <w:highlight w:val="none"/>
              </w:rPr>
              <w:t>本次地表水环境质量现状引用</w:t>
            </w:r>
            <w:r>
              <w:rPr>
                <w:rFonts w:hint="default" w:ascii="Times New Roman" w:hAnsi="Times New Roman" w:cs="Times New Roman"/>
                <w:color w:val="auto"/>
                <w:highlight w:val="none"/>
                <w:lang w:val="en-US" w:eastAsia="zh-CN"/>
              </w:rPr>
              <w:t>达州恒福环境监测服务有限公司2023年4月23日发布的《宣汉县胡家镇生活污水处理厂入河排污口设置论证报告》（恒福（环）检字（2023）第0343号）评价成果（详见附件3）。根据本次引用监测报告与本次评价河段对比分析可知，该监测断面均位于本项目河段上，胡家河冯家沟检测点位于本项目段胡家河上游</w:t>
            </w:r>
            <w:r>
              <w:rPr>
                <w:rFonts w:hint="default" w:ascii="Times New Roman" w:hAnsi="Times New Roman" w:eastAsia="宋体" w:cs="Times New Roman"/>
                <w:color w:val="auto"/>
                <w:highlight w:val="none"/>
                <w:lang w:val="en-US" w:eastAsia="zh-CN"/>
              </w:rPr>
              <w:t>，新桥河黑滩取水口检测点位于本项目段油坊沟上游</w:t>
            </w:r>
            <w:r>
              <w:rPr>
                <w:rFonts w:hint="default" w:ascii="Times New Roman" w:hAnsi="Times New Roman" w:cs="Times New Roman"/>
                <w:color w:val="auto"/>
                <w:highlight w:val="none"/>
                <w:lang w:val="en-US" w:eastAsia="zh-CN"/>
              </w:rPr>
              <w:t>，监测断面与本次评价河段属于同一河流、同一评价区域，故本次监测数据引用可行。</w:t>
            </w:r>
          </w:p>
          <w:p>
            <w:pPr>
              <w:spacing w:line="360" w:lineRule="auto"/>
              <w:ind w:left="0" w:firstLine="480"/>
              <w:rPr>
                <w:rFonts w:hint="default" w:ascii="Times New Roman" w:hAnsi="Times New Roman" w:eastAsia="宋体" w:cs="Times New Roman"/>
                <w:color w:val="auto"/>
                <w:kern w:val="0"/>
                <w:sz w:val="24"/>
                <w:highlight w:val="none"/>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kern w:val="0"/>
                <w:sz w:val="24"/>
                <w:highlight w:val="none"/>
              </w:rPr>
              <w:t>监测断面布置</w:t>
            </w:r>
          </w:p>
          <w:p>
            <w:pPr>
              <w:spacing w:line="360" w:lineRule="auto"/>
              <w:ind w:firstLine="482"/>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eastAsia="zh-CN"/>
              </w:rPr>
              <w:t>具体</w:t>
            </w:r>
            <w:r>
              <w:rPr>
                <w:rFonts w:hint="default" w:ascii="Times New Roman" w:hAnsi="Times New Roman" w:eastAsia="宋体" w:cs="Times New Roman"/>
                <w:color w:val="auto"/>
                <w:sz w:val="24"/>
                <w:highlight w:val="none"/>
              </w:rPr>
              <w:t>监测布点见表3-</w:t>
            </w:r>
            <w:r>
              <w:rPr>
                <w:rFonts w:hint="default" w:ascii="Times New Roman" w:hAnsi="Times New Roman" w:eastAsia="宋体" w:cs="Times New Roman"/>
                <w:color w:val="auto"/>
                <w:sz w:val="24"/>
                <w:highlight w:val="none"/>
                <w:lang w:val="en-US" w:eastAsia="zh-CN"/>
              </w:rPr>
              <w:t>3</w:t>
            </w:r>
            <w:r>
              <w:rPr>
                <w:rFonts w:hint="default" w:ascii="Times New Roman" w:hAnsi="Times New Roman" w:eastAsia="宋体" w:cs="Times New Roman"/>
                <w:color w:val="auto"/>
                <w:sz w:val="24"/>
                <w:highlight w:val="none"/>
              </w:rPr>
              <w:t>。</w:t>
            </w:r>
          </w:p>
          <w:p>
            <w:pPr>
              <w:pStyle w:val="16"/>
              <w:numPr>
                <w:ilvl w:val="-1"/>
                <w:numId w:val="0"/>
              </w:numPr>
              <w:autoSpaceDE w:val="0"/>
              <w:autoSpaceDN w:val="0"/>
              <w:adjustRightInd w:val="0"/>
              <w:snapToGrid w:val="0"/>
              <w:spacing w:line="360" w:lineRule="exact"/>
              <w:ind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表3-3  地表水环境质量现状监测点位</w:t>
            </w:r>
          </w:p>
          <w:tbl>
            <w:tblPr>
              <w:tblStyle w:val="11"/>
              <w:tblW w:w="833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64"/>
              <w:gridCol w:w="2537"/>
              <w:gridCol w:w="3124"/>
              <w:gridCol w:w="161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1064" w:type="dxa"/>
                  <w:tcBorders>
                    <w:tl2br w:val="nil"/>
                    <w:tr2bl w:val="nil"/>
                  </w:tcBorders>
                  <w:noWrap w:val="0"/>
                  <w:vAlign w:val="center"/>
                </w:tcPr>
                <w:p>
                  <w:pPr>
                    <w:spacing w:line="240" w:lineRule="auto"/>
                    <w:ind w:right="0" w:rightChars="0" w:firstLine="0" w:firstLineChars="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检测项目</w:t>
                  </w:r>
                </w:p>
              </w:tc>
              <w:tc>
                <w:tcPr>
                  <w:tcW w:w="2537" w:type="dxa"/>
                  <w:tcBorders>
                    <w:tl2br w:val="nil"/>
                    <w:tr2bl w:val="nil"/>
                  </w:tcBorders>
                  <w:noWrap w:val="0"/>
                  <w:vAlign w:val="center"/>
                </w:tcPr>
                <w:p>
                  <w:pPr>
                    <w:spacing w:line="240" w:lineRule="auto"/>
                    <w:ind w:right="0" w:rightChars="0" w:firstLine="0" w:firstLineChars="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检测点</w:t>
                  </w:r>
                  <w:r>
                    <w:rPr>
                      <w:rFonts w:hint="default" w:ascii="Times New Roman" w:hAnsi="Times New Roman" w:eastAsia="宋体" w:cs="Times New Roman"/>
                      <w:b/>
                      <w:bCs/>
                      <w:color w:val="auto"/>
                      <w:sz w:val="21"/>
                      <w:szCs w:val="21"/>
                      <w:highlight w:val="none"/>
                    </w:rPr>
                    <w:t>编号</w:t>
                  </w:r>
                  <w:r>
                    <w:rPr>
                      <w:rFonts w:hint="default" w:ascii="Times New Roman" w:hAnsi="Times New Roman" w:cs="Times New Roman"/>
                      <w:b/>
                      <w:bCs/>
                      <w:color w:val="auto"/>
                      <w:sz w:val="21"/>
                      <w:szCs w:val="21"/>
                      <w:highlight w:val="none"/>
                      <w:lang w:val="en-US" w:eastAsia="zh-CN"/>
                    </w:rPr>
                    <w:t>及位置</w:t>
                  </w:r>
                </w:p>
              </w:tc>
              <w:tc>
                <w:tcPr>
                  <w:tcW w:w="3124" w:type="dxa"/>
                  <w:tcBorders>
                    <w:tl2br w:val="nil"/>
                    <w:tr2bl w:val="nil"/>
                  </w:tcBorders>
                  <w:noWrap w:val="0"/>
                  <w:vAlign w:val="center"/>
                </w:tcPr>
                <w:p>
                  <w:pPr>
                    <w:spacing w:line="240" w:lineRule="auto"/>
                    <w:ind w:right="0" w:rightChars="0" w:firstLine="0" w:firstLineChars="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监测项目</w:t>
                  </w:r>
                </w:p>
              </w:tc>
              <w:tc>
                <w:tcPr>
                  <w:tcW w:w="1611" w:type="dxa"/>
                  <w:tcBorders>
                    <w:tl2br w:val="nil"/>
                    <w:tr2bl w:val="nil"/>
                  </w:tcBorders>
                  <w:noWrap w:val="0"/>
                  <w:vAlign w:val="center"/>
                </w:tcPr>
                <w:p>
                  <w:pPr>
                    <w:spacing w:line="240" w:lineRule="auto"/>
                    <w:ind w:right="0" w:rightChars="0" w:firstLine="0" w:firstLineChars="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检测频率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6" w:hRule="atLeast"/>
                <w:jc w:val="center"/>
              </w:trPr>
              <w:tc>
                <w:tcPr>
                  <w:tcW w:w="1064" w:type="dxa"/>
                  <w:vMerge w:val="restart"/>
                  <w:tcBorders>
                    <w:tl2br w:val="nil"/>
                    <w:tr2bl w:val="nil"/>
                  </w:tcBorders>
                  <w:noWrap w:val="0"/>
                  <w:vAlign w:val="center"/>
                </w:tcPr>
                <w:p>
                  <w:pPr>
                    <w:spacing w:line="240" w:lineRule="auto"/>
                    <w:ind w:right="0" w:rightChars="0" w:firstLine="0" w:firstLine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地表水</w:t>
                  </w:r>
                </w:p>
              </w:tc>
              <w:tc>
                <w:tcPr>
                  <w:tcW w:w="2537" w:type="dxa"/>
                  <w:tcBorders>
                    <w:tl2br w:val="nil"/>
                    <w:tr2bl w:val="nil"/>
                  </w:tcBorders>
                  <w:noWrap w:val="0"/>
                  <w:vAlign w:val="center"/>
                </w:tcPr>
                <w:p>
                  <w:pPr>
                    <w:spacing w:line="240" w:lineRule="auto"/>
                    <w:ind w:right="0" w:righ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G5，胡家河冯家沟</w:t>
                  </w:r>
                </w:p>
              </w:tc>
              <w:tc>
                <w:tcPr>
                  <w:tcW w:w="3124" w:type="dxa"/>
                  <w:vMerge w:val="restart"/>
                  <w:tcBorders>
                    <w:tl2br w:val="nil"/>
                    <w:tr2bl w:val="nil"/>
                  </w:tcBorders>
                  <w:noWrap w:val="0"/>
                  <w:vAlign w:val="center"/>
                </w:tcPr>
                <w:p>
                  <w:pPr>
                    <w:spacing w:line="240" w:lineRule="auto"/>
                    <w:ind w:right="0" w:righ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流速、流量、PH、悬浮物、总磷、化学需氧量、五日生化需氧量、氨氮、总氮、石油类、粪大肠菌群</w:t>
                  </w:r>
                </w:p>
              </w:tc>
              <w:tc>
                <w:tcPr>
                  <w:tcW w:w="1611" w:type="dxa"/>
                  <w:vMerge w:val="restart"/>
                  <w:tcBorders>
                    <w:tl2br w:val="nil"/>
                    <w:tr2bl w:val="nil"/>
                  </w:tcBorders>
                  <w:noWrap w:val="0"/>
                  <w:vAlign w:val="center"/>
                </w:tcPr>
                <w:p>
                  <w:pPr>
                    <w:spacing w:line="240" w:lineRule="auto"/>
                    <w:ind w:right="0" w:righ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检测3天，每天采样一次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2" w:hRule="atLeast"/>
                <w:jc w:val="center"/>
              </w:trPr>
              <w:tc>
                <w:tcPr>
                  <w:tcW w:w="1064" w:type="dxa"/>
                  <w:vMerge w:val="continue"/>
                  <w:tcBorders>
                    <w:tl2br w:val="nil"/>
                    <w:tr2bl w:val="nil"/>
                  </w:tcBorders>
                  <w:noWrap w:val="0"/>
                  <w:vAlign w:val="center"/>
                </w:tcPr>
                <w:p>
                  <w:pPr>
                    <w:spacing w:line="240" w:lineRule="auto"/>
                    <w:ind w:right="0" w:rightChars="0" w:firstLine="0" w:firstLineChars="0"/>
                    <w:jc w:val="center"/>
                    <w:rPr>
                      <w:rFonts w:hint="default" w:ascii="Times New Roman" w:hAnsi="Times New Roman" w:eastAsia="宋体" w:cs="Times New Roman"/>
                      <w:color w:val="auto"/>
                      <w:sz w:val="21"/>
                      <w:szCs w:val="21"/>
                      <w:highlight w:val="none"/>
                    </w:rPr>
                  </w:pPr>
                </w:p>
              </w:tc>
              <w:tc>
                <w:tcPr>
                  <w:tcW w:w="2537" w:type="dxa"/>
                  <w:tcBorders>
                    <w:tl2br w:val="nil"/>
                    <w:tr2bl w:val="nil"/>
                  </w:tcBorders>
                  <w:noWrap w:val="0"/>
                  <w:vAlign w:val="center"/>
                </w:tcPr>
                <w:p>
                  <w:pPr>
                    <w:spacing w:line="240" w:lineRule="auto"/>
                    <w:ind w:right="0" w:rightChars="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G6，新桥河黑滩取水口</w:t>
                  </w:r>
                </w:p>
              </w:tc>
              <w:tc>
                <w:tcPr>
                  <w:tcW w:w="3124" w:type="dxa"/>
                  <w:vMerge w:val="continue"/>
                  <w:tcBorders>
                    <w:tl2br w:val="nil"/>
                    <w:tr2bl w:val="nil"/>
                  </w:tcBorders>
                  <w:noWrap w:val="0"/>
                  <w:vAlign w:val="center"/>
                </w:tcPr>
                <w:p>
                  <w:pPr>
                    <w:spacing w:line="240" w:lineRule="auto"/>
                    <w:ind w:right="0" w:rightChars="0" w:firstLine="0" w:firstLineChars="0"/>
                    <w:jc w:val="center"/>
                    <w:rPr>
                      <w:rFonts w:hint="default" w:ascii="Times New Roman" w:hAnsi="Times New Roman" w:eastAsia="宋体" w:cs="Times New Roman"/>
                      <w:color w:val="auto"/>
                      <w:sz w:val="21"/>
                      <w:szCs w:val="21"/>
                      <w:highlight w:val="none"/>
                    </w:rPr>
                  </w:pPr>
                </w:p>
              </w:tc>
              <w:tc>
                <w:tcPr>
                  <w:tcW w:w="1611" w:type="dxa"/>
                  <w:vMerge w:val="continue"/>
                  <w:tcBorders>
                    <w:tl2br w:val="nil"/>
                    <w:tr2bl w:val="nil"/>
                  </w:tcBorders>
                  <w:noWrap w:val="0"/>
                  <w:vAlign w:val="center"/>
                </w:tcPr>
                <w:p>
                  <w:pPr>
                    <w:spacing w:line="240" w:lineRule="auto"/>
                    <w:ind w:right="0" w:rightChars="0" w:firstLine="0" w:firstLineChars="0"/>
                    <w:jc w:val="center"/>
                    <w:rPr>
                      <w:rFonts w:hint="default" w:ascii="Times New Roman" w:hAnsi="Times New Roman" w:eastAsia="宋体" w:cs="Times New Roman"/>
                      <w:color w:val="auto"/>
                      <w:sz w:val="21"/>
                      <w:szCs w:val="21"/>
                      <w:highlight w:val="none"/>
                      <w:lang w:eastAsia="zh-CN"/>
                    </w:rPr>
                  </w:pPr>
                </w:p>
              </w:tc>
            </w:tr>
          </w:tbl>
          <w:p>
            <w:pPr>
              <w:spacing w:line="360" w:lineRule="auto"/>
              <w:ind w:firstLine="482"/>
              <w:rPr>
                <w:rFonts w:hint="default" w:ascii="Times New Roman" w:hAnsi="Times New Roman" w:eastAsia="宋体" w:cs="Times New Roman"/>
                <w:color w:val="auto"/>
                <w:sz w:val="24"/>
                <w:highlight w:val="none"/>
              </w:rPr>
            </w:pP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2</w:t>
            </w:r>
            <w:r>
              <w:rPr>
                <w:rFonts w:hint="default" w:ascii="Times New Roman" w:hAnsi="Times New Roman" w:cs="Times New Roman"/>
                <w:color w:val="auto"/>
                <w:sz w:val="24"/>
                <w:highlight w:val="none"/>
                <w:lang w:eastAsia="zh-CN"/>
              </w:rPr>
              <w:t>）</w:t>
            </w:r>
            <w:r>
              <w:rPr>
                <w:rFonts w:hint="default" w:ascii="Times New Roman" w:hAnsi="Times New Roman" w:eastAsia="宋体" w:cs="Times New Roman"/>
                <w:color w:val="auto"/>
                <w:sz w:val="24"/>
                <w:highlight w:val="none"/>
              </w:rPr>
              <w:t>监测方法</w:t>
            </w:r>
          </w:p>
          <w:p>
            <w:pPr>
              <w:spacing w:line="360" w:lineRule="auto"/>
              <w:ind w:firstLine="540" w:firstLineChars="225"/>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监测分析方法按照《地表水及污水监测技术规范》（HJ/T91-2002）中有关规定。</w:t>
            </w:r>
          </w:p>
          <w:p>
            <w:pPr>
              <w:adjustRightInd w:val="0"/>
              <w:spacing w:line="360" w:lineRule="auto"/>
              <w:ind w:firstLine="480" w:firstLineChars="200"/>
              <w:rPr>
                <w:rFonts w:hint="default" w:ascii="Times New Roman" w:hAnsi="Times New Roman" w:eastAsia="黑体" w:cs="Times New Roman"/>
                <w:b/>
                <w:bCs/>
                <w:color w:val="auto"/>
                <w:szCs w:val="28"/>
                <w:highlight w:val="none"/>
                <w:lang w:val="en-US" w:eastAsia="zh-CN"/>
              </w:rPr>
            </w:pPr>
            <w:bookmarkStart w:id="59" w:name="_Toc18522"/>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3</w:t>
            </w:r>
            <w:r>
              <w:rPr>
                <w:rFonts w:hint="default" w:ascii="Times New Roman" w:hAnsi="Times New Roman" w:cs="Times New Roman"/>
                <w:highlight w:val="none"/>
                <w:lang w:eastAsia="zh-CN"/>
              </w:rPr>
              <w:t>）</w:t>
            </w:r>
            <w:r>
              <w:rPr>
                <w:rFonts w:hint="default" w:ascii="Times New Roman" w:hAnsi="Times New Roman" w:cs="Times New Roman"/>
                <w:highlight w:val="none"/>
              </w:rPr>
              <w:t>监测时间和频率</w:t>
            </w:r>
            <w:bookmarkEnd w:id="59"/>
          </w:p>
          <w:p>
            <w:pPr>
              <w:bidi w:val="0"/>
              <w:rPr>
                <w:rFonts w:hint="default" w:ascii="Times New Roman" w:hAnsi="Times New Roman" w:eastAsia="宋体" w:cs="Times New Roman"/>
                <w:color w:val="auto"/>
                <w:sz w:val="24"/>
                <w:highlight w:val="none"/>
              </w:rPr>
            </w:pPr>
            <w:r>
              <w:rPr>
                <w:rFonts w:hint="default" w:ascii="Times New Roman" w:hAnsi="Times New Roman" w:cs="Times New Roman"/>
                <w:highlight w:val="none"/>
                <w:lang w:val="en-US" w:eastAsia="zh-CN"/>
              </w:rPr>
              <w:t>2023年4月15日</w:t>
            </w:r>
            <w:r>
              <w:rPr>
                <w:rFonts w:hint="default" w:ascii="Times New Roman" w:hAnsi="Times New Roman" w:eastAsia="宋体" w:cs="Times New Roman"/>
                <w:color w:val="auto"/>
                <w:sz w:val="24"/>
                <w:highlight w:val="none"/>
                <w:lang w:val="en-US" w:eastAsia="zh-CN"/>
              </w:rPr>
              <w:t>~</w:t>
            </w:r>
            <w:r>
              <w:rPr>
                <w:rFonts w:hint="default" w:ascii="Times New Roman" w:hAnsi="Times New Roman" w:cs="Times New Roman"/>
                <w:highlight w:val="none"/>
                <w:lang w:val="en-US" w:eastAsia="zh-CN"/>
              </w:rPr>
              <w:t>17日，</w:t>
            </w:r>
            <w:r>
              <w:rPr>
                <w:rFonts w:hint="default" w:ascii="Times New Roman" w:hAnsi="Times New Roman" w:eastAsia="宋体" w:cs="Times New Roman"/>
                <w:color w:val="auto"/>
                <w:sz w:val="24"/>
                <w:highlight w:val="none"/>
                <w:lang w:val="en-US" w:eastAsia="zh-CN"/>
              </w:rPr>
              <w:t>1次/天</w:t>
            </w:r>
            <w:r>
              <w:rPr>
                <w:rFonts w:hint="default" w:ascii="Times New Roman" w:hAnsi="Times New Roman" w:eastAsia="宋体" w:cs="Times New Roman"/>
                <w:color w:val="auto"/>
                <w:sz w:val="24"/>
                <w:highlight w:val="none"/>
              </w:rPr>
              <w:t>。</w:t>
            </w:r>
          </w:p>
          <w:p>
            <w:pPr>
              <w:numPr>
                <w:ilvl w:val="0"/>
                <w:numId w:val="2"/>
              </w:numPr>
              <w:bidi w:val="0"/>
              <w:ind w:left="0" w:leftChars="0" w:firstLine="480" w:firstLineChars="200"/>
              <w:rPr>
                <w:rFonts w:hint="default" w:ascii="Times New Roman" w:hAnsi="Times New Roman" w:cs="Times New Roman"/>
                <w:highlight w:val="none"/>
              </w:rPr>
            </w:pPr>
            <w:bookmarkStart w:id="60" w:name="_Toc20468"/>
            <w:r>
              <w:rPr>
                <w:rFonts w:hint="default" w:ascii="Times New Roman" w:hAnsi="Times New Roman" w:cs="Times New Roman"/>
                <w:highlight w:val="none"/>
              </w:rPr>
              <w:t>评价方法</w:t>
            </w:r>
            <w:bookmarkEnd w:id="60"/>
          </w:p>
          <w:p>
            <w:pPr>
              <w:spacing w:line="360" w:lineRule="auto"/>
              <w:ind w:firstLine="480" w:firstLineChars="200"/>
              <w:rPr>
                <w:rFonts w:hint="default" w:ascii="Times New Roman" w:hAnsi="Times New Roman" w:eastAsia="宋体" w:cs="Times New Roman"/>
                <w:bCs/>
                <w:color w:val="auto"/>
                <w:sz w:val="24"/>
                <w:highlight w:val="none"/>
              </w:rPr>
            </w:pPr>
            <w:r>
              <w:rPr>
                <w:rFonts w:hint="default" w:ascii="Times New Roman" w:hAnsi="Times New Roman" w:eastAsia="宋体" w:cs="Times New Roman"/>
                <w:bCs/>
                <w:color w:val="auto"/>
                <w:sz w:val="24"/>
                <w:highlight w:val="none"/>
              </w:rPr>
              <w:t>采用单项标准污染指数法进行评价。其评价公式如下：</w:t>
            </w:r>
          </w:p>
          <w:p>
            <w:pPr>
              <w:spacing w:line="360" w:lineRule="auto"/>
              <w:ind w:firstLine="480" w:firstLineChars="200"/>
              <w:jc w:val="center"/>
              <w:rPr>
                <w:rFonts w:hint="default" w:ascii="Times New Roman" w:hAnsi="Times New Roman" w:eastAsia="宋体" w:cs="Times New Roman"/>
                <w:bCs/>
                <w:color w:val="auto"/>
                <w:sz w:val="24"/>
                <w:highlight w:val="none"/>
              </w:rPr>
            </w:pPr>
            <w:r>
              <w:rPr>
                <w:rFonts w:hint="default" w:ascii="Times New Roman" w:hAnsi="Times New Roman" w:eastAsia="宋体" w:cs="Times New Roman"/>
                <w:bCs/>
                <w:color w:val="auto"/>
                <w:position w:val="-22"/>
                <w:sz w:val="24"/>
                <w:highlight w:val="none"/>
              </w:rPr>
              <w:object>
                <v:shape id="_x0000_i1025" o:spt="75" type="#_x0000_t75" style="height:30pt;width:51pt;" o:ole="t" filled="f" o:preferrelative="t" stroked="f" coordsize="21600,21600">
                  <v:path/>
                  <v:fill on="f" focussize="0,0"/>
                  <v:stroke on="f"/>
                  <v:imagedata r:id="rId21" o:title=""/>
                  <o:lock v:ext="edit" aspectratio="t"/>
                  <w10:wrap type="none"/>
                  <w10:anchorlock/>
                </v:shape>
                <o:OLEObject Type="Embed" ProgID="Equation.3" ShapeID="_x0000_i1025" DrawAspect="Content" ObjectID="_1468075725" r:id="rId20">
                  <o:LockedField>false</o:LockedField>
                </o:OLEObject>
              </w:object>
            </w:r>
          </w:p>
          <w:p>
            <w:pPr>
              <w:spacing w:line="360" w:lineRule="auto"/>
              <w:ind w:firstLine="840" w:firstLineChars="350"/>
              <w:rPr>
                <w:rFonts w:hint="default" w:ascii="Times New Roman" w:hAnsi="Times New Roman" w:eastAsia="宋体" w:cs="Times New Roman"/>
                <w:bCs/>
                <w:color w:val="auto"/>
                <w:sz w:val="24"/>
                <w:highlight w:val="none"/>
              </w:rPr>
            </w:pPr>
            <w:r>
              <w:rPr>
                <w:rFonts w:hint="default" w:ascii="Times New Roman" w:hAnsi="Times New Roman" w:eastAsia="宋体" w:cs="Times New Roman"/>
                <w:bCs/>
                <w:color w:val="auto"/>
                <w:sz w:val="24"/>
                <w:highlight w:val="none"/>
              </w:rPr>
              <w:t>式中：Pi—为i污染物标准指标数；</w:t>
            </w:r>
          </w:p>
          <w:p>
            <w:pPr>
              <w:spacing w:line="360" w:lineRule="auto"/>
              <w:ind w:firstLine="840" w:firstLineChars="350"/>
              <w:rPr>
                <w:rFonts w:hint="default" w:ascii="Times New Roman" w:hAnsi="Times New Roman" w:eastAsia="宋体" w:cs="Times New Roman"/>
                <w:bCs/>
                <w:color w:val="auto"/>
                <w:sz w:val="24"/>
                <w:highlight w:val="none"/>
              </w:rPr>
            </w:pPr>
            <w:r>
              <w:rPr>
                <w:rFonts w:hint="default" w:ascii="Times New Roman" w:hAnsi="Times New Roman" w:eastAsia="宋体" w:cs="Times New Roman"/>
                <w:bCs/>
                <w:color w:val="auto"/>
                <w:sz w:val="24"/>
                <w:highlight w:val="none"/>
              </w:rPr>
              <w:t xml:space="preserve">      Ci—为i污染物实测浓度值（mg/L）；</w:t>
            </w:r>
          </w:p>
          <w:p>
            <w:pPr>
              <w:spacing w:line="360" w:lineRule="auto"/>
              <w:ind w:firstLine="840" w:firstLineChars="350"/>
              <w:rPr>
                <w:rFonts w:hint="default" w:ascii="Times New Roman" w:hAnsi="Times New Roman" w:eastAsia="宋体" w:cs="Times New Roman"/>
                <w:bCs/>
                <w:color w:val="auto"/>
                <w:sz w:val="24"/>
                <w:highlight w:val="none"/>
              </w:rPr>
            </w:pPr>
            <w:r>
              <w:rPr>
                <w:rFonts w:hint="default" w:ascii="Times New Roman" w:hAnsi="Times New Roman" w:eastAsia="宋体" w:cs="Times New Roman"/>
                <w:bCs/>
                <w:color w:val="auto"/>
                <w:sz w:val="24"/>
                <w:highlight w:val="none"/>
              </w:rPr>
              <w:t xml:space="preserve">      Si—为i污染物评价标准值（mg/L）。</w:t>
            </w:r>
          </w:p>
          <w:p>
            <w:pPr>
              <w:spacing w:line="360" w:lineRule="auto"/>
              <w:ind w:firstLine="840" w:firstLineChars="350"/>
              <w:rPr>
                <w:rFonts w:hint="default" w:ascii="Times New Roman" w:hAnsi="Times New Roman" w:eastAsia="宋体" w:cs="Times New Roman"/>
                <w:bCs/>
                <w:color w:val="auto"/>
                <w:sz w:val="24"/>
                <w:highlight w:val="none"/>
              </w:rPr>
            </w:pPr>
            <w:r>
              <w:rPr>
                <w:rFonts w:hint="default" w:ascii="Times New Roman" w:hAnsi="Times New Roman" w:eastAsia="宋体" w:cs="Times New Roman"/>
                <w:bCs/>
                <w:color w:val="auto"/>
                <w:sz w:val="24"/>
                <w:highlight w:val="none"/>
              </w:rPr>
              <w:t>对于具有上、下限标准的pH，则按下式计算pH的Pi值。</w:t>
            </w:r>
          </w:p>
          <w:p>
            <w:pPr>
              <w:spacing w:line="360" w:lineRule="auto"/>
              <w:ind w:firstLine="840" w:firstLineChars="350"/>
              <w:rPr>
                <w:rFonts w:hint="default" w:ascii="Times New Roman" w:hAnsi="Times New Roman" w:eastAsia="宋体" w:cs="Times New Roman"/>
                <w:bCs/>
                <w:color w:val="auto"/>
                <w:sz w:val="24"/>
                <w:highlight w:val="none"/>
              </w:rPr>
            </w:pPr>
            <w:r>
              <w:rPr>
                <w:rFonts w:hint="default" w:ascii="Times New Roman" w:hAnsi="Times New Roman" w:eastAsia="宋体" w:cs="Times New Roman"/>
                <w:bCs/>
                <w:color w:val="auto"/>
                <w:sz w:val="24"/>
                <w:highlight w:val="none"/>
              </w:rPr>
              <w:t xml:space="preserve">           </w:t>
            </w:r>
            <w:r>
              <w:rPr>
                <w:rFonts w:hint="default" w:ascii="Times New Roman" w:hAnsi="Times New Roman" w:eastAsia="宋体" w:cs="Times New Roman"/>
                <w:bCs/>
                <w:color w:val="auto"/>
                <w:position w:val="-30"/>
                <w:sz w:val="24"/>
                <w:highlight w:val="none"/>
              </w:rPr>
              <w:object>
                <v:shape id="_x0000_i1026" o:spt="75" type="#_x0000_t75" style="height:34.5pt;width:78pt;" o:ole="t" filled="f" o:preferrelative="t" stroked="f" coordsize="21600,21600">
                  <v:path/>
                  <v:fill on="f" focussize="0,0"/>
                  <v:stroke on="f"/>
                  <v:imagedata r:id="rId23" o:title=""/>
                  <o:lock v:ext="edit" aspectratio="t"/>
                  <w10:wrap type="none"/>
                  <w10:anchorlock/>
                </v:shape>
                <o:OLEObject Type="Embed" ProgID="Equation.DSMT4" ShapeID="_x0000_i1026" DrawAspect="Content" ObjectID="_1468075726" r:id="rId22">
                  <o:LockedField>false</o:LockedField>
                </o:OLEObject>
              </w:object>
            </w:r>
            <w:r>
              <w:rPr>
                <w:rFonts w:hint="default" w:ascii="Times New Roman" w:hAnsi="Times New Roman" w:eastAsia="宋体" w:cs="Times New Roman"/>
                <w:bCs/>
                <w:color w:val="auto"/>
                <w:sz w:val="24"/>
                <w:highlight w:val="none"/>
              </w:rPr>
              <w:t>，当pH＞7.0时</w:t>
            </w:r>
          </w:p>
          <w:p>
            <w:pPr>
              <w:spacing w:line="360" w:lineRule="auto"/>
              <w:ind w:firstLine="840" w:firstLineChars="350"/>
              <w:rPr>
                <w:rFonts w:hint="default" w:ascii="Times New Roman" w:hAnsi="Times New Roman" w:eastAsia="宋体" w:cs="Times New Roman"/>
                <w:bCs/>
                <w:color w:val="auto"/>
                <w:sz w:val="24"/>
                <w:highlight w:val="none"/>
              </w:rPr>
            </w:pPr>
            <w:r>
              <w:rPr>
                <w:rFonts w:hint="default" w:ascii="Times New Roman" w:hAnsi="Times New Roman" w:eastAsia="宋体" w:cs="Times New Roman"/>
                <w:bCs/>
                <w:color w:val="auto"/>
                <w:sz w:val="24"/>
                <w:highlight w:val="none"/>
              </w:rPr>
              <w:t xml:space="preserve">           </w:t>
            </w:r>
            <w:r>
              <w:rPr>
                <w:rFonts w:hint="default" w:ascii="Times New Roman" w:hAnsi="Times New Roman" w:eastAsia="宋体" w:cs="Times New Roman"/>
                <w:bCs/>
                <w:color w:val="auto"/>
                <w:position w:val="-30"/>
                <w:sz w:val="24"/>
                <w:highlight w:val="none"/>
              </w:rPr>
              <w:object>
                <v:shape id="_x0000_i1027" o:spt="75" type="#_x0000_t75" style="height:34.5pt;width:76.55pt;" o:ole="t" filled="f" o:preferrelative="t" stroked="f" coordsize="21600,21600">
                  <v:path/>
                  <v:fill on="f" focussize="0,0"/>
                  <v:stroke on="f"/>
                  <v:imagedata r:id="rId25" o:title=""/>
                  <o:lock v:ext="edit" aspectratio="t"/>
                  <w10:wrap type="none"/>
                  <w10:anchorlock/>
                </v:shape>
                <o:OLEObject Type="Embed" ProgID="Equation.DSMT4" ShapeID="_x0000_i1027" DrawAspect="Content" ObjectID="_1468075727" r:id="rId24">
                  <o:LockedField>false</o:LockedField>
                </o:OLEObject>
              </w:object>
            </w:r>
            <w:r>
              <w:rPr>
                <w:rFonts w:hint="default" w:ascii="Times New Roman" w:hAnsi="Times New Roman" w:eastAsia="宋体" w:cs="Times New Roman"/>
                <w:bCs/>
                <w:color w:val="auto"/>
                <w:sz w:val="24"/>
                <w:highlight w:val="none"/>
              </w:rPr>
              <w:t>，当pH≤7.0时</w:t>
            </w:r>
          </w:p>
          <w:p>
            <w:pPr>
              <w:spacing w:line="360" w:lineRule="auto"/>
              <w:rPr>
                <w:rFonts w:hint="default" w:ascii="Times New Roman" w:hAnsi="Times New Roman" w:eastAsia="宋体" w:cs="Times New Roman"/>
                <w:bCs/>
                <w:color w:val="auto"/>
                <w:sz w:val="24"/>
                <w:highlight w:val="none"/>
              </w:rPr>
            </w:pPr>
            <w:r>
              <w:rPr>
                <w:rFonts w:hint="default" w:ascii="Times New Roman" w:hAnsi="Times New Roman" w:eastAsia="宋体" w:cs="Times New Roman"/>
                <w:bCs/>
                <w:color w:val="auto"/>
                <w:sz w:val="24"/>
                <w:highlight w:val="none"/>
              </w:rPr>
              <w:t xml:space="preserve">       式中：Pi—pH因子的标准质量指数值；</w:t>
            </w:r>
          </w:p>
          <w:p>
            <w:pPr>
              <w:spacing w:line="360" w:lineRule="auto"/>
              <w:rPr>
                <w:rFonts w:hint="default" w:ascii="Times New Roman" w:hAnsi="Times New Roman" w:eastAsia="宋体" w:cs="Times New Roman"/>
                <w:bCs/>
                <w:color w:val="auto"/>
                <w:sz w:val="24"/>
                <w:highlight w:val="none"/>
              </w:rPr>
            </w:pPr>
            <w:r>
              <w:rPr>
                <w:rFonts w:hint="default" w:ascii="Times New Roman" w:hAnsi="Times New Roman" w:eastAsia="宋体" w:cs="Times New Roman"/>
                <w:bCs/>
                <w:color w:val="auto"/>
                <w:sz w:val="24"/>
                <w:highlight w:val="none"/>
              </w:rPr>
              <w:t xml:space="preserve">             pHi— pH的实测值；</w:t>
            </w:r>
          </w:p>
          <w:p>
            <w:pPr>
              <w:spacing w:line="360" w:lineRule="auto"/>
              <w:ind w:firstLine="540" w:firstLineChars="225"/>
              <w:rPr>
                <w:rFonts w:hint="default" w:ascii="Times New Roman" w:hAnsi="Times New Roman" w:eastAsia="宋体" w:cs="Times New Roman"/>
                <w:color w:val="auto"/>
                <w:sz w:val="24"/>
                <w:highlight w:val="none"/>
              </w:rPr>
            </w:pPr>
            <w:r>
              <w:rPr>
                <w:rFonts w:hint="default" w:ascii="Times New Roman" w:hAnsi="Times New Roman" w:eastAsia="宋体" w:cs="Times New Roman"/>
                <w:bCs/>
                <w:color w:val="auto"/>
                <w:sz w:val="24"/>
                <w:highlight w:val="none"/>
              </w:rPr>
              <w:t xml:space="preserve">        pHs—pH的评价标准上限或下限值。</w:t>
            </w:r>
          </w:p>
          <w:p>
            <w:pPr>
              <w:spacing w:line="360" w:lineRule="auto"/>
              <w:ind w:firstLine="482"/>
              <w:rPr>
                <w:rFonts w:hint="default" w:ascii="Times New Roman" w:hAnsi="Times New Roman" w:eastAsia="宋体" w:cs="Times New Roman"/>
                <w:color w:val="auto"/>
                <w:sz w:val="24"/>
                <w:highlight w:val="none"/>
              </w:rPr>
            </w:pP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5</w:t>
            </w:r>
            <w:r>
              <w:rPr>
                <w:rFonts w:hint="default" w:ascii="Times New Roman" w:hAnsi="Times New Roman" w:cs="Times New Roman"/>
                <w:color w:val="auto"/>
                <w:sz w:val="24"/>
                <w:highlight w:val="none"/>
                <w:lang w:eastAsia="zh-CN"/>
              </w:rPr>
              <w:t>）</w:t>
            </w:r>
            <w:r>
              <w:rPr>
                <w:rFonts w:hint="default" w:ascii="Times New Roman" w:hAnsi="Times New Roman" w:eastAsia="宋体" w:cs="Times New Roman"/>
                <w:color w:val="auto"/>
                <w:sz w:val="24"/>
                <w:highlight w:val="none"/>
              </w:rPr>
              <w:t>监测结果及评价结果</w:t>
            </w:r>
          </w:p>
          <w:p>
            <w:pPr>
              <w:bidi w:val="0"/>
              <w:rPr>
                <w:rFonts w:hint="default" w:ascii="Times New Roman" w:hAnsi="Times New Roman" w:cs="Times New Roman"/>
                <w:highlight w:val="none"/>
                <w:lang w:val="en-US" w:eastAsia="zh-CN"/>
              </w:rPr>
            </w:pPr>
            <w:r>
              <w:rPr>
                <w:rFonts w:hint="default" w:ascii="Times New Roman" w:hAnsi="Times New Roman" w:eastAsia="宋体" w:cs="Times New Roman"/>
                <w:bCs/>
                <w:color w:val="auto"/>
                <w:sz w:val="24"/>
                <w:highlight w:val="none"/>
              </w:rPr>
              <w:t>地表水监测结果见表3-</w:t>
            </w:r>
            <w:r>
              <w:rPr>
                <w:rFonts w:hint="default" w:ascii="Times New Roman" w:hAnsi="Times New Roman" w:eastAsia="宋体" w:cs="Times New Roman"/>
                <w:bCs/>
                <w:color w:val="auto"/>
                <w:sz w:val="24"/>
                <w:highlight w:val="none"/>
                <w:lang w:val="en-US" w:eastAsia="zh-CN"/>
              </w:rPr>
              <w:t>4</w:t>
            </w:r>
            <w:r>
              <w:rPr>
                <w:rFonts w:hint="default" w:ascii="Times New Roman" w:hAnsi="Times New Roman" w:eastAsia="宋体" w:cs="Times New Roman"/>
                <w:bCs/>
                <w:color w:val="auto"/>
                <w:sz w:val="24"/>
                <w:highlight w:val="none"/>
              </w:rPr>
              <w:t>。</w:t>
            </w:r>
          </w:p>
          <w:p>
            <w:pPr>
              <w:pStyle w:val="16"/>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表3-4  地表水监测结果         单位mg/L</w:t>
            </w:r>
          </w:p>
          <w:tbl>
            <w:tblPr>
              <w:tblStyle w:val="12"/>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58"/>
              <w:gridCol w:w="1189"/>
              <w:gridCol w:w="1189"/>
              <w:gridCol w:w="1191"/>
              <w:gridCol w:w="1189"/>
              <w:gridCol w:w="1189"/>
              <w:gridCol w:w="120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1" w:hRule="atLeast"/>
              </w:trPr>
              <w:tc>
                <w:tcPr>
                  <w:tcW w:w="847" w:type="pct"/>
                  <w:vMerge w:val="restart"/>
                  <w:tcBorders>
                    <w:tl2br w:val="nil"/>
                    <w:tr2bl w:val="nil"/>
                  </w:tcBorders>
                  <w:vAlign w:val="center"/>
                  <mc:AlternateContent>
                    <mc:Choice Requires="wpsCustomData">
                      <wpsCustomData:diagonals>
                        <wpsCustomData:diagonal from="10000" to="30000">
                          <wpsCustomData:border w:val="single" w:color="auto" w:sz="12" w:space="0"/>
                        </wpsCustomData:diagonal>
                      </wpsCustomData:diagonals>
                    </mc:Choice>
                  </mc:AlternateContent>
                </w:tcPr>
                <w:p>
                  <w:pPr>
                    <w:pStyle w:val="15"/>
                    <w:bidi w:val="0"/>
                    <w:snapToGrid w:val="0"/>
                    <w:spacing w:line="240" w:lineRule="auto"/>
                    <w:jc w:val="center"/>
                    <w:rPr>
                      <w:rFonts w:hint="default" w:ascii="Times New Roman" w:hAnsi="Times New Roman" w:cs="Times New Roman"/>
                      <w:b/>
                      <w:bCs/>
                      <w:highlight w:val="none"/>
                      <w:lang w:val="en-US" w:eastAsia="zh-CN"/>
                    </w:rPr>
                  </w:pPr>
                </w:p>
                <w:p>
                  <w:pPr>
                    <w:jc w:val="center"/>
                    <w:rPr>
                      <w:rFonts w:hint="default" w:ascii="Times New Roman" w:hAnsi="Times New Roman" w:cs="Times New Roman"/>
                      <w:b/>
                      <w:bCs/>
                      <w:highlight w:val="none"/>
                      <w:lang w:val="en-US" w:eastAsia="zh-CN"/>
                    </w:rPr>
                  </w:pPr>
                </w:p>
                <w:p>
                  <w:pPr>
                    <w:pStyle w:val="15"/>
                    <w:bidi w:val="0"/>
                    <w:snapToGrid w:val="0"/>
                    <w:spacing w:line="240" w:lineRule="auto"/>
                    <w:ind w:firstLine="0" w:firstLineChars="0"/>
                    <w:jc w:val="center"/>
                    <w:rPr>
                      <w:rFonts w:hint="default" w:ascii="Times New Roman" w:hAnsi="Times New Roman" w:cs="Times New Roman"/>
                      <w:b/>
                      <w:bCs/>
                      <w:highlight w:val="none"/>
                      <w:lang w:val="en-US" w:eastAsia="zh-CN"/>
                    </w:rPr>
                  </w:pPr>
                  <w:r>
                    <w:rPr>
                      <w:rFonts w:hint="default" w:ascii="Times New Roman" w:hAnsi="Times New Roman" w:cs="Times New Roman"/>
                      <w:b/>
                      <w:bCs/>
                      <w:highlight w:val="none"/>
                      <w:lang w:val="en-US" w:eastAsia="zh-CN"/>
                    </w:rPr>
                    <w:t>检测因子</w:t>
                  </w:r>
                </w:p>
                <w:p>
                  <w:pPr>
                    <w:jc w:val="center"/>
                    <mc:AlternateContent>
                      <mc:Choice Requires="wpsCustomData">
                        <wpsCustomData:diagonalParaType/>
                      </mc:Choice>
                    </mc:AlternateContent>
                    <w:rPr>
                      <w:rFonts w:hint="default" w:ascii="Times New Roman" w:hAnsi="Times New Roman" w:cs="Times New Roman"/>
                      <w:b/>
                      <w:bCs/>
                      <w:highlight w:val="none"/>
                      <w:lang w:val="en-US" w:eastAsia="zh-CN"/>
                    </w:rPr>
                  </w:pPr>
                </w:p>
                <w:p>
                  <w:pPr>
                    <w:pStyle w:val="15"/>
                    <w:bidi w:val="0"/>
                    <w:jc w:val="center"/>
                    <w:rPr>
                      <w:rFonts w:hint="default" w:ascii="Times New Roman" w:hAnsi="Times New Roman" w:cs="Times New Roman"/>
                      <w:b/>
                      <w:bCs/>
                      <w:highlight w:val="none"/>
                      <w:lang w:val="en-US" w:eastAsia="zh-CN"/>
                    </w:rPr>
                  </w:pPr>
                  <w:r>
                    <w:rPr>
                      <w:rFonts w:hint="default" w:ascii="Times New Roman" w:hAnsi="Times New Roman" w:cs="Times New Roman"/>
                      <w:b/>
                      <w:bCs/>
                      <w:highlight w:val="none"/>
                      <w:lang w:val="en-US" w:eastAsia="zh-CN"/>
                    </w:rPr>
                    <w:t>点位及采样时间</w:t>
                  </w:r>
                </w:p>
              </w:tc>
              <w:tc>
                <w:tcPr>
                  <w:tcW w:w="2074" w:type="pct"/>
                  <w:gridSpan w:val="3"/>
                  <w:tcBorders>
                    <w:tl2br w:val="nil"/>
                    <w:tr2bl w:val="nil"/>
                  </w:tcBorders>
                  <w:vAlign w:val="center"/>
                </w:tcPr>
                <w:p>
                  <w:pPr>
                    <w:pStyle w:val="15"/>
                    <w:bidi w:val="0"/>
                    <w:jc w:val="center"/>
                    <w:rPr>
                      <w:rFonts w:hint="default" w:ascii="Times New Roman" w:hAnsi="Times New Roman" w:cs="Times New Roman"/>
                      <w:b/>
                      <w:bCs/>
                      <w:highlight w:val="none"/>
                      <w:lang w:val="en-US" w:eastAsia="zh-CN"/>
                    </w:rPr>
                  </w:pPr>
                  <w:r>
                    <w:rPr>
                      <w:rFonts w:hint="default" w:ascii="Times New Roman" w:hAnsi="Times New Roman" w:cs="Times New Roman"/>
                      <w:b/>
                      <w:bCs/>
                      <w:highlight w:val="none"/>
                      <w:lang w:val="en-US" w:eastAsia="zh-CN"/>
                    </w:rPr>
                    <w:t>G5，</w:t>
                  </w:r>
                  <w:r>
                    <w:rPr>
                      <w:rFonts w:hint="default" w:ascii="Times New Roman" w:hAnsi="Times New Roman" w:cs="Times New Roman"/>
                      <w:b/>
                      <w:bCs/>
                      <w:color w:val="auto"/>
                      <w:sz w:val="21"/>
                      <w:szCs w:val="21"/>
                      <w:highlight w:val="none"/>
                      <w:lang w:val="en-US" w:eastAsia="zh-CN"/>
                    </w:rPr>
                    <w:t>胡家河冯家沟</w:t>
                  </w:r>
                </w:p>
              </w:tc>
              <w:tc>
                <w:tcPr>
                  <w:tcW w:w="2077" w:type="pct"/>
                  <w:gridSpan w:val="3"/>
                  <w:tcBorders>
                    <w:tl2br w:val="nil"/>
                    <w:tr2bl w:val="nil"/>
                  </w:tcBorders>
                  <w:vAlign w:val="center"/>
                </w:tcPr>
                <w:p>
                  <w:pPr>
                    <w:pStyle w:val="15"/>
                    <w:bidi w:val="0"/>
                    <w:jc w:val="center"/>
                    <w:rPr>
                      <w:rFonts w:hint="default" w:ascii="Times New Roman" w:hAnsi="Times New Roman" w:cs="Times New Roman"/>
                      <w:b/>
                      <w:bCs/>
                      <w:highlight w:val="none"/>
                      <w:lang w:val="en-US" w:eastAsia="zh-CN"/>
                    </w:rPr>
                  </w:pPr>
                  <w:r>
                    <w:rPr>
                      <w:rFonts w:hint="default" w:ascii="Times New Roman" w:hAnsi="Times New Roman" w:cs="Times New Roman"/>
                      <w:b/>
                      <w:bCs/>
                      <w:color w:val="auto"/>
                      <w:sz w:val="21"/>
                      <w:szCs w:val="21"/>
                      <w:highlight w:val="none"/>
                      <w:lang w:val="en-US" w:eastAsia="zh-CN"/>
                    </w:rPr>
                    <w:t>G6，新桥河黑滩取水口</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18" w:hRule="atLeast"/>
              </w:trPr>
              <w:tc>
                <w:tcPr>
                  <w:tcW w:w="847" w:type="pct"/>
                  <w:vMerge w:val="continue"/>
                  <w:tcBorders>
                    <w:tl2br w:val="nil"/>
                    <w:tr2bl w:val="nil"/>
                  </w:tcBorders>
                  <w:vAlign w:val="center"/>
                </w:tcPr>
                <w:p>
                  <w:pPr>
                    <w:pStyle w:val="15"/>
                    <w:bidi w:val="0"/>
                    <w:jc w:val="center"/>
                    <w:rPr>
                      <w:rFonts w:hint="default" w:ascii="Times New Roman" w:hAnsi="Times New Roman" w:cs="Times New Roman"/>
                      <w:b/>
                      <w:bCs/>
                      <w:highlight w:val="none"/>
                      <w:lang w:val="en-US" w:eastAsia="zh-CN"/>
                    </w:rPr>
                  </w:pPr>
                </w:p>
              </w:tc>
              <w:tc>
                <w:tcPr>
                  <w:tcW w:w="691" w:type="pct"/>
                  <w:tcBorders>
                    <w:tl2br w:val="nil"/>
                    <w:tr2bl w:val="nil"/>
                  </w:tcBorders>
                  <w:vAlign w:val="center"/>
                </w:tcPr>
                <w:p>
                  <w:pPr>
                    <w:pStyle w:val="15"/>
                    <w:bidi w:val="0"/>
                    <w:jc w:val="center"/>
                    <w:rPr>
                      <w:rFonts w:hint="default" w:ascii="Times New Roman" w:hAnsi="Times New Roman" w:cs="Times New Roman"/>
                      <w:b/>
                      <w:bCs/>
                      <w:highlight w:val="none"/>
                      <w:lang w:val="en-US" w:eastAsia="zh-CN"/>
                    </w:rPr>
                  </w:pPr>
                  <w:r>
                    <w:rPr>
                      <w:rFonts w:hint="default" w:ascii="Times New Roman" w:hAnsi="Times New Roman" w:cs="Times New Roman"/>
                      <w:b/>
                      <w:bCs/>
                      <w:highlight w:val="none"/>
                      <w:lang w:val="en-US" w:eastAsia="zh-CN"/>
                    </w:rPr>
                    <w:t>2023.01.15</w:t>
                  </w:r>
                </w:p>
              </w:tc>
              <w:tc>
                <w:tcPr>
                  <w:tcW w:w="691" w:type="pct"/>
                  <w:tcBorders>
                    <w:tl2br w:val="nil"/>
                    <w:tr2bl w:val="nil"/>
                  </w:tcBorders>
                  <w:vAlign w:val="center"/>
                </w:tcPr>
                <w:p>
                  <w:pPr>
                    <w:pStyle w:val="15"/>
                    <w:bidi w:val="0"/>
                    <w:jc w:val="center"/>
                    <w:rPr>
                      <w:rFonts w:hint="default" w:ascii="Times New Roman" w:hAnsi="Times New Roman" w:cs="Times New Roman"/>
                      <w:b/>
                      <w:bCs/>
                      <w:highlight w:val="none"/>
                      <w:lang w:val="en-US" w:eastAsia="zh-CN"/>
                    </w:rPr>
                  </w:pPr>
                  <w:r>
                    <w:rPr>
                      <w:rFonts w:hint="default" w:ascii="Times New Roman" w:hAnsi="Times New Roman" w:cs="Times New Roman"/>
                      <w:b/>
                      <w:bCs/>
                      <w:highlight w:val="none"/>
                      <w:lang w:val="en-US" w:eastAsia="zh-CN"/>
                    </w:rPr>
                    <w:t>2023.04.16</w:t>
                  </w:r>
                </w:p>
              </w:tc>
              <w:tc>
                <w:tcPr>
                  <w:tcW w:w="692" w:type="pct"/>
                  <w:tcBorders>
                    <w:tl2br w:val="nil"/>
                    <w:tr2bl w:val="nil"/>
                  </w:tcBorders>
                  <w:vAlign w:val="center"/>
                </w:tcPr>
                <w:p>
                  <w:pPr>
                    <w:pStyle w:val="15"/>
                    <w:bidi w:val="0"/>
                    <w:jc w:val="center"/>
                    <w:rPr>
                      <w:rFonts w:hint="default" w:ascii="Times New Roman" w:hAnsi="Times New Roman" w:cs="Times New Roman"/>
                      <w:b/>
                      <w:bCs/>
                      <w:highlight w:val="none"/>
                      <w:lang w:val="en-US" w:eastAsia="zh-CN"/>
                    </w:rPr>
                  </w:pPr>
                  <w:r>
                    <w:rPr>
                      <w:rFonts w:hint="default" w:ascii="Times New Roman" w:hAnsi="Times New Roman" w:cs="Times New Roman"/>
                      <w:b/>
                      <w:bCs/>
                      <w:highlight w:val="none"/>
                      <w:lang w:val="en-US" w:eastAsia="zh-CN"/>
                    </w:rPr>
                    <w:t>2023.04.17</w:t>
                  </w:r>
                </w:p>
              </w:tc>
              <w:tc>
                <w:tcPr>
                  <w:tcW w:w="691" w:type="pct"/>
                  <w:tcBorders>
                    <w:tl2br w:val="nil"/>
                    <w:tr2bl w:val="nil"/>
                  </w:tcBorders>
                  <w:vAlign w:val="center"/>
                </w:tcPr>
                <w:p>
                  <w:pPr>
                    <w:pStyle w:val="15"/>
                    <w:bidi w:val="0"/>
                    <w:ind w:firstLine="0" w:firstLineChars="0"/>
                    <w:jc w:val="center"/>
                    <w:rPr>
                      <w:rFonts w:hint="default" w:ascii="Times New Roman" w:hAnsi="Times New Roman" w:eastAsia="宋体" w:cs="Times New Roman"/>
                      <w:b/>
                      <w:bCs/>
                      <w:kern w:val="2"/>
                      <w:sz w:val="21"/>
                      <w:szCs w:val="21"/>
                      <w:highlight w:val="none"/>
                      <w:lang w:val="en-US" w:eastAsia="zh-CN" w:bidi="ar-SA"/>
                    </w:rPr>
                  </w:pPr>
                  <w:r>
                    <w:rPr>
                      <w:rFonts w:hint="default" w:ascii="Times New Roman" w:hAnsi="Times New Roman" w:cs="Times New Roman"/>
                      <w:b/>
                      <w:bCs/>
                      <w:highlight w:val="none"/>
                      <w:lang w:val="en-US" w:eastAsia="zh-CN"/>
                    </w:rPr>
                    <w:t>2023.01.15</w:t>
                  </w:r>
                </w:p>
              </w:tc>
              <w:tc>
                <w:tcPr>
                  <w:tcW w:w="691" w:type="pct"/>
                  <w:tcBorders>
                    <w:tl2br w:val="nil"/>
                    <w:tr2bl w:val="nil"/>
                  </w:tcBorders>
                  <w:vAlign w:val="center"/>
                </w:tcPr>
                <w:p>
                  <w:pPr>
                    <w:pStyle w:val="15"/>
                    <w:bidi w:val="0"/>
                    <w:ind w:firstLine="0" w:firstLineChars="0"/>
                    <w:jc w:val="center"/>
                    <w:rPr>
                      <w:rFonts w:hint="default" w:ascii="Times New Roman" w:hAnsi="Times New Roman" w:eastAsia="宋体" w:cs="Times New Roman"/>
                      <w:b/>
                      <w:bCs/>
                      <w:kern w:val="2"/>
                      <w:sz w:val="21"/>
                      <w:szCs w:val="21"/>
                      <w:highlight w:val="none"/>
                      <w:lang w:val="en-US" w:eastAsia="zh-CN" w:bidi="ar-SA"/>
                    </w:rPr>
                  </w:pPr>
                  <w:r>
                    <w:rPr>
                      <w:rFonts w:hint="default" w:ascii="Times New Roman" w:hAnsi="Times New Roman" w:cs="Times New Roman"/>
                      <w:b/>
                      <w:bCs/>
                      <w:highlight w:val="none"/>
                      <w:lang w:val="en-US" w:eastAsia="zh-CN"/>
                    </w:rPr>
                    <w:t>2023.04.16</w:t>
                  </w:r>
                </w:p>
              </w:tc>
              <w:tc>
                <w:tcPr>
                  <w:tcW w:w="694" w:type="pct"/>
                  <w:tcBorders>
                    <w:tl2br w:val="nil"/>
                    <w:tr2bl w:val="nil"/>
                  </w:tcBorders>
                  <w:vAlign w:val="center"/>
                </w:tcPr>
                <w:p>
                  <w:pPr>
                    <w:pStyle w:val="15"/>
                    <w:bidi w:val="0"/>
                    <w:ind w:firstLine="0" w:firstLineChars="0"/>
                    <w:jc w:val="center"/>
                    <w:rPr>
                      <w:rFonts w:hint="default" w:ascii="Times New Roman" w:hAnsi="Times New Roman" w:eastAsia="宋体" w:cs="Times New Roman"/>
                      <w:b/>
                      <w:bCs/>
                      <w:kern w:val="2"/>
                      <w:sz w:val="21"/>
                      <w:szCs w:val="21"/>
                      <w:highlight w:val="none"/>
                      <w:lang w:val="en-US" w:eastAsia="zh-CN" w:bidi="ar-SA"/>
                    </w:rPr>
                  </w:pPr>
                  <w:r>
                    <w:rPr>
                      <w:rFonts w:hint="default" w:ascii="Times New Roman" w:hAnsi="Times New Roman" w:cs="Times New Roman"/>
                      <w:b/>
                      <w:bCs/>
                      <w:highlight w:val="none"/>
                      <w:lang w:val="en-US" w:eastAsia="zh-CN"/>
                    </w:rPr>
                    <w:t>2023.04.17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47" w:type="pct"/>
                  <w:tcBorders>
                    <w:tl2br w:val="nil"/>
                    <w:tr2bl w:val="nil"/>
                  </w:tcBorders>
                  <w:vAlign w:val="center"/>
                </w:tcPr>
                <w:p>
                  <w:pPr>
                    <w:pStyle w:val="15"/>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流速（m/s）</w:t>
                  </w:r>
                </w:p>
              </w:tc>
              <w:tc>
                <w:tcPr>
                  <w:tcW w:w="691" w:type="pct"/>
                  <w:tcBorders>
                    <w:tl2br w:val="nil"/>
                    <w:tr2bl w:val="nil"/>
                  </w:tcBorders>
                  <w:vAlign w:val="center"/>
                </w:tcPr>
                <w:p>
                  <w:pPr>
                    <w:pStyle w:val="15"/>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0.30</w:t>
                  </w:r>
                </w:p>
              </w:tc>
              <w:tc>
                <w:tcPr>
                  <w:tcW w:w="691" w:type="pct"/>
                  <w:tcBorders>
                    <w:tl2br w:val="nil"/>
                    <w:tr2bl w:val="nil"/>
                  </w:tcBorders>
                  <w:vAlign w:val="center"/>
                </w:tcPr>
                <w:p>
                  <w:pPr>
                    <w:pStyle w:val="15"/>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0.32</w:t>
                  </w:r>
                </w:p>
              </w:tc>
              <w:tc>
                <w:tcPr>
                  <w:tcW w:w="692" w:type="pct"/>
                  <w:tcBorders>
                    <w:tl2br w:val="nil"/>
                    <w:tr2bl w:val="nil"/>
                  </w:tcBorders>
                  <w:vAlign w:val="center"/>
                </w:tcPr>
                <w:p>
                  <w:pPr>
                    <w:pStyle w:val="15"/>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0.34</w:t>
                  </w:r>
                </w:p>
              </w:tc>
              <w:tc>
                <w:tcPr>
                  <w:tcW w:w="691" w:type="pct"/>
                  <w:tcBorders>
                    <w:tl2br w:val="nil"/>
                    <w:tr2bl w:val="nil"/>
                  </w:tcBorders>
                  <w:vAlign w:val="center"/>
                </w:tcPr>
                <w:p>
                  <w:pPr>
                    <w:pStyle w:val="15"/>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0.06</w:t>
                  </w:r>
                </w:p>
              </w:tc>
              <w:tc>
                <w:tcPr>
                  <w:tcW w:w="691" w:type="pct"/>
                  <w:tcBorders>
                    <w:tl2br w:val="nil"/>
                    <w:tr2bl w:val="nil"/>
                  </w:tcBorders>
                  <w:vAlign w:val="center"/>
                </w:tcPr>
                <w:p>
                  <w:pPr>
                    <w:pStyle w:val="15"/>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0.07</w:t>
                  </w:r>
                </w:p>
              </w:tc>
              <w:tc>
                <w:tcPr>
                  <w:tcW w:w="694" w:type="pct"/>
                  <w:tcBorders>
                    <w:tl2br w:val="nil"/>
                    <w:tr2bl w:val="nil"/>
                  </w:tcBorders>
                  <w:vAlign w:val="center"/>
                </w:tcPr>
                <w:p>
                  <w:pPr>
                    <w:pStyle w:val="15"/>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47" w:type="pct"/>
                  <w:tcBorders>
                    <w:tl2br w:val="nil"/>
                    <w:tr2bl w:val="nil"/>
                  </w:tcBorders>
                  <w:vAlign w:val="center"/>
                </w:tcPr>
                <w:p>
                  <w:pPr>
                    <w:pStyle w:val="15"/>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流量（m</w:t>
                  </w:r>
                  <w:r>
                    <w:rPr>
                      <w:rFonts w:hint="default" w:ascii="Times New Roman" w:hAnsi="Times New Roman" w:cs="Times New Roman"/>
                      <w:highlight w:val="none"/>
                      <w:vertAlign w:val="superscript"/>
                      <w:lang w:val="en-US" w:eastAsia="zh-CN"/>
                    </w:rPr>
                    <w:t>3</w:t>
                  </w:r>
                  <w:r>
                    <w:rPr>
                      <w:rFonts w:hint="default" w:ascii="Times New Roman" w:hAnsi="Times New Roman" w:cs="Times New Roman"/>
                      <w:highlight w:val="none"/>
                      <w:lang w:val="en-US" w:eastAsia="zh-CN"/>
                    </w:rPr>
                    <w:t>/h）</w:t>
                  </w:r>
                </w:p>
              </w:tc>
              <w:tc>
                <w:tcPr>
                  <w:tcW w:w="691" w:type="pct"/>
                  <w:tcBorders>
                    <w:tl2br w:val="nil"/>
                    <w:tr2bl w:val="nil"/>
                  </w:tcBorders>
                  <w:vAlign w:val="center"/>
                </w:tcPr>
                <w:p>
                  <w:pPr>
                    <w:pStyle w:val="15"/>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3564</w:t>
                  </w:r>
                </w:p>
              </w:tc>
              <w:tc>
                <w:tcPr>
                  <w:tcW w:w="691" w:type="pct"/>
                  <w:tcBorders>
                    <w:tl2br w:val="nil"/>
                    <w:tr2bl w:val="nil"/>
                  </w:tcBorders>
                  <w:vAlign w:val="center"/>
                </w:tcPr>
                <w:p>
                  <w:pPr>
                    <w:pStyle w:val="15"/>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3802</w:t>
                  </w:r>
                </w:p>
              </w:tc>
              <w:tc>
                <w:tcPr>
                  <w:tcW w:w="692" w:type="pct"/>
                  <w:tcBorders>
                    <w:tl2br w:val="nil"/>
                    <w:tr2bl w:val="nil"/>
                  </w:tcBorders>
                  <w:vAlign w:val="center"/>
                </w:tcPr>
                <w:p>
                  <w:pPr>
                    <w:pStyle w:val="15"/>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4039</w:t>
                  </w:r>
                </w:p>
              </w:tc>
              <w:tc>
                <w:tcPr>
                  <w:tcW w:w="691" w:type="pct"/>
                  <w:tcBorders>
                    <w:tl2br w:val="nil"/>
                    <w:tr2bl w:val="nil"/>
                  </w:tcBorders>
                  <w:vAlign w:val="center"/>
                </w:tcPr>
                <w:p>
                  <w:pPr>
                    <w:pStyle w:val="15"/>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41040</w:t>
                  </w:r>
                </w:p>
              </w:tc>
              <w:tc>
                <w:tcPr>
                  <w:tcW w:w="691" w:type="pct"/>
                  <w:tcBorders>
                    <w:tl2br w:val="nil"/>
                    <w:tr2bl w:val="nil"/>
                  </w:tcBorders>
                  <w:vAlign w:val="center"/>
                </w:tcPr>
                <w:p>
                  <w:pPr>
                    <w:pStyle w:val="15"/>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47880</w:t>
                  </w:r>
                </w:p>
              </w:tc>
              <w:tc>
                <w:tcPr>
                  <w:tcW w:w="694" w:type="pct"/>
                  <w:tcBorders>
                    <w:tl2br w:val="nil"/>
                    <w:tr2bl w:val="nil"/>
                  </w:tcBorders>
                  <w:vAlign w:val="center"/>
                </w:tcPr>
                <w:p>
                  <w:pPr>
                    <w:pStyle w:val="15"/>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54720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47" w:type="pct"/>
                  <w:tcBorders>
                    <w:tl2br w:val="nil"/>
                    <w:tr2bl w:val="nil"/>
                  </w:tcBorders>
                  <w:vAlign w:val="center"/>
                </w:tcPr>
                <w:p>
                  <w:pPr>
                    <w:pStyle w:val="15"/>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PH（无量纲）</w:t>
                  </w:r>
                </w:p>
              </w:tc>
              <w:tc>
                <w:tcPr>
                  <w:tcW w:w="691" w:type="pct"/>
                  <w:tcBorders>
                    <w:tl2br w:val="nil"/>
                    <w:tr2bl w:val="nil"/>
                  </w:tcBorders>
                  <w:vAlign w:val="center"/>
                </w:tcPr>
                <w:p>
                  <w:pPr>
                    <w:pStyle w:val="15"/>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7.2</w:t>
                  </w:r>
                </w:p>
              </w:tc>
              <w:tc>
                <w:tcPr>
                  <w:tcW w:w="691" w:type="pct"/>
                  <w:tcBorders>
                    <w:tl2br w:val="nil"/>
                    <w:tr2bl w:val="nil"/>
                  </w:tcBorders>
                  <w:vAlign w:val="center"/>
                </w:tcPr>
                <w:p>
                  <w:pPr>
                    <w:pStyle w:val="15"/>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7.0</w:t>
                  </w:r>
                </w:p>
              </w:tc>
              <w:tc>
                <w:tcPr>
                  <w:tcW w:w="692" w:type="pct"/>
                  <w:tcBorders>
                    <w:tl2br w:val="nil"/>
                    <w:tr2bl w:val="nil"/>
                  </w:tcBorders>
                  <w:vAlign w:val="center"/>
                </w:tcPr>
                <w:p>
                  <w:pPr>
                    <w:pStyle w:val="15"/>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7.1</w:t>
                  </w:r>
                </w:p>
              </w:tc>
              <w:tc>
                <w:tcPr>
                  <w:tcW w:w="691" w:type="pct"/>
                  <w:tcBorders>
                    <w:tl2br w:val="nil"/>
                    <w:tr2bl w:val="nil"/>
                  </w:tcBorders>
                  <w:vAlign w:val="center"/>
                </w:tcPr>
                <w:p>
                  <w:pPr>
                    <w:pStyle w:val="15"/>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7.5</w:t>
                  </w:r>
                </w:p>
              </w:tc>
              <w:tc>
                <w:tcPr>
                  <w:tcW w:w="691" w:type="pct"/>
                  <w:tcBorders>
                    <w:tl2br w:val="nil"/>
                    <w:tr2bl w:val="nil"/>
                  </w:tcBorders>
                  <w:vAlign w:val="center"/>
                </w:tcPr>
                <w:p>
                  <w:pPr>
                    <w:pStyle w:val="15"/>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7.6</w:t>
                  </w:r>
                </w:p>
              </w:tc>
              <w:tc>
                <w:tcPr>
                  <w:tcW w:w="694" w:type="pct"/>
                  <w:tcBorders>
                    <w:tl2br w:val="nil"/>
                    <w:tr2bl w:val="nil"/>
                  </w:tcBorders>
                  <w:vAlign w:val="center"/>
                </w:tcPr>
                <w:p>
                  <w:pPr>
                    <w:pStyle w:val="15"/>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7.6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47" w:type="pct"/>
                  <w:tcBorders>
                    <w:tl2br w:val="nil"/>
                    <w:tr2bl w:val="nil"/>
                  </w:tcBorders>
                  <w:vAlign w:val="center"/>
                </w:tcPr>
                <w:p>
                  <w:pPr>
                    <w:pStyle w:val="15"/>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悬浮物</w:t>
                  </w:r>
                </w:p>
              </w:tc>
              <w:tc>
                <w:tcPr>
                  <w:tcW w:w="691" w:type="pct"/>
                  <w:tcBorders>
                    <w:tl2br w:val="nil"/>
                    <w:tr2bl w:val="nil"/>
                  </w:tcBorders>
                  <w:vAlign w:val="center"/>
                </w:tcPr>
                <w:p>
                  <w:pPr>
                    <w:pStyle w:val="15"/>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6</w:t>
                  </w:r>
                </w:p>
              </w:tc>
              <w:tc>
                <w:tcPr>
                  <w:tcW w:w="691" w:type="pct"/>
                  <w:tcBorders>
                    <w:tl2br w:val="nil"/>
                    <w:tr2bl w:val="nil"/>
                  </w:tcBorders>
                  <w:vAlign w:val="center"/>
                </w:tcPr>
                <w:p>
                  <w:pPr>
                    <w:pStyle w:val="15"/>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6</w:t>
                  </w:r>
                </w:p>
              </w:tc>
              <w:tc>
                <w:tcPr>
                  <w:tcW w:w="692" w:type="pct"/>
                  <w:tcBorders>
                    <w:tl2br w:val="nil"/>
                    <w:tr2bl w:val="nil"/>
                  </w:tcBorders>
                  <w:vAlign w:val="center"/>
                </w:tcPr>
                <w:p>
                  <w:pPr>
                    <w:pStyle w:val="15"/>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5</w:t>
                  </w:r>
                </w:p>
              </w:tc>
              <w:tc>
                <w:tcPr>
                  <w:tcW w:w="691" w:type="pct"/>
                  <w:tcBorders>
                    <w:tl2br w:val="nil"/>
                    <w:tr2bl w:val="nil"/>
                  </w:tcBorders>
                  <w:vAlign w:val="center"/>
                </w:tcPr>
                <w:p>
                  <w:pPr>
                    <w:pStyle w:val="15"/>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7</w:t>
                  </w:r>
                </w:p>
              </w:tc>
              <w:tc>
                <w:tcPr>
                  <w:tcW w:w="691" w:type="pct"/>
                  <w:tcBorders>
                    <w:tl2br w:val="nil"/>
                    <w:tr2bl w:val="nil"/>
                  </w:tcBorders>
                  <w:vAlign w:val="center"/>
                </w:tcPr>
                <w:p>
                  <w:pPr>
                    <w:pStyle w:val="15"/>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8</w:t>
                  </w:r>
                </w:p>
              </w:tc>
              <w:tc>
                <w:tcPr>
                  <w:tcW w:w="694" w:type="pct"/>
                  <w:tcBorders>
                    <w:tl2br w:val="nil"/>
                    <w:tr2bl w:val="nil"/>
                  </w:tcBorders>
                  <w:vAlign w:val="center"/>
                </w:tcPr>
                <w:p>
                  <w:pPr>
                    <w:pStyle w:val="15"/>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47" w:type="pct"/>
                  <w:tcBorders>
                    <w:tl2br w:val="nil"/>
                    <w:tr2bl w:val="nil"/>
                  </w:tcBorders>
                  <w:vAlign w:val="center"/>
                </w:tcPr>
                <w:p>
                  <w:pPr>
                    <w:pStyle w:val="15"/>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化学需氧量</w:t>
                  </w:r>
                </w:p>
              </w:tc>
              <w:tc>
                <w:tcPr>
                  <w:tcW w:w="691" w:type="pct"/>
                  <w:tcBorders>
                    <w:tl2br w:val="nil"/>
                    <w:tr2bl w:val="nil"/>
                  </w:tcBorders>
                  <w:vAlign w:val="center"/>
                </w:tcPr>
                <w:p>
                  <w:pPr>
                    <w:pStyle w:val="15"/>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9</w:t>
                  </w:r>
                </w:p>
              </w:tc>
              <w:tc>
                <w:tcPr>
                  <w:tcW w:w="691" w:type="pct"/>
                  <w:tcBorders>
                    <w:tl2br w:val="nil"/>
                    <w:tr2bl w:val="nil"/>
                  </w:tcBorders>
                  <w:vAlign w:val="center"/>
                </w:tcPr>
                <w:p>
                  <w:pPr>
                    <w:pStyle w:val="15"/>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8</w:t>
                  </w:r>
                </w:p>
              </w:tc>
              <w:tc>
                <w:tcPr>
                  <w:tcW w:w="692" w:type="pct"/>
                  <w:tcBorders>
                    <w:tl2br w:val="nil"/>
                    <w:tr2bl w:val="nil"/>
                  </w:tcBorders>
                  <w:vAlign w:val="center"/>
                </w:tcPr>
                <w:p>
                  <w:pPr>
                    <w:pStyle w:val="15"/>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7</w:t>
                  </w:r>
                </w:p>
              </w:tc>
              <w:tc>
                <w:tcPr>
                  <w:tcW w:w="691" w:type="pct"/>
                  <w:tcBorders>
                    <w:tl2br w:val="nil"/>
                    <w:tr2bl w:val="nil"/>
                  </w:tcBorders>
                  <w:vAlign w:val="center"/>
                </w:tcPr>
                <w:p>
                  <w:pPr>
                    <w:pStyle w:val="15"/>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11</w:t>
                  </w:r>
                </w:p>
              </w:tc>
              <w:tc>
                <w:tcPr>
                  <w:tcW w:w="691" w:type="pct"/>
                  <w:tcBorders>
                    <w:tl2br w:val="nil"/>
                    <w:tr2bl w:val="nil"/>
                  </w:tcBorders>
                  <w:vAlign w:val="center"/>
                </w:tcPr>
                <w:p>
                  <w:pPr>
                    <w:pStyle w:val="15"/>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12</w:t>
                  </w:r>
                </w:p>
              </w:tc>
              <w:tc>
                <w:tcPr>
                  <w:tcW w:w="694" w:type="pct"/>
                  <w:tcBorders>
                    <w:tl2br w:val="nil"/>
                    <w:tr2bl w:val="nil"/>
                  </w:tcBorders>
                  <w:vAlign w:val="center"/>
                </w:tcPr>
                <w:p>
                  <w:pPr>
                    <w:pStyle w:val="15"/>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47" w:type="pct"/>
                  <w:tcBorders>
                    <w:tl2br w:val="nil"/>
                    <w:tr2bl w:val="nil"/>
                  </w:tcBorders>
                  <w:vAlign w:val="center"/>
                </w:tcPr>
                <w:p>
                  <w:pPr>
                    <w:pStyle w:val="15"/>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五日生需氧量</w:t>
                  </w:r>
                </w:p>
              </w:tc>
              <w:tc>
                <w:tcPr>
                  <w:tcW w:w="691" w:type="pct"/>
                  <w:tcBorders>
                    <w:tl2br w:val="nil"/>
                    <w:tr2bl w:val="nil"/>
                  </w:tcBorders>
                  <w:vAlign w:val="center"/>
                </w:tcPr>
                <w:p>
                  <w:pPr>
                    <w:pStyle w:val="15"/>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2.2</w:t>
                  </w:r>
                </w:p>
              </w:tc>
              <w:tc>
                <w:tcPr>
                  <w:tcW w:w="691" w:type="pct"/>
                  <w:tcBorders>
                    <w:tl2br w:val="nil"/>
                    <w:tr2bl w:val="nil"/>
                  </w:tcBorders>
                  <w:vAlign w:val="center"/>
                </w:tcPr>
                <w:p>
                  <w:pPr>
                    <w:pStyle w:val="15"/>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1.6</w:t>
                  </w:r>
                </w:p>
              </w:tc>
              <w:tc>
                <w:tcPr>
                  <w:tcW w:w="692" w:type="pct"/>
                  <w:tcBorders>
                    <w:tl2br w:val="nil"/>
                    <w:tr2bl w:val="nil"/>
                  </w:tcBorders>
                  <w:vAlign w:val="center"/>
                </w:tcPr>
                <w:p>
                  <w:pPr>
                    <w:pStyle w:val="15"/>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1.5</w:t>
                  </w:r>
                </w:p>
              </w:tc>
              <w:tc>
                <w:tcPr>
                  <w:tcW w:w="691" w:type="pct"/>
                  <w:tcBorders>
                    <w:tl2br w:val="nil"/>
                    <w:tr2bl w:val="nil"/>
                  </w:tcBorders>
                  <w:vAlign w:val="center"/>
                </w:tcPr>
                <w:p>
                  <w:pPr>
                    <w:pStyle w:val="15"/>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3.1</w:t>
                  </w:r>
                </w:p>
              </w:tc>
              <w:tc>
                <w:tcPr>
                  <w:tcW w:w="691" w:type="pct"/>
                  <w:tcBorders>
                    <w:tl2br w:val="nil"/>
                    <w:tr2bl w:val="nil"/>
                  </w:tcBorders>
                  <w:vAlign w:val="center"/>
                </w:tcPr>
                <w:p>
                  <w:pPr>
                    <w:pStyle w:val="15"/>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3.4</w:t>
                  </w:r>
                </w:p>
              </w:tc>
              <w:tc>
                <w:tcPr>
                  <w:tcW w:w="694" w:type="pct"/>
                  <w:tcBorders>
                    <w:tl2br w:val="nil"/>
                    <w:tr2bl w:val="nil"/>
                  </w:tcBorders>
                  <w:vAlign w:val="center"/>
                </w:tcPr>
                <w:p>
                  <w:pPr>
                    <w:pStyle w:val="15"/>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47" w:type="pct"/>
                  <w:tcBorders>
                    <w:tl2br w:val="nil"/>
                    <w:tr2bl w:val="nil"/>
                  </w:tcBorders>
                  <w:vAlign w:val="center"/>
                </w:tcPr>
                <w:p>
                  <w:pPr>
                    <w:pStyle w:val="15"/>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氨氮</w:t>
                  </w:r>
                </w:p>
              </w:tc>
              <w:tc>
                <w:tcPr>
                  <w:tcW w:w="691" w:type="pct"/>
                  <w:tcBorders>
                    <w:tl2br w:val="nil"/>
                    <w:tr2bl w:val="nil"/>
                  </w:tcBorders>
                  <w:vAlign w:val="center"/>
                </w:tcPr>
                <w:p>
                  <w:pPr>
                    <w:pStyle w:val="15"/>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0.072</w:t>
                  </w:r>
                </w:p>
              </w:tc>
              <w:tc>
                <w:tcPr>
                  <w:tcW w:w="691" w:type="pct"/>
                  <w:tcBorders>
                    <w:tl2br w:val="nil"/>
                    <w:tr2bl w:val="nil"/>
                  </w:tcBorders>
                  <w:vAlign w:val="center"/>
                </w:tcPr>
                <w:p>
                  <w:pPr>
                    <w:pStyle w:val="15"/>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0.054</w:t>
                  </w:r>
                </w:p>
              </w:tc>
              <w:tc>
                <w:tcPr>
                  <w:tcW w:w="692" w:type="pct"/>
                  <w:tcBorders>
                    <w:tl2br w:val="nil"/>
                    <w:tr2bl w:val="nil"/>
                  </w:tcBorders>
                  <w:vAlign w:val="center"/>
                </w:tcPr>
                <w:p>
                  <w:pPr>
                    <w:pStyle w:val="15"/>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0.088</w:t>
                  </w:r>
                </w:p>
              </w:tc>
              <w:tc>
                <w:tcPr>
                  <w:tcW w:w="691" w:type="pct"/>
                  <w:tcBorders>
                    <w:tl2br w:val="nil"/>
                    <w:tr2bl w:val="nil"/>
                  </w:tcBorders>
                  <w:vAlign w:val="center"/>
                </w:tcPr>
                <w:p>
                  <w:pPr>
                    <w:pStyle w:val="15"/>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0.138</w:t>
                  </w:r>
                </w:p>
              </w:tc>
              <w:tc>
                <w:tcPr>
                  <w:tcW w:w="691" w:type="pct"/>
                  <w:tcBorders>
                    <w:tl2br w:val="nil"/>
                    <w:tr2bl w:val="nil"/>
                  </w:tcBorders>
                  <w:vAlign w:val="center"/>
                </w:tcPr>
                <w:p>
                  <w:pPr>
                    <w:pStyle w:val="15"/>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0.169</w:t>
                  </w:r>
                </w:p>
              </w:tc>
              <w:tc>
                <w:tcPr>
                  <w:tcW w:w="694" w:type="pct"/>
                  <w:tcBorders>
                    <w:tl2br w:val="nil"/>
                    <w:tr2bl w:val="nil"/>
                  </w:tcBorders>
                  <w:vAlign w:val="center"/>
                </w:tcPr>
                <w:p>
                  <w:pPr>
                    <w:pStyle w:val="15"/>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0.119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47" w:type="pct"/>
                  <w:tcBorders>
                    <w:tl2br w:val="nil"/>
                    <w:tr2bl w:val="nil"/>
                  </w:tcBorders>
                  <w:vAlign w:val="center"/>
                </w:tcPr>
                <w:p>
                  <w:pPr>
                    <w:pStyle w:val="15"/>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总磷</w:t>
                  </w:r>
                </w:p>
              </w:tc>
              <w:tc>
                <w:tcPr>
                  <w:tcW w:w="691" w:type="pct"/>
                  <w:tcBorders>
                    <w:tl2br w:val="nil"/>
                    <w:tr2bl w:val="nil"/>
                  </w:tcBorders>
                  <w:vAlign w:val="center"/>
                </w:tcPr>
                <w:p>
                  <w:pPr>
                    <w:pStyle w:val="15"/>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0.05</w:t>
                  </w:r>
                </w:p>
              </w:tc>
              <w:tc>
                <w:tcPr>
                  <w:tcW w:w="691" w:type="pct"/>
                  <w:tcBorders>
                    <w:tl2br w:val="nil"/>
                    <w:tr2bl w:val="nil"/>
                  </w:tcBorders>
                  <w:vAlign w:val="center"/>
                </w:tcPr>
                <w:p>
                  <w:pPr>
                    <w:pStyle w:val="15"/>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0.06</w:t>
                  </w:r>
                </w:p>
              </w:tc>
              <w:tc>
                <w:tcPr>
                  <w:tcW w:w="692" w:type="pct"/>
                  <w:tcBorders>
                    <w:tl2br w:val="nil"/>
                    <w:tr2bl w:val="nil"/>
                  </w:tcBorders>
                  <w:vAlign w:val="center"/>
                </w:tcPr>
                <w:p>
                  <w:pPr>
                    <w:pStyle w:val="15"/>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0.05</w:t>
                  </w:r>
                </w:p>
              </w:tc>
              <w:tc>
                <w:tcPr>
                  <w:tcW w:w="691" w:type="pct"/>
                  <w:tcBorders>
                    <w:tl2br w:val="nil"/>
                    <w:tr2bl w:val="nil"/>
                  </w:tcBorders>
                  <w:vAlign w:val="center"/>
                </w:tcPr>
                <w:p>
                  <w:pPr>
                    <w:pStyle w:val="15"/>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0.05</w:t>
                  </w:r>
                </w:p>
              </w:tc>
              <w:tc>
                <w:tcPr>
                  <w:tcW w:w="691" w:type="pct"/>
                  <w:tcBorders>
                    <w:tl2br w:val="nil"/>
                    <w:tr2bl w:val="nil"/>
                  </w:tcBorders>
                  <w:vAlign w:val="center"/>
                </w:tcPr>
                <w:p>
                  <w:pPr>
                    <w:pStyle w:val="15"/>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0.06</w:t>
                  </w:r>
                </w:p>
              </w:tc>
              <w:tc>
                <w:tcPr>
                  <w:tcW w:w="694" w:type="pct"/>
                  <w:tcBorders>
                    <w:tl2br w:val="nil"/>
                    <w:tr2bl w:val="nil"/>
                  </w:tcBorders>
                  <w:vAlign w:val="center"/>
                </w:tcPr>
                <w:p>
                  <w:pPr>
                    <w:pStyle w:val="15"/>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47" w:type="pct"/>
                  <w:tcBorders>
                    <w:tl2br w:val="nil"/>
                    <w:tr2bl w:val="nil"/>
                  </w:tcBorders>
                  <w:vAlign w:val="center"/>
                </w:tcPr>
                <w:p>
                  <w:pPr>
                    <w:pStyle w:val="15"/>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总氮</w:t>
                  </w:r>
                </w:p>
              </w:tc>
              <w:tc>
                <w:tcPr>
                  <w:tcW w:w="691" w:type="pct"/>
                  <w:tcBorders>
                    <w:tl2br w:val="nil"/>
                    <w:tr2bl w:val="nil"/>
                  </w:tcBorders>
                  <w:vAlign w:val="center"/>
                </w:tcPr>
                <w:p>
                  <w:pPr>
                    <w:pStyle w:val="15"/>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0.66</w:t>
                  </w:r>
                </w:p>
              </w:tc>
              <w:tc>
                <w:tcPr>
                  <w:tcW w:w="691" w:type="pct"/>
                  <w:tcBorders>
                    <w:tl2br w:val="nil"/>
                    <w:tr2bl w:val="nil"/>
                  </w:tcBorders>
                  <w:vAlign w:val="center"/>
                </w:tcPr>
                <w:p>
                  <w:pPr>
                    <w:pStyle w:val="15"/>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0.58</w:t>
                  </w:r>
                </w:p>
              </w:tc>
              <w:tc>
                <w:tcPr>
                  <w:tcW w:w="692" w:type="pct"/>
                  <w:tcBorders>
                    <w:tl2br w:val="nil"/>
                    <w:tr2bl w:val="nil"/>
                  </w:tcBorders>
                  <w:vAlign w:val="center"/>
                </w:tcPr>
                <w:p>
                  <w:pPr>
                    <w:pStyle w:val="15"/>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0.53</w:t>
                  </w:r>
                </w:p>
              </w:tc>
              <w:tc>
                <w:tcPr>
                  <w:tcW w:w="691" w:type="pct"/>
                  <w:tcBorders>
                    <w:tl2br w:val="nil"/>
                    <w:tr2bl w:val="nil"/>
                  </w:tcBorders>
                  <w:vAlign w:val="center"/>
                </w:tcPr>
                <w:p>
                  <w:pPr>
                    <w:pStyle w:val="15"/>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0.80</w:t>
                  </w:r>
                </w:p>
              </w:tc>
              <w:tc>
                <w:tcPr>
                  <w:tcW w:w="691" w:type="pct"/>
                  <w:tcBorders>
                    <w:tl2br w:val="nil"/>
                    <w:tr2bl w:val="nil"/>
                  </w:tcBorders>
                  <w:vAlign w:val="center"/>
                </w:tcPr>
                <w:p>
                  <w:pPr>
                    <w:pStyle w:val="15"/>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0.84</w:t>
                  </w:r>
                </w:p>
              </w:tc>
              <w:tc>
                <w:tcPr>
                  <w:tcW w:w="694" w:type="pct"/>
                  <w:tcBorders>
                    <w:tl2br w:val="nil"/>
                    <w:tr2bl w:val="nil"/>
                  </w:tcBorders>
                  <w:vAlign w:val="center"/>
                </w:tcPr>
                <w:p>
                  <w:pPr>
                    <w:pStyle w:val="15"/>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0.74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47" w:type="pct"/>
                  <w:tcBorders>
                    <w:tl2br w:val="nil"/>
                    <w:tr2bl w:val="nil"/>
                  </w:tcBorders>
                  <w:vAlign w:val="center"/>
                </w:tcPr>
                <w:p>
                  <w:pPr>
                    <w:pStyle w:val="15"/>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石油类</w:t>
                  </w:r>
                </w:p>
              </w:tc>
              <w:tc>
                <w:tcPr>
                  <w:tcW w:w="691" w:type="pct"/>
                  <w:tcBorders>
                    <w:tl2br w:val="nil"/>
                    <w:tr2bl w:val="nil"/>
                  </w:tcBorders>
                  <w:vAlign w:val="center"/>
                </w:tcPr>
                <w:p>
                  <w:pPr>
                    <w:pStyle w:val="15"/>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0.01L</w:t>
                  </w:r>
                </w:p>
              </w:tc>
              <w:tc>
                <w:tcPr>
                  <w:tcW w:w="691" w:type="pct"/>
                  <w:tcBorders>
                    <w:tl2br w:val="nil"/>
                    <w:tr2bl w:val="nil"/>
                  </w:tcBorders>
                  <w:vAlign w:val="center"/>
                </w:tcPr>
                <w:p>
                  <w:pPr>
                    <w:pStyle w:val="15"/>
                    <w:bidi w:val="0"/>
                    <w:ind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0.01L</w:t>
                  </w:r>
                </w:p>
              </w:tc>
              <w:tc>
                <w:tcPr>
                  <w:tcW w:w="692" w:type="pct"/>
                  <w:tcBorders>
                    <w:tl2br w:val="nil"/>
                    <w:tr2bl w:val="nil"/>
                  </w:tcBorders>
                  <w:vAlign w:val="center"/>
                </w:tcPr>
                <w:p>
                  <w:pPr>
                    <w:pStyle w:val="15"/>
                    <w:bidi w:val="0"/>
                    <w:ind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0.01L</w:t>
                  </w:r>
                </w:p>
              </w:tc>
              <w:tc>
                <w:tcPr>
                  <w:tcW w:w="691" w:type="pct"/>
                  <w:tcBorders>
                    <w:tl2br w:val="nil"/>
                    <w:tr2bl w:val="nil"/>
                  </w:tcBorders>
                  <w:vAlign w:val="center"/>
                </w:tcPr>
                <w:p>
                  <w:pPr>
                    <w:pStyle w:val="15"/>
                    <w:bidi w:val="0"/>
                    <w:ind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0.01L</w:t>
                  </w:r>
                </w:p>
              </w:tc>
              <w:tc>
                <w:tcPr>
                  <w:tcW w:w="691" w:type="pct"/>
                  <w:tcBorders>
                    <w:tl2br w:val="nil"/>
                    <w:tr2bl w:val="nil"/>
                  </w:tcBorders>
                  <w:vAlign w:val="center"/>
                </w:tcPr>
                <w:p>
                  <w:pPr>
                    <w:pStyle w:val="15"/>
                    <w:bidi w:val="0"/>
                    <w:ind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0.01L</w:t>
                  </w:r>
                </w:p>
              </w:tc>
              <w:tc>
                <w:tcPr>
                  <w:tcW w:w="694" w:type="pct"/>
                  <w:tcBorders>
                    <w:tl2br w:val="nil"/>
                    <w:tr2bl w:val="nil"/>
                  </w:tcBorders>
                  <w:vAlign w:val="center"/>
                </w:tcPr>
                <w:p>
                  <w:pPr>
                    <w:pStyle w:val="15"/>
                    <w:bidi w:val="0"/>
                    <w:ind w:firstLine="0" w:firstLineChars="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0.01L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47" w:type="pct"/>
                  <w:tcBorders>
                    <w:tl2br w:val="nil"/>
                    <w:tr2bl w:val="nil"/>
                  </w:tcBorders>
                  <w:vAlign w:val="center"/>
                </w:tcPr>
                <w:p>
                  <w:pPr>
                    <w:pStyle w:val="15"/>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粪大肠菌群（MPN/L）</w:t>
                  </w:r>
                </w:p>
              </w:tc>
              <w:tc>
                <w:tcPr>
                  <w:tcW w:w="691" w:type="pct"/>
                  <w:tcBorders>
                    <w:tl2br w:val="nil"/>
                    <w:tr2bl w:val="nil"/>
                  </w:tcBorders>
                  <w:vAlign w:val="center"/>
                </w:tcPr>
                <w:p>
                  <w:pPr>
                    <w:pStyle w:val="15"/>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2.3×10</w:t>
                  </w:r>
                  <w:r>
                    <w:rPr>
                      <w:rFonts w:hint="default" w:ascii="Times New Roman" w:hAnsi="Times New Roman" w:cs="Times New Roman"/>
                      <w:highlight w:val="none"/>
                      <w:vertAlign w:val="superscript"/>
                      <w:lang w:val="en-US" w:eastAsia="zh-CN"/>
                    </w:rPr>
                    <w:t>2</w:t>
                  </w:r>
                </w:p>
              </w:tc>
              <w:tc>
                <w:tcPr>
                  <w:tcW w:w="691" w:type="pct"/>
                  <w:tcBorders>
                    <w:tl2br w:val="nil"/>
                    <w:tr2bl w:val="nil"/>
                  </w:tcBorders>
                  <w:vAlign w:val="center"/>
                </w:tcPr>
                <w:p>
                  <w:pPr>
                    <w:pStyle w:val="15"/>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2.5×10</w:t>
                  </w:r>
                  <w:r>
                    <w:rPr>
                      <w:rFonts w:hint="default" w:ascii="Times New Roman" w:hAnsi="Times New Roman" w:cs="Times New Roman"/>
                      <w:highlight w:val="none"/>
                      <w:vertAlign w:val="superscript"/>
                      <w:lang w:val="en-US" w:eastAsia="zh-CN"/>
                    </w:rPr>
                    <w:t>2</w:t>
                  </w:r>
                </w:p>
              </w:tc>
              <w:tc>
                <w:tcPr>
                  <w:tcW w:w="692" w:type="pct"/>
                  <w:tcBorders>
                    <w:tl2br w:val="nil"/>
                    <w:tr2bl w:val="nil"/>
                  </w:tcBorders>
                  <w:vAlign w:val="center"/>
                </w:tcPr>
                <w:p>
                  <w:pPr>
                    <w:pStyle w:val="15"/>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2.9×10</w:t>
                  </w:r>
                  <w:r>
                    <w:rPr>
                      <w:rFonts w:hint="default" w:ascii="Times New Roman" w:hAnsi="Times New Roman" w:cs="Times New Roman"/>
                      <w:highlight w:val="none"/>
                      <w:vertAlign w:val="superscript"/>
                      <w:lang w:val="en-US" w:eastAsia="zh-CN"/>
                    </w:rPr>
                    <w:t>2</w:t>
                  </w:r>
                </w:p>
              </w:tc>
              <w:tc>
                <w:tcPr>
                  <w:tcW w:w="691" w:type="pct"/>
                  <w:tcBorders>
                    <w:tl2br w:val="nil"/>
                    <w:tr2bl w:val="nil"/>
                  </w:tcBorders>
                  <w:vAlign w:val="center"/>
                </w:tcPr>
                <w:p>
                  <w:pPr>
                    <w:pStyle w:val="15"/>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2.8×10</w:t>
                  </w:r>
                  <w:r>
                    <w:rPr>
                      <w:rFonts w:hint="default" w:ascii="Times New Roman" w:hAnsi="Times New Roman" w:cs="Times New Roman"/>
                      <w:highlight w:val="none"/>
                      <w:vertAlign w:val="superscript"/>
                      <w:lang w:val="en-US" w:eastAsia="zh-CN"/>
                    </w:rPr>
                    <w:t>2</w:t>
                  </w:r>
                </w:p>
              </w:tc>
              <w:tc>
                <w:tcPr>
                  <w:tcW w:w="691" w:type="pct"/>
                  <w:tcBorders>
                    <w:tl2br w:val="nil"/>
                    <w:tr2bl w:val="nil"/>
                  </w:tcBorders>
                  <w:vAlign w:val="center"/>
                </w:tcPr>
                <w:p>
                  <w:pPr>
                    <w:pStyle w:val="15"/>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7.6×10</w:t>
                  </w:r>
                  <w:r>
                    <w:rPr>
                      <w:rFonts w:hint="default" w:ascii="Times New Roman" w:hAnsi="Times New Roman" w:cs="Times New Roman"/>
                      <w:highlight w:val="none"/>
                      <w:vertAlign w:val="superscript"/>
                      <w:lang w:val="en-US" w:eastAsia="zh-CN"/>
                    </w:rPr>
                    <w:t>2</w:t>
                  </w:r>
                </w:p>
              </w:tc>
              <w:tc>
                <w:tcPr>
                  <w:tcW w:w="694" w:type="pct"/>
                  <w:tcBorders>
                    <w:tl2br w:val="nil"/>
                    <w:tr2bl w:val="nil"/>
                  </w:tcBorders>
                  <w:vAlign w:val="center"/>
                </w:tcPr>
                <w:p>
                  <w:pPr>
                    <w:pStyle w:val="15"/>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4.9×10</w:t>
                  </w:r>
                  <w:r>
                    <w:rPr>
                      <w:rFonts w:hint="default" w:ascii="Times New Roman" w:hAnsi="Times New Roman" w:cs="Times New Roman"/>
                      <w:highlight w:val="none"/>
                      <w:vertAlign w:val="superscript"/>
                      <w:lang w:val="en-US" w:eastAsia="zh-CN"/>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00" w:type="pct"/>
                  <w:gridSpan w:val="7"/>
                  <w:tcBorders>
                    <w:tl2br w:val="nil"/>
                    <w:tr2bl w:val="nil"/>
                  </w:tcBorders>
                  <w:vAlign w:val="center"/>
                </w:tcPr>
                <w:p>
                  <w:pPr>
                    <w:pStyle w:val="15"/>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备注：检测结果“检出限+L”表示未检出</w:t>
                  </w:r>
                </w:p>
              </w:tc>
            </w:tr>
          </w:tbl>
          <w:p>
            <w:pPr>
              <w:spacing w:line="360" w:lineRule="auto"/>
              <w:ind w:firstLine="480" w:firstLineChars="200"/>
              <w:rPr>
                <w:rFonts w:hint="default" w:ascii="Times New Roman" w:hAnsi="Times New Roman" w:eastAsia="宋体" w:cs="Times New Roman"/>
                <w:b/>
                <w:color w:val="auto"/>
                <w:highlight w:val="none"/>
              </w:rPr>
            </w:pPr>
            <w:r>
              <w:rPr>
                <w:rFonts w:hint="default" w:ascii="Times New Roman" w:hAnsi="Times New Roman" w:eastAsia="宋体" w:cs="Times New Roman"/>
                <w:bCs/>
                <w:color w:val="auto"/>
                <w:sz w:val="24"/>
                <w:highlight w:val="none"/>
              </w:rPr>
              <w:t>将各评价参数的实测浓度值和相应的评价标准限值代入公式，得到的结果见表3-</w:t>
            </w:r>
            <w:r>
              <w:rPr>
                <w:rFonts w:hint="default" w:ascii="Times New Roman" w:hAnsi="Times New Roman" w:eastAsia="宋体" w:cs="Times New Roman"/>
                <w:bCs/>
                <w:color w:val="auto"/>
                <w:sz w:val="24"/>
                <w:highlight w:val="none"/>
                <w:lang w:val="en-US" w:eastAsia="zh-CN"/>
              </w:rPr>
              <w:t>5</w:t>
            </w:r>
            <w:r>
              <w:rPr>
                <w:rFonts w:hint="default" w:ascii="Times New Roman" w:hAnsi="Times New Roman" w:eastAsia="宋体" w:cs="Times New Roman"/>
                <w:bCs/>
                <w:color w:val="auto"/>
                <w:sz w:val="24"/>
                <w:highlight w:val="none"/>
              </w:rPr>
              <w:t>。</w:t>
            </w:r>
          </w:p>
          <w:p>
            <w:pPr>
              <w:pStyle w:val="16"/>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表3-5  地表水评价结果</w:t>
            </w:r>
          </w:p>
          <w:tbl>
            <w:tblPr>
              <w:tblStyle w:val="12"/>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66"/>
              <w:gridCol w:w="1152"/>
              <w:gridCol w:w="1152"/>
              <w:gridCol w:w="1154"/>
              <w:gridCol w:w="1152"/>
              <w:gridCol w:w="1152"/>
              <w:gridCol w:w="1154"/>
              <w:gridCol w:w="42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1" w:hRule="atLeast"/>
              </w:trPr>
              <w:tc>
                <w:tcPr>
                  <w:tcW w:w="735" w:type="pct"/>
                  <w:vMerge w:val="restart"/>
                  <w:tcBorders>
                    <w:tl2br w:val="nil"/>
                    <w:tr2bl w:val="nil"/>
                  </w:tcBorders>
                  <w:vAlign w:val="center"/>
                  <mc:AlternateContent>
                    <mc:Choice Requires="wpsCustomData">
                      <wpsCustomData:diagonals>
                        <wpsCustomData:diagonal from="10000" to="30000">
                          <wpsCustomData:border w:val="single" w:color="auto" w:sz="12" w:space="0"/>
                        </wpsCustomData:diagonal>
                      </wpsCustomData:diagonals>
                    </mc:Choice>
                  </mc:AlternateContent>
                </w:tcPr>
                <w:p>
                  <w:pPr>
                    <w:pStyle w:val="15"/>
                    <w:bidi w:val="0"/>
                    <w:snapToGrid w:val="0"/>
                    <w:spacing w:line="240" w:lineRule="auto"/>
                    <w:jc w:val="center"/>
                    <w:rPr>
                      <w:rFonts w:hint="default" w:ascii="Times New Roman" w:hAnsi="Times New Roman" w:cs="Times New Roman"/>
                      <w:b/>
                      <w:bCs/>
                      <w:highlight w:val="none"/>
                      <w:lang w:val="en-US" w:eastAsia="zh-CN"/>
                    </w:rPr>
                  </w:pPr>
                </w:p>
                <w:p>
                  <w:pPr>
                    <w:jc w:val="center"/>
                    <w:rPr>
                      <w:rFonts w:hint="default" w:ascii="Times New Roman" w:hAnsi="Times New Roman" w:cs="Times New Roman"/>
                      <w:b/>
                      <w:bCs/>
                      <w:highlight w:val="none"/>
                      <w:lang w:val="en-US" w:eastAsia="zh-CN"/>
                    </w:rPr>
                  </w:pPr>
                </w:p>
                <w:p>
                  <w:pPr>
                    <w:pStyle w:val="15"/>
                    <w:bidi w:val="0"/>
                    <w:snapToGrid w:val="0"/>
                    <w:spacing w:line="240" w:lineRule="auto"/>
                    <w:ind w:firstLine="0" w:firstLineChars="0"/>
                    <w:jc w:val="center"/>
                    <w:rPr>
                      <w:rFonts w:hint="default" w:ascii="Times New Roman" w:hAnsi="Times New Roman" w:cs="Times New Roman"/>
                      <w:b/>
                      <w:bCs/>
                      <w:highlight w:val="none"/>
                      <w:lang w:val="en-US" w:eastAsia="zh-CN"/>
                    </w:rPr>
                  </w:pPr>
                  <w:r>
                    <w:rPr>
                      <w:rFonts w:hint="default" w:ascii="Times New Roman" w:hAnsi="Times New Roman" w:cs="Times New Roman"/>
                      <w:b/>
                      <w:bCs/>
                      <w:highlight w:val="none"/>
                      <w:lang w:val="en-US" w:eastAsia="zh-CN"/>
                    </w:rPr>
                    <w:t>检测因子</w:t>
                  </w:r>
                </w:p>
                <w:p>
                  <w:pPr>
                    <w:jc w:val="center"/>
                    <mc:AlternateContent>
                      <mc:Choice Requires="wpsCustomData">
                        <wpsCustomData:diagonalParaType/>
                      </mc:Choice>
                    </mc:AlternateContent>
                    <w:rPr>
                      <w:rFonts w:hint="default" w:ascii="Times New Roman" w:hAnsi="Times New Roman" w:cs="Times New Roman"/>
                      <w:b/>
                      <w:bCs/>
                      <w:highlight w:val="none"/>
                      <w:lang w:val="en-US" w:eastAsia="zh-CN"/>
                    </w:rPr>
                  </w:pPr>
                </w:p>
                <w:p>
                  <w:pPr>
                    <w:pStyle w:val="15"/>
                    <w:bidi w:val="0"/>
                    <w:jc w:val="center"/>
                    <w:rPr>
                      <w:rFonts w:hint="default" w:ascii="Times New Roman" w:hAnsi="Times New Roman" w:cs="Times New Roman"/>
                      <w:b/>
                      <w:bCs/>
                      <w:highlight w:val="none"/>
                      <w:lang w:val="en-US" w:eastAsia="zh-CN"/>
                    </w:rPr>
                  </w:pPr>
                  <w:r>
                    <w:rPr>
                      <w:rFonts w:hint="default" w:ascii="Times New Roman" w:hAnsi="Times New Roman" w:cs="Times New Roman"/>
                      <w:b/>
                      <w:bCs/>
                      <w:highlight w:val="none"/>
                      <w:lang w:val="en-US" w:eastAsia="zh-CN"/>
                    </w:rPr>
                    <w:t>点位及采样时间</w:t>
                  </w:r>
                </w:p>
              </w:tc>
              <w:tc>
                <w:tcPr>
                  <w:tcW w:w="2008" w:type="pct"/>
                  <w:gridSpan w:val="3"/>
                  <w:tcBorders>
                    <w:tl2br w:val="nil"/>
                    <w:tr2bl w:val="nil"/>
                  </w:tcBorders>
                  <w:vAlign w:val="center"/>
                </w:tcPr>
                <w:p>
                  <w:pPr>
                    <w:pStyle w:val="15"/>
                    <w:bidi w:val="0"/>
                    <w:jc w:val="center"/>
                    <w:rPr>
                      <w:rFonts w:hint="default" w:ascii="Times New Roman" w:hAnsi="Times New Roman" w:cs="Times New Roman"/>
                      <w:b/>
                      <w:bCs/>
                      <w:highlight w:val="none"/>
                      <w:lang w:val="en-US" w:eastAsia="zh-CN"/>
                    </w:rPr>
                  </w:pPr>
                  <w:r>
                    <w:rPr>
                      <w:rFonts w:hint="default" w:ascii="Times New Roman" w:hAnsi="Times New Roman" w:cs="Times New Roman"/>
                      <w:b/>
                      <w:bCs/>
                      <w:highlight w:val="none"/>
                      <w:lang w:val="en-US" w:eastAsia="zh-CN"/>
                    </w:rPr>
                    <w:t>G5，</w:t>
                  </w:r>
                  <w:r>
                    <w:rPr>
                      <w:rFonts w:hint="default" w:ascii="Times New Roman" w:hAnsi="Times New Roman" w:cs="Times New Roman"/>
                      <w:b/>
                      <w:bCs/>
                      <w:color w:val="auto"/>
                      <w:sz w:val="21"/>
                      <w:szCs w:val="21"/>
                      <w:highlight w:val="none"/>
                      <w:lang w:val="en-US" w:eastAsia="zh-CN"/>
                    </w:rPr>
                    <w:t>胡家河冯家沟</w:t>
                  </w:r>
                </w:p>
              </w:tc>
              <w:tc>
                <w:tcPr>
                  <w:tcW w:w="2008" w:type="pct"/>
                  <w:gridSpan w:val="3"/>
                  <w:tcBorders>
                    <w:tl2br w:val="nil"/>
                    <w:tr2bl w:val="nil"/>
                  </w:tcBorders>
                  <w:vAlign w:val="center"/>
                </w:tcPr>
                <w:p>
                  <w:pPr>
                    <w:pStyle w:val="15"/>
                    <w:bidi w:val="0"/>
                    <w:jc w:val="center"/>
                    <w:rPr>
                      <w:rFonts w:hint="default" w:ascii="Times New Roman" w:hAnsi="Times New Roman" w:cs="Times New Roman"/>
                      <w:b/>
                      <w:bCs/>
                      <w:highlight w:val="none"/>
                      <w:lang w:val="en-US" w:eastAsia="zh-CN"/>
                    </w:rPr>
                  </w:pPr>
                  <w:r>
                    <w:rPr>
                      <w:rFonts w:hint="default" w:ascii="Times New Roman" w:hAnsi="Times New Roman" w:cs="Times New Roman"/>
                      <w:b/>
                      <w:bCs/>
                      <w:color w:val="auto"/>
                      <w:sz w:val="21"/>
                      <w:szCs w:val="21"/>
                      <w:highlight w:val="none"/>
                      <w:lang w:val="en-US" w:eastAsia="zh-CN"/>
                    </w:rPr>
                    <w:t>G6，新桥河黑滩取水口</w:t>
                  </w:r>
                </w:p>
              </w:tc>
              <w:tc>
                <w:tcPr>
                  <w:tcW w:w="247" w:type="pct"/>
                  <w:vMerge w:val="restart"/>
                  <w:tcBorders>
                    <w:tl2br w:val="nil"/>
                    <w:tr2bl w:val="nil"/>
                  </w:tcBorders>
                  <w:vAlign w:val="center"/>
                </w:tcPr>
                <w:p>
                  <w:pPr>
                    <w:pStyle w:val="15"/>
                    <w:bidi w:val="0"/>
                    <w:jc w:val="center"/>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18" w:hRule="atLeast"/>
              </w:trPr>
              <w:tc>
                <w:tcPr>
                  <w:tcW w:w="735" w:type="pct"/>
                  <w:vMerge w:val="continue"/>
                  <w:tcBorders>
                    <w:tl2br w:val="nil"/>
                    <w:tr2bl w:val="nil"/>
                  </w:tcBorders>
                  <w:vAlign w:val="center"/>
                </w:tcPr>
                <w:p>
                  <w:pPr>
                    <w:pStyle w:val="15"/>
                    <w:bidi w:val="0"/>
                    <w:jc w:val="center"/>
                    <w:rPr>
                      <w:rFonts w:hint="default" w:ascii="Times New Roman" w:hAnsi="Times New Roman" w:cs="Times New Roman"/>
                      <w:b/>
                      <w:bCs/>
                      <w:highlight w:val="none"/>
                      <w:lang w:val="en-US" w:eastAsia="zh-CN"/>
                    </w:rPr>
                  </w:pPr>
                </w:p>
              </w:tc>
              <w:tc>
                <w:tcPr>
                  <w:tcW w:w="669" w:type="pct"/>
                  <w:tcBorders>
                    <w:tl2br w:val="nil"/>
                    <w:tr2bl w:val="nil"/>
                  </w:tcBorders>
                  <w:vAlign w:val="center"/>
                </w:tcPr>
                <w:p>
                  <w:pPr>
                    <w:pStyle w:val="15"/>
                    <w:bidi w:val="0"/>
                    <w:jc w:val="center"/>
                    <w:rPr>
                      <w:rFonts w:hint="default" w:ascii="Times New Roman" w:hAnsi="Times New Roman" w:cs="Times New Roman"/>
                      <w:b/>
                      <w:bCs/>
                      <w:highlight w:val="none"/>
                      <w:lang w:val="en-US" w:eastAsia="zh-CN"/>
                    </w:rPr>
                  </w:pPr>
                  <w:r>
                    <w:rPr>
                      <w:rFonts w:hint="default" w:ascii="Times New Roman" w:hAnsi="Times New Roman" w:cs="Times New Roman"/>
                      <w:b/>
                      <w:bCs/>
                      <w:highlight w:val="none"/>
                      <w:lang w:val="en-US" w:eastAsia="zh-CN"/>
                    </w:rPr>
                    <w:t>2023.01.15</w:t>
                  </w:r>
                </w:p>
              </w:tc>
              <w:tc>
                <w:tcPr>
                  <w:tcW w:w="669" w:type="pct"/>
                  <w:tcBorders>
                    <w:tl2br w:val="nil"/>
                    <w:tr2bl w:val="nil"/>
                  </w:tcBorders>
                  <w:vAlign w:val="center"/>
                </w:tcPr>
                <w:p>
                  <w:pPr>
                    <w:pStyle w:val="15"/>
                    <w:bidi w:val="0"/>
                    <w:jc w:val="center"/>
                    <w:rPr>
                      <w:rFonts w:hint="default" w:ascii="Times New Roman" w:hAnsi="Times New Roman" w:cs="Times New Roman"/>
                      <w:b/>
                      <w:bCs/>
                      <w:highlight w:val="none"/>
                      <w:lang w:val="en-US" w:eastAsia="zh-CN"/>
                    </w:rPr>
                  </w:pPr>
                  <w:r>
                    <w:rPr>
                      <w:rFonts w:hint="default" w:ascii="Times New Roman" w:hAnsi="Times New Roman" w:cs="Times New Roman"/>
                      <w:b/>
                      <w:bCs/>
                      <w:highlight w:val="none"/>
                      <w:lang w:val="en-US" w:eastAsia="zh-CN"/>
                    </w:rPr>
                    <w:t>2023.04.16</w:t>
                  </w:r>
                </w:p>
              </w:tc>
              <w:tc>
                <w:tcPr>
                  <w:tcW w:w="670" w:type="pct"/>
                  <w:tcBorders>
                    <w:tl2br w:val="nil"/>
                    <w:tr2bl w:val="nil"/>
                  </w:tcBorders>
                  <w:vAlign w:val="center"/>
                </w:tcPr>
                <w:p>
                  <w:pPr>
                    <w:pStyle w:val="15"/>
                    <w:bidi w:val="0"/>
                    <w:jc w:val="center"/>
                    <w:rPr>
                      <w:rFonts w:hint="default" w:ascii="Times New Roman" w:hAnsi="Times New Roman" w:cs="Times New Roman"/>
                      <w:b/>
                      <w:bCs/>
                      <w:highlight w:val="none"/>
                      <w:lang w:val="en-US" w:eastAsia="zh-CN"/>
                    </w:rPr>
                  </w:pPr>
                  <w:r>
                    <w:rPr>
                      <w:rFonts w:hint="default" w:ascii="Times New Roman" w:hAnsi="Times New Roman" w:cs="Times New Roman"/>
                      <w:b/>
                      <w:bCs/>
                      <w:highlight w:val="none"/>
                      <w:lang w:val="en-US" w:eastAsia="zh-CN"/>
                    </w:rPr>
                    <w:t>2023.04.17</w:t>
                  </w:r>
                </w:p>
              </w:tc>
              <w:tc>
                <w:tcPr>
                  <w:tcW w:w="669" w:type="pct"/>
                  <w:tcBorders>
                    <w:tl2br w:val="nil"/>
                    <w:tr2bl w:val="nil"/>
                  </w:tcBorders>
                  <w:vAlign w:val="center"/>
                </w:tcPr>
                <w:p>
                  <w:pPr>
                    <w:pStyle w:val="15"/>
                    <w:bidi w:val="0"/>
                    <w:ind w:firstLine="0" w:firstLineChars="0"/>
                    <w:jc w:val="center"/>
                    <w:rPr>
                      <w:rFonts w:hint="default" w:ascii="Times New Roman" w:hAnsi="Times New Roman" w:eastAsia="宋体" w:cs="Times New Roman"/>
                      <w:b/>
                      <w:bCs/>
                      <w:kern w:val="2"/>
                      <w:sz w:val="21"/>
                      <w:szCs w:val="21"/>
                      <w:highlight w:val="none"/>
                      <w:lang w:val="en-US" w:eastAsia="zh-CN" w:bidi="ar-SA"/>
                    </w:rPr>
                  </w:pPr>
                  <w:r>
                    <w:rPr>
                      <w:rFonts w:hint="default" w:ascii="Times New Roman" w:hAnsi="Times New Roman" w:cs="Times New Roman"/>
                      <w:b/>
                      <w:bCs/>
                      <w:highlight w:val="none"/>
                      <w:lang w:val="en-US" w:eastAsia="zh-CN"/>
                    </w:rPr>
                    <w:t>2023.01.15</w:t>
                  </w:r>
                </w:p>
              </w:tc>
              <w:tc>
                <w:tcPr>
                  <w:tcW w:w="669" w:type="pct"/>
                  <w:tcBorders>
                    <w:tl2br w:val="nil"/>
                    <w:tr2bl w:val="nil"/>
                  </w:tcBorders>
                  <w:vAlign w:val="center"/>
                </w:tcPr>
                <w:p>
                  <w:pPr>
                    <w:pStyle w:val="15"/>
                    <w:bidi w:val="0"/>
                    <w:ind w:firstLine="0" w:firstLineChars="0"/>
                    <w:jc w:val="center"/>
                    <w:rPr>
                      <w:rFonts w:hint="default" w:ascii="Times New Roman" w:hAnsi="Times New Roman" w:eastAsia="宋体" w:cs="Times New Roman"/>
                      <w:b/>
                      <w:bCs/>
                      <w:kern w:val="2"/>
                      <w:sz w:val="21"/>
                      <w:szCs w:val="21"/>
                      <w:highlight w:val="none"/>
                      <w:lang w:val="en-US" w:eastAsia="zh-CN" w:bidi="ar-SA"/>
                    </w:rPr>
                  </w:pPr>
                  <w:r>
                    <w:rPr>
                      <w:rFonts w:hint="default" w:ascii="Times New Roman" w:hAnsi="Times New Roman" w:cs="Times New Roman"/>
                      <w:b/>
                      <w:bCs/>
                      <w:highlight w:val="none"/>
                      <w:lang w:val="en-US" w:eastAsia="zh-CN"/>
                    </w:rPr>
                    <w:t>2023.04.16</w:t>
                  </w:r>
                </w:p>
              </w:tc>
              <w:tc>
                <w:tcPr>
                  <w:tcW w:w="670" w:type="pct"/>
                  <w:tcBorders>
                    <w:tl2br w:val="nil"/>
                    <w:tr2bl w:val="nil"/>
                  </w:tcBorders>
                  <w:vAlign w:val="center"/>
                </w:tcPr>
                <w:p>
                  <w:pPr>
                    <w:pStyle w:val="15"/>
                    <w:bidi w:val="0"/>
                    <w:ind w:firstLine="0" w:firstLineChars="0"/>
                    <w:jc w:val="center"/>
                    <w:rPr>
                      <w:rFonts w:hint="default" w:ascii="Times New Roman" w:hAnsi="Times New Roman" w:eastAsia="宋体" w:cs="Times New Roman"/>
                      <w:b/>
                      <w:bCs/>
                      <w:kern w:val="2"/>
                      <w:sz w:val="21"/>
                      <w:szCs w:val="21"/>
                      <w:highlight w:val="none"/>
                      <w:lang w:val="en-US" w:eastAsia="zh-CN" w:bidi="ar-SA"/>
                    </w:rPr>
                  </w:pPr>
                  <w:r>
                    <w:rPr>
                      <w:rFonts w:hint="default" w:ascii="Times New Roman" w:hAnsi="Times New Roman" w:cs="Times New Roman"/>
                      <w:b/>
                      <w:bCs/>
                      <w:highlight w:val="none"/>
                      <w:lang w:val="en-US" w:eastAsia="zh-CN"/>
                    </w:rPr>
                    <w:t>2023.04.17</w:t>
                  </w:r>
                </w:p>
              </w:tc>
              <w:tc>
                <w:tcPr>
                  <w:tcW w:w="247" w:type="pct"/>
                  <w:vMerge w:val="continue"/>
                  <w:tcBorders>
                    <w:tl2br w:val="nil"/>
                    <w:tr2bl w:val="nil"/>
                  </w:tcBorders>
                  <w:vAlign w:val="center"/>
                </w:tcPr>
                <w:p>
                  <w:pPr>
                    <w:pStyle w:val="15"/>
                    <w:bidi w:val="0"/>
                    <w:ind w:firstLine="0" w:firstLineChars="0"/>
                    <w:jc w:val="center"/>
                    <w:rPr>
                      <w:rFonts w:hint="default" w:ascii="Times New Roman" w:hAnsi="Times New Roman" w:cs="Times New Roman"/>
                      <w:b/>
                      <w:bCs/>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35" w:type="pct"/>
                  <w:tcBorders>
                    <w:tl2br w:val="nil"/>
                    <w:tr2bl w:val="nil"/>
                  </w:tcBorders>
                  <w:vAlign w:val="center"/>
                </w:tcPr>
                <w:p>
                  <w:pPr>
                    <w:pStyle w:val="15"/>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PH（无量纲）</w:t>
                  </w:r>
                </w:p>
              </w:tc>
              <w:tc>
                <w:tcPr>
                  <w:tcW w:w="669" w:type="pct"/>
                  <w:tcBorders>
                    <w:tl2br w:val="nil"/>
                    <w:tr2bl w:val="nil"/>
                  </w:tcBorders>
                  <w:vAlign w:val="center"/>
                </w:tcPr>
                <w:p>
                  <w:pPr>
                    <w:pStyle w:val="15"/>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0.1</w:t>
                  </w:r>
                </w:p>
              </w:tc>
              <w:tc>
                <w:tcPr>
                  <w:tcW w:w="669" w:type="pct"/>
                  <w:tcBorders>
                    <w:tl2br w:val="nil"/>
                    <w:tr2bl w:val="nil"/>
                  </w:tcBorders>
                  <w:vAlign w:val="center"/>
                </w:tcPr>
                <w:p>
                  <w:pPr>
                    <w:pStyle w:val="15"/>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w:t>
                  </w:r>
                </w:p>
              </w:tc>
              <w:tc>
                <w:tcPr>
                  <w:tcW w:w="670" w:type="pct"/>
                  <w:tcBorders>
                    <w:tl2br w:val="nil"/>
                    <w:tr2bl w:val="nil"/>
                  </w:tcBorders>
                  <w:vAlign w:val="center"/>
                </w:tcPr>
                <w:p>
                  <w:pPr>
                    <w:pStyle w:val="15"/>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0.05</w:t>
                  </w:r>
                </w:p>
              </w:tc>
              <w:tc>
                <w:tcPr>
                  <w:tcW w:w="669" w:type="pct"/>
                  <w:tcBorders>
                    <w:tl2br w:val="nil"/>
                    <w:tr2bl w:val="nil"/>
                  </w:tcBorders>
                  <w:vAlign w:val="center"/>
                </w:tcPr>
                <w:p>
                  <w:pPr>
                    <w:pStyle w:val="15"/>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0.025</w:t>
                  </w:r>
                </w:p>
              </w:tc>
              <w:tc>
                <w:tcPr>
                  <w:tcW w:w="669" w:type="pct"/>
                  <w:tcBorders>
                    <w:tl2br w:val="nil"/>
                    <w:tr2bl w:val="nil"/>
                  </w:tcBorders>
                  <w:vAlign w:val="center"/>
                </w:tcPr>
                <w:p>
                  <w:pPr>
                    <w:pStyle w:val="15"/>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0.3</w:t>
                  </w:r>
                </w:p>
              </w:tc>
              <w:tc>
                <w:tcPr>
                  <w:tcW w:w="670" w:type="pct"/>
                  <w:tcBorders>
                    <w:tl2br w:val="nil"/>
                    <w:tr2bl w:val="nil"/>
                  </w:tcBorders>
                  <w:vAlign w:val="center"/>
                </w:tcPr>
                <w:p>
                  <w:pPr>
                    <w:pStyle w:val="15"/>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0.30</w:t>
                  </w:r>
                </w:p>
              </w:tc>
              <w:tc>
                <w:tcPr>
                  <w:tcW w:w="247" w:type="pct"/>
                  <w:tcBorders>
                    <w:tl2br w:val="nil"/>
                    <w:tr2bl w:val="nil"/>
                  </w:tcBorders>
                  <w:vAlign w:val="center"/>
                </w:tcPr>
                <w:p>
                  <w:pPr>
                    <w:pStyle w:val="15"/>
                    <w:bidi w:val="0"/>
                    <w:rPr>
                      <w:rFonts w:hint="default" w:ascii="Times New Roman" w:hAnsi="Times New Roman" w:cs="Times New Roman"/>
                      <w:highlight w:val="none"/>
                      <w:lang w:val="en-US" w:eastAsia="zh-CN"/>
                    </w:rPr>
                  </w:pPr>
                  <w:r>
                    <w:rPr>
                      <w:rFonts w:hint="default" w:ascii="Times New Roman" w:hAnsi="Times New Roman" w:cs="Times New Roman"/>
                      <w:b/>
                      <w:bCs/>
                      <w:highlight w:val="none"/>
                      <w:lang w:val="en-US" w:eastAsia="zh-CN"/>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35" w:type="pct"/>
                  <w:tcBorders>
                    <w:tl2br w:val="nil"/>
                    <w:tr2bl w:val="nil"/>
                  </w:tcBorders>
                  <w:vAlign w:val="center"/>
                </w:tcPr>
                <w:p>
                  <w:pPr>
                    <w:pStyle w:val="15"/>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化学需氧量</w:t>
                  </w:r>
                </w:p>
              </w:tc>
              <w:tc>
                <w:tcPr>
                  <w:tcW w:w="669" w:type="pct"/>
                  <w:tcBorders>
                    <w:tl2br w:val="nil"/>
                    <w:tr2bl w:val="nil"/>
                  </w:tcBorders>
                  <w:vAlign w:val="center"/>
                </w:tcPr>
                <w:p>
                  <w:pPr>
                    <w:pStyle w:val="15"/>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0.045</w:t>
                  </w:r>
                </w:p>
              </w:tc>
              <w:tc>
                <w:tcPr>
                  <w:tcW w:w="669" w:type="pct"/>
                  <w:tcBorders>
                    <w:tl2br w:val="nil"/>
                    <w:tr2bl w:val="nil"/>
                  </w:tcBorders>
                  <w:vAlign w:val="center"/>
                </w:tcPr>
                <w:p>
                  <w:pPr>
                    <w:pStyle w:val="15"/>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0.4</w:t>
                  </w:r>
                </w:p>
              </w:tc>
              <w:tc>
                <w:tcPr>
                  <w:tcW w:w="670" w:type="pct"/>
                  <w:tcBorders>
                    <w:tl2br w:val="nil"/>
                    <w:tr2bl w:val="nil"/>
                  </w:tcBorders>
                  <w:vAlign w:val="center"/>
                </w:tcPr>
                <w:p>
                  <w:pPr>
                    <w:pStyle w:val="15"/>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0.35</w:t>
                  </w:r>
                </w:p>
              </w:tc>
              <w:tc>
                <w:tcPr>
                  <w:tcW w:w="669" w:type="pct"/>
                  <w:tcBorders>
                    <w:tl2br w:val="nil"/>
                    <w:tr2bl w:val="nil"/>
                  </w:tcBorders>
                  <w:vAlign w:val="center"/>
                </w:tcPr>
                <w:p>
                  <w:pPr>
                    <w:pStyle w:val="15"/>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0.55</w:t>
                  </w:r>
                </w:p>
              </w:tc>
              <w:tc>
                <w:tcPr>
                  <w:tcW w:w="669" w:type="pct"/>
                  <w:tcBorders>
                    <w:tl2br w:val="nil"/>
                    <w:tr2bl w:val="nil"/>
                  </w:tcBorders>
                  <w:vAlign w:val="center"/>
                </w:tcPr>
                <w:p>
                  <w:pPr>
                    <w:pStyle w:val="15"/>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0.6</w:t>
                  </w:r>
                </w:p>
              </w:tc>
              <w:tc>
                <w:tcPr>
                  <w:tcW w:w="670" w:type="pct"/>
                  <w:tcBorders>
                    <w:tl2br w:val="nil"/>
                    <w:tr2bl w:val="nil"/>
                  </w:tcBorders>
                  <w:vAlign w:val="center"/>
                </w:tcPr>
                <w:p>
                  <w:pPr>
                    <w:pStyle w:val="15"/>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0.5</w:t>
                  </w:r>
                </w:p>
              </w:tc>
              <w:tc>
                <w:tcPr>
                  <w:tcW w:w="247" w:type="pct"/>
                  <w:tcBorders>
                    <w:tl2br w:val="nil"/>
                    <w:tr2bl w:val="nil"/>
                  </w:tcBorders>
                  <w:vAlign w:val="center"/>
                </w:tcPr>
                <w:p>
                  <w:pPr>
                    <w:pStyle w:val="15"/>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b/>
                      <w:bCs/>
                      <w:highlight w:val="none"/>
                      <w:lang w:val="en-US" w:eastAsia="zh-CN"/>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35" w:type="pct"/>
                  <w:tcBorders>
                    <w:tl2br w:val="nil"/>
                    <w:tr2bl w:val="nil"/>
                  </w:tcBorders>
                  <w:vAlign w:val="center"/>
                </w:tcPr>
                <w:p>
                  <w:pPr>
                    <w:pStyle w:val="15"/>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五日生需氧量</w:t>
                  </w:r>
                </w:p>
              </w:tc>
              <w:tc>
                <w:tcPr>
                  <w:tcW w:w="669" w:type="pct"/>
                  <w:tcBorders>
                    <w:tl2br w:val="nil"/>
                    <w:tr2bl w:val="nil"/>
                  </w:tcBorders>
                  <w:vAlign w:val="center"/>
                </w:tcPr>
                <w:p>
                  <w:pPr>
                    <w:pStyle w:val="15"/>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0.55</w:t>
                  </w:r>
                </w:p>
              </w:tc>
              <w:tc>
                <w:tcPr>
                  <w:tcW w:w="669" w:type="pct"/>
                  <w:tcBorders>
                    <w:tl2br w:val="nil"/>
                    <w:tr2bl w:val="nil"/>
                  </w:tcBorders>
                  <w:vAlign w:val="center"/>
                </w:tcPr>
                <w:p>
                  <w:pPr>
                    <w:pStyle w:val="15"/>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0.4</w:t>
                  </w:r>
                </w:p>
              </w:tc>
              <w:tc>
                <w:tcPr>
                  <w:tcW w:w="670" w:type="pct"/>
                  <w:tcBorders>
                    <w:tl2br w:val="nil"/>
                    <w:tr2bl w:val="nil"/>
                  </w:tcBorders>
                  <w:vAlign w:val="center"/>
                </w:tcPr>
                <w:p>
                  <w:pPr>
                    <w:pStyle w:val="15"/>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0.375</w:t>
                  </w:r>
                </w:p>
              </w:tc>
              <w:tc>
                <w:tcPr>
                  <w:tcW w:w="669" w:type="pct"/>
                  <w:tcBorders>
                    <w:tl2br w:val="nil"/>
                    <w:tr2bl w:val="nil"/>
                  </w:tcBorders>
                  <w:vAlign w:val="center"/>
                </w:tcPr>
                <w:p>
                  <w:pPr>
                    <w:pStyle w:val="15"/>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0.755</w:t>
                  </w:r>
                </w:p>
              </w:tc>
              <w:tc>
                <w:tcPr>
                  <w:tcW w:w="669" w:type="pct"/>
                  <w:tcBorders>
                    <w:tl2br w:val="nil"/>
                    <w:tr2bl w:val="nil"/>
                  </w:tcBorders>
                  <w:vAlign w:val="center"/>
                </w:tcPr>
                <w:p>
                  <w:pPr>
                    <w:pStyle w:val="15"/>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0.85</w:t>
                  </w:r>
                </w:p>
              </w:tc>
              <w:tc>
                <w:tcPr>
                  <w:tcW w:w="670" w:type="pct"/>
                  <w:tcBorders>
                    <w:tl2br w:val="nil"/>
                    <w:tr2bl w:val="nil"/>
                  </w:tcBorders>
                  <w:vAlign w:val="center"/>
                </w:tcPr>
                <w:p>
                  <w:pPr>
                    <w:pStyle w:val="15"/>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0.575</w:t>
                  </w:r>
                </w:p>
              </w:tc>
              <w:tc>
                <w:tcPr>
                  <w:tcW w:w="247" w:type="pct"/>
                  <w:tcBorders>
                    <w:tl2br w:val="nil"/>
                    <w:tr2bl w:val="nil"/>
                  </w:tcBorders>
                  <w:vAlign w:val="center"/>
                </w:tcPr>
                <w:p>
                  <w:pPr>
                    <w:pStyle w:val="15"/>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b/>
                      <w:bCs/>
                      <w:highlight w:val="none"/>
                      <w:lang w:val="en-US" w:eastAsia="zh-CN"/>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35" w:type="pct"/>
                  <w:tcBorders>
                    <w:tl2br w:val="nil"/>
                    <w:tr2bl w:val="nil"/>
                  </w:tcBorders>
                  <w:vAlign w:val="center"/>
                </w:tcPr>
                <w:p>
                  <w:pPr>
                    <w:pStyle w:val="15"/>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氨氮</w:t>
                  </w:r>
                </w:p>
              </w:tc>
              <w:tc>
                <w:tcPr>
                  <w:tcW w:w="669" w:type="pct"/>
                  <w:tcBorders>
                    <w:tl2br w:val="nil"/>
                    <w:tr2bl w:val="nil"/>
                  </w:tcBorders>
                  <w:vAlign w:val="center"/>
                </w:tcPr>
                <w:p>
                  <w:pPr>
                    <w:pStyle w:val="15"/>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0.072</w:t>
                  </w:r>
                </w:p>
              </w:tc>
              <w:tc>
                <w:tcPr>
                  <w:tcW w:w="669" w:type="pct"/>
                  <w:tcBorders>
                    <w:tl2br w:val="nil"/>
                    <w:tr2bl w:val="nil"/>
                  </w:tcBorders>
                  <w:vAlign w:val="center"/>
                </w:tcPr>
                <w:p>
                  <w:pPr>
                    <w:pStyle w:val="15"/>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0.054</w:t>
                  </w:r>
                </w:p>
              </w:tc>
              <w:tc>
                <w:tcPr>
                  <w:tcW w:w="670" w:type="pct"/>
                  <w:tcBorders>
                    <w:tl2br w:val="nil"/>
                    <w:tr2bl w:val="nil"/>
                  </w:tcBorders>
                  <w:vAlign w:val="center"/>
                </w:tcPr>
                <w:p>
                  <w:pPr>
                    <w:pStyle w:val="15"/>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0.088</w:t>
                  </w:r>
                </w:p>
              </w:tc>
              <w:tc>
                <w:tcPr>
                  <w:tcW w:w="669" w:type="pct"/>
                  <w:tcBorders>
                    <w:tl2br w:val="nil"/>
                    <w:tr2bl w:val="nil"/>
                  </w:tcBorders>
                  <w:vAlign w:val="center"/>
                </w:tcPr>
                <w:p>
                  <w:pPr>
                    <w:pStyle w:val="15"/>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0.138</w:t>
                  </w:r>
                </w:p>
              </w:tc>
              <w:tc>
                <w:tcPr>
                  <w:tcW w:w="669" w:type="pct"/>
                  <w:tcBorders>
                    <w:tl2br w:val="nil"/>
                    <w:tr2bl w:val="nil"/>
                  </w:tcBorders>
                  <w:vAlign w:val="center"/>
                </w:tcPr>
                <w:p>
                  <w:pPr>
                    <w:pStyle w:val="15"/>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0.169</w:t>
                  </w:r>
                </w:p>
              </w:tc>
              <w:tc>
                <w:tcPr>
                  <w:tcW w:w="670" w:type="pct"/>
                  <w:tcBorders>
                    <w:tl2br w:val="nil"/>
                    <w:tr2bl w:val="nil"/>
                  </w:tcBorders>
                  <w:vAlign w:val="center"/>
                </w:tcPr>
                <w:p>
                  <w:pPr>
                    <w:pStyle w:val="15"/>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0.119</w:t>
                  </w:r>
                </w:p>
              </w:tc>
              <w:tc>
                <w:tcPr>
                  <w:tcW w:w="247" w:type="pct"/>
                  <w:tcBorders>
                    <w:tl2br w:val="nil"/>
                    <w:tr2bl w:val="nil"/>
                  </w:tcBorders>
                  <w:vAlign w:val="center"/>
                </w:tcPr>
                <w:p>
                  <w:pPr>
                    <w:pStyle w:val="15"/>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b/>
                      <w:bCs/>
                      <w:highlight w:val="none"/>
                      <w:lang w:val="en-US" w:eastAsia="zh-CN"/>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35" w:type="pct"/>
                  <w:tcBorders>
                    <w:tl2br w:val="nil"/>
                    <w:tr2bl w:val="nil"/>
                  </w:tcBorders>
                  <w:vAlign w:val="center"/>
                </w:tcPr>
                <w:p>
                  <w:pPr>
                    <w:pStyle w:val="15"/>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总磷</w:t>
                  </w:r>
                </w:p>
              </w:tc>
              <w:tc>
                <w:tcPr>
                  <w:tcW w:w="669" w:type="pct"/>
                  <w:tcBorders>
                    <w:tl2br w:val="nil"/>
                    <w:tr2bl w:val="nil"/>
                  </w:tcBorders>
                  <w:vAlign w:val="center"/>
                </w:tcPr>
                <w:p>
                  <w:pPr>
                    <w:pStyle w:val="15"/>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0.25</w:t>
                  </w:r>
                </w:p>
              </w:tc>
              <w:tc>
                <w:tcPr>
                  <w:tcW w:w="669" w:type="pct"/>
                  <w:tcBorders>
                    <w:tl2br w:val="nil"/>
                    <w:tr2bl w:val="nil"/>
                  </w:tcBorders>
                  <w:vAlign w:val="center"/>
                </w:tcPr>
                <w:p>
                  <w:pPr>
                    <w:pStyle w:val="15"/>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0.3</w:t>
                  </w:r>
                </w:p>
              </w:tc>
              <w:tc>
                <w:tcPr>
                  <w:tcW w:w="670" w:type="pct"/>
                  <w:tcBorders>
                    <w:tl2br w:val="nil"/>
                    <w:tr2bl w:val="nil"/>
                  </w:tcBorders>
                  <w:vAlign w:val="center"/>
                </w:tcPr>
                <w:p>
                  <w:pPr>
                    <w:pStyle w:val="15"/>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0.25</w:t>
                  </w:r>
                </w:p>
              </w:tc>
              <w:tc>
                <w:tcPr>
                  <w:tcW w:w="669" w:type="pct"/>
                  <w:tcBorders>
                    <w:tl2br w:val="nil"/>
                    <w:tr2bl w:val="nil"/>
                  </w:tcBorders>
                  <w:vAlign w:val="center"/>
                </w:tcPr>
                <w:p>
                  <w:pPr>
                    <w:pStyle w:val="15"/>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0.25</w:t>
                  </w:r>
                </w:p>
              </w:tc>
              <w:tc>
                <w:tcPr>
                  <w:tcW w:w="669" w:type="pct"/>
                  <w:tcBorders>
                    <w:tl2br w:val="nil"/>
                    <w:tr2bl w:val="nil"/>
                  </w:tcBorders>
                  <w:vAlign w:val="center"/>
                </w:tcPr>
                <w:p>
                  <w:pPr>
                    <w:pStyle w:val="15"/>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0.3</w:t>
                  </w:r>
                </w:p>
              </w:tc>
              <w:tc>
                <w:tcPr>
                  <w:tcW w:w="670" w:type="pct"/>
                  <w:tcBorders>
                    <w:tl2br w:val="nil"/>
                    <w:tr2bl w:val="nil"/>
                  </w:tcBorders>
                  <w:vAlign w:val="center"/>
                </w:tcPr>
                <w:p>
                  <w:pPr>
                    <w:pStyle w:val="15"/>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0.25</w:t>
                  </w:r>
                </w:p>
              </w:tc>
              <w:tc>
                <w:tcPr>
                  <w:tcW w:w="247" w:type="pct"/>
                  <w:tcBorders>
                    <w:tl2br w:val="nil"/>
                    <w:tr2bl w:val="nil"/>
                  </w:tcBorders>
                  <w:vAlign w:val="center"/>
                </w:tcPr>
                <w:p>
                  <w:pPr>
                    <w:pStyle w:val="15"/>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b/>
                      <w:bCs/>
                      <w:highlight w:val="none"/>
                      <w:lang w:val="en-US" w:eastAsia="zh-CN"/>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35" w:type="pct"/>
                  <w:tcBorders>
                    <w:tl2br w:val="nil"/>
                    <w:tr2bl w:val="nil"/>
                  </w:tcBorders>
                  <w:vAlign w:val="center"/>
                </w:tcPr>
                <w:p>
                  <w:pPr>
                    <w:pStyle w:val="15"/>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石油类</w:t>
                  </w:r>
                </w:p>
              </w:tc>
              <w:tc>
                <w:tcPr>
                  <w:tcW w:w="669" w:type="pct"/>
                  <w:tcBorders>
                    <w:tl2br w:val="nil"/>
                    <w:tr2bl w:val="nil"/>
                  </w:tcBorders>
                  <w:vAlign w:val="center"/>
                </w:tcPr>
                <w:p>
                  <w:pPr>
                    <w:pStyle w:val="15"/>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669" w:type="pct"/>
                  <w:tcBorders>
                    <w:tl2br w:val="nil"/>
                    <w:tr2bl w:val="nil"/>
                  </w:tcBorders>
                  <w:vAlign w:val="center"/>
                </w:tcPr>
                <w:p>
                  <w:pPr>
                    <w:pStyle w:val="15"/>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670" w:type="pct"/>
                  <w:tcBorders>
                    <w:tl2br w:val="nil"/>
                    <w:tr2bl w:val="nil"/>
                  </w:tcBorders>
                  <w:vAlign w:val="center"/>
                </w:tcPr>
                <w:p>
                  <w:pPr>
                    <w:pStyle w:val="15"/>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669" w:type="pct"/>
                  <w:tcBorders>
                    <w:tl2br w:val="nil"/>
                    <w:tr2bl w:val="nil"/>
                  </w:tcBorders>
                  <w:vAlign w:val="center"/>
                </w:tcPr>
                <w:p>
                  <w:pPr>
                    <w:pStyle w:val="15"/>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669" w:type="pct"/>
                  <w:tcBorders>
                    <w:tl2br w:val="nil"/>
                    <w:tr2bl w:val="nil"/>
                  </w:tcBorders>
                  <w:vAlign w:val="center"/>
                </w:tcPr>
                <w:p>
                  <w:pPr>
                    <w:pStyle w:val="15"/>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670" w:type="pct"/>
                  <w:tcBorders>
                    <w:tl2br w:val="nil"/>
                    <w:tr2bl w:val="nil"/>
                  </w:tcBorders>
                  <w:vAlign w:val="center"/>
                </w:tcPr>
                <w:p>
                  <w:pPr>
                    <w:pStyle w:val="15"/>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未检出</w:t>
                  </w:r>
                </w:p>
              </w:tc>
              <w:tc>
                <w:tcPr>
                  <w:tcW w:w="247" w:type="pct"/>
                  <w:tcBorders>
                    <w:tl2br w:val="nil"/>
                    <w:tr2bl w:val="nil"/>
                  </w:tcBorders>
                  <w:vAlign w:val="center"/>
                </w:tcPr>
                <w:p>
                  <w:pPr>
                    <w:pStyle w:val="15"/>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b/>
                      <w:bCs/>
                      <w:highlight w:val="none"/>
                      <w:lang w:val="en-US" w:eastAsia="zh-CN"/>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35" w:type="pct"/>
                  <w:tcBorders>
                    <w:tl2br w:val="nil"/>
                    <w:tr2bl w:val="nil"/>
                  </w:tcBorders>
                  <w:vAlign w:val="center"/>
                </w:tcPr>
                <w:p>
                  <w:pPr>
                    <w:pStyle w:val="15"/>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粪大肠菌群（MPN/L）</w:t>
                  </w:r>
                </w:p>
              </w:tc>
              <w:tc>
                <w:tcPr>
                  <w:tcW w:w="669" w:type="pct"/>
                  <w:tcBorders>
                    <w:tl2br w:val="nil"/>
                    <w:tr2bl w:val="nil"/>
                  </w:tcBorders>
                  <w:vAlign w:val="center"/>
                </w:tcPr>
                <w:p>
                  <w:pPr>
                    <w:pStyle w:val="15"/>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2.3×10</w:t>
                  </w:r>
                  <w:r>
                    <w:rPr>
                      <w:rFonts w:hint="default" w:ascii="Times New Roman" w:hAnsi="Times New Roman" w:cs="Times New Roman"/>
                      <w:highlight w:val="none"/>
                      <w:vertAlign w:val="superscript"/>
                      <w:lang w:val="en-US" w:eastAsia="zh-CN"/>
                    </w:rPr>
                    <w:t>-6</w:t>
                  </w:r>
                </w:p>
              </w:tc>
              <w:tc>
                <w:tcPr>
                  <w:tcW w:w="669" w:type="pct"/>
                  <w:tcBorders>
                    <w:tl2br w:val="nil"/>
                    <w:tr2bl w:val="nil"/>
                  </w:tcBorders>
                  <w:vAlign w:val="center"/>
                </w:tcPr>
                <w:p>
                  <w:pPr>
                    <w:pStyle w:val="15"/>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2.5×10</w:t>
                  </w:r>
                  <w:r>
                    <w:rPr>
                      <w:rFonts w:hint="default" w:ascii="Times New Roman" w:hAnsi="Times New Roman" w:cs="Times New Roman"/>
                      <w:highlight w:val="none"/>
                      <w:vertAlign w:val="superscript"/>
                      <w:lang w:val="en-US" w:eastAsia="zh-CN"/>
                    </w:rPr>
                    <w:t>-6</w:t>
                  </w:r>
                </w:p>
              </w:tc>
              <w:tc>
                <w:tcPr>
                  <w:tcW w:w="670" w:type="pct"/>
                  <w:tcBorders>
                    <w:tl2br w:val="nil"/>
                    <w:tr2bl w:val="nil"/>
                  </w:tcBorders>
                  <w:vAlign w:val="center"/>
                </w:tcPr>
                <w:p>
                  <w:pPr>
                    <w:pStyle w:val="15"/>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2.9×10</w:t>
                  </w:r>
                  <w:r>
                    <w:rPr>
                      <w:rFonts w:hint="default" w:ascii="Times New Roman" w:hAnsi="Times New Roman" w:cs="Times New Roman"/>
                      <w:highlight w:val="none"/>
                      <w:vertAlign w:val="superscript"/>
                      <w:lang w:val="en-US" w:eastAsia="zh-CN"/>
                    </w:rPr>
                    <w:t>-6</w:t>
                  </w:r>
                </w:p>
              </w:tc>
              <w:tc>
                <w:tcPr>
                  <w:tcW w:w="669" w:type="pct"/>
                  <w:tcBorders>
                    <w:tl2br w:val="nil"/>
                    <w:tr2bl w:val="nil"/>
                  </w:tcBorders>
                  <w:vAlign w:val="center"/>
                </w:tcPr>
                <w:p>
                  <w:pPr>
                    <w:pStyle w:val="15"/>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2.8×10</w:t>
                  </w:r>
                  <w:r>
                    <w:rPr>
                      <w:rFonts w:hint="default" w:ascii="Times New Roman" w:hAnsi="Times New Roman" w:cs="Times New Roman"/>
                      <w:highlight w:val="none"/>
                      <w:vertAlign w:val="superscript"/>
                      <w:lang w:val="en-US" w:eastAsia="zh-CN"/>
                    </w:rPr>
                    <w:t>-6</w:t>
                  </w:r>
                </w:p>
              </w:tc>
              <w:tc>
                <w:tcPr>
                  <w:tcW w:w="669" w:type="pct"/>
                  <w:tcBorders>
                    <w:tl2br w:val="nil"/>
                    <w:tr2bl w:val="nil"/>
                  </w:tcBorders>
                  <w:vAlign w:val="center"/>
                </w:tcPr>
                <w:p>
                  <w:pPr>
                    <w:pStyle w:val="15"/>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7.6×10</w:t>
                  </w:r>
                  <w:r>
                    <w:rPr>
                      <w:rFonts w:hint="default" w:ascii="Times New Roman" w:hAnsi="Times New Roman" w:cs="Times New Roman"/>
                      <w:highlight w:val="none"/>
                      <w:vertAlign w:val="superscript"/>
                      <w:lang w:val="en-US" w:eastAsia="zh-CN"/>
                    </w:rPr>
                    <w:t>-6</w:t>
                  </w:r>
                </w:p>
              </w:tc>
              <w:tc>
                <w:tcPr>
                  <w:tcW w:w="670" w:type="pct"/>
                  <w:tcBorders>
                    <w:tl2br w:val="nil"/>
                    <w:tr2bl w:val="nil"/>
                  </w:tcBorders>
                  <w:vAlign w:val="center"/>
                </w:tcPr>
                <w:p>
                  <w:pPr>
                    <w:pStyle w:val="15"/>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4.9×10</w:t>
                  </w:r>
                  <w:r>
                    <w:rPr>
                      <w:rFonts w:hint="default" w:ascii="Times New Roman" w:hAnsi="Times New Roman" w:cs="Times New Roman"/>
                      <w:highlight w:val="none"/>
                      <w:vertAlign w:val="superscript"/>
                      <w:lang w:val="en-US" w:eastAsia="zh-CN"/>
                    </w:rPr>
                    <w:t>-6</w:t>
                  </w:r>
                </w:p>
              </w:tc>
              <w:tc>
                <w:tcPr>
                  <w:tcW w:w="247" w:type="pct"/>
                  <w:tcBorders>
                    <w:tl2br w:val="nil"/>
                    <w:tr2bl w:val="nil"/>
                  </w:tcBorders>
                  <w:vAlign w:val="center"/>
                </w:tcPr>
                <w:p>
                  <w:pPr>
                    <w:pStyle w:val="15"/>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b/>
                      <w:bCs/>
                      <w:highlight w:val="none"/>
                      <w:lang w:val="en-US" w:eastAsia="zh-CN"/>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00" w:type="pct"/>
                  <w:gridSpan w:val="8"/>
                  <w:tcBorders>
                    <w:tl2br w:val="nil"/>
                    <w:tr2bl w:val="nil"/>
                  </w:tcBorders>
                  <w:vAlign w:val="center"/>
                </w:tcPr>
                <w:p>
                  <w:pPr>
                    <w:pStyle w:val="15"/>
                    <w:bidi w:val="0"/>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备注：检测结果“检出限+L”表示未检出</w:t>
                  </w:r>
                </w:p>
              </w:tc>
            </w:tr>
          </w:tbl>
          <w:p>
            <w:pPr>
              <w:bidi w:val="0"/>
              <w:rPr>
                <w:rFonts w:hint="default" w:ascii="Times New Roman" w:hAnsi="Times New Roman" w:cs="Times New Roman"/>
                <w:highlight w:val="none"/>
                <w:lang w:eastAsia="zh-CN"/>
              </w:rPr>
            </w:pPr>
            <w:r>
              <w:rPr>
                <w:rFonts w:hint="default" w:ascii="Times New Roman" w:hAnsi="Times New Roman" w:cs="Times New Roman"/>
                <w:highlight w:val="none"/>
              </w:rPr>
              <w:t>由表3-</w:t>
            </w:r>
            <w:r>
              <w:rPr>
                <w:rFonts w:hint="default" w:ascii="Times New Roman" w:hAnsi="Times New Roman" w:cs="Times New Roman"/>
                <w:highlight w:val="none"/>
                <w:lang w:val="en-US" w:eastAsia="zh-CN"/>
              </w:rPr>
              <w:t>5</w:t>
            </w:r>
            <w:r>
              <w:rPr>
                <w:rFonts w:hint="default" w:ascii="Times New Roman" w:hAnsi="Times New Roman" w:cs="Times New Roman"/>
                <w:highlight w:val="none"/>
              </w:rPr>
              <w:t>评价结果可知，受纳水体</w:t>
            </w:r>
            <w:r>
              <w:rPr>
                <w:rFonts w:hint="default" w:ascii="Times New Roman" w:hAnsi="Times New Roman" w:cs="Times New Roman"/>
                <w:highlight w:val="none"/>
                <w:lang w:val="en-US" w:eastAsia="zh-CN"/>
              </w:rPr>
              <w:t>胡家河</w:t>
            </w:r>
            <w:r>
              <w:rPr>
                <w:rFonts w:hint="default" w:ascii="Times New Roman" w:hAnsi="Times New Roman" w:cs="Times New Roman"/>
                <w:highlight w:val="none"/>
              </w:rPr>
              <w:t>评价河段水体中，</w:t>
            </w:r>
            <w:r>
              <w:rPr>
                <w:rFonts w:hint="default" w:ascii="Times New Roman" w:hAnsi="Times New Roman" w:cs="Times New Roman"/>
                <w:highlight w:val="none"/>
                <w:lang w:eastAsia="zh-CN"/>
              </w:rPr>
              <w:t>监测因子</w:t>
            </w:r>
            <w:r>
              <w:rPr>
                <w:rFonts w:hint="default" w:ascii="Times New Roman" w:hAnsi="Times New Roman" w:cs="Times New Roman"/>
                <w:highlight w:val="none"/>
                <w:lang w:val="en-US" w:eastAsia="zh-CN"/>
              </w:rPr>
              <w:t>均</w:t>
            </w:r>
            <w:r>
              <w:rPr>
                <w:rFonts w:hint="default" w:ascii="Times New Roman" w:hAnsi="Times New Roman" w:cs="Times New Roman"/>
                <w:highlight w:val="none"/>
              </w:rPr>
              <w:t>满足《地表水环境质量标准》（GB3838-2002）</w:t>
            </w:r>
            <w:r>
              <w:rPr>
                <w:rFonts w:hint="default" w:ascii="Times New Roman" w:hAnsi="Times New Roman" w:eastAsia="微软雅黑" w:cs="Times New Roman"/>
                <w:highlight w:val="none"/>
              </w:rPr>
              <w:t>Ⅲ</w:t>
            </w:r>
            <w:r>
              <w:rPr>
                <w:rFonts w:hint="default" w:ascii="Times New Roman" w:hAnsi="Times New Roman" w:cs="Times New Roman"/>
                <w:highlight w:val="none"/>
              </w:rPr>
              <w:t>类水体要求。本项目</w:t>
            </w:r>
            <w:r>
              <w:rPr>
                <w:rFonts w:hint="default" w:ascii="Times New Roman" w:hAnsi="Times New Roman" w:cs="Times New Roman"/>
                <w:highlight w:val="none"/>
                <w:lang w:eastAsia="zh-CN"/>
              </w:rPr>
              <w:t>涉及</w:t>
            </w:r>
            <w:r>
              <w:rPr>
                <w:rFonts w:hint="default" w:ascii="Times New Roman" w:hAnsi="Times New Roman" w:cs="Times New Roman"/>
                <w:highlight w:val="none"/>
                <w:lang w:val="en-US" w:eastAsia="zh-CN"/>
              </w:rPr>
              <w:t>胡家镇胡家河段</w:t>
            </w:r>
            <w:r>
              <w:rPr>
                <w:rFonts w:hint="default" w:ascii="Times New Roman" w:hAnsi="Times New Roman" w:cs="Times New Roman"/>
                <w:highlight w:val="none"/>
                <w:lang w:eastAsia="zh-CN"/>
              </w:rPr>
              <w:t>，可以认为项目所在区域地表水环境质量良好。</w:t>
            </w:r>
          </w:p>
          <w:p>
            <w:pPr>
              <w:adjustRightInd w:val="0"/>
              <w:spacing w:line="360" w:lineRule="auto"/>
              <w:ind w:firstLine="482" w:firstLineChars="200"/>
              <w:rPr>
                <w:rFonts w:hint="default" w:ascii="Times New Roman" w:hAnsi="Times New Roman" w:eastAsia="黑体" w:cs="Times New Roman"/>
                <w:b/>
                <w:bCs/>
                <w:color w:val="auto"/>
                <w:szCs w:val="28"/>
                <w:highlight w:val="none"/>
              </w:rPr>
            </w:pPr>
            <w:r>
              <w:rPr>
                <w:rFonts w:hint="default" w:ascii="Times New Roman" w:hAnsi="Times New Roman" w:eastAsia="黑体" w:cs="Times New Roman"/>
                <w:b/>
                <w:bCs/>
                <w:color w:val="auto"/>
                <w:szCs w:val="28"/>
                <w:highlight w:val="none"/>
                <w:lang w:val="en-US" w:eastAsia="zh-CN"/>
              </w:rPr>
              <w:t>3、</w:t>
            </w:r>
            <w:r>
              <w:rPr>
                <w:rFonts w:hint="default" w:ascii="Times New Roman" w:hAnsi="Times New Roman" w:eastAsia="黑体" w:cs="Times New Roman"/>
                <w:b/>
                <w:bCs/>
                <w:color w:val="auto"/>
                <w:szCs w:val="28"/>
                <w:highlight w:val="none"/>
              </w:rPr>
              <w:t>声环境质量现状</w:t>
            </w:r>
          </w:p>
          <w:p>
            <w:pPr>
              <w:bidi w:val="0"/>
              <w:rPr>
                <w:rFonts w:hint="default" w:ascii="Times New Roman" w:hAnsi="Times New Roman" w:cs="Times New Roman"/>
                <w:highlight w:val="none"/>
              </w:rPr>
            </w:pPr>
            <w:r>
              <w:rPr>
                <w:rFonts w:hint="default" w:ascii="Times New Roman" w:hAnsi="Times New Roman" w:cs="Times New Roman"/>
                <w:highlight w:val="none"/>
              </w:rPr>
              <w:t>项目</w:t>
            </w:r>
            <w:r>
              <w:rPr>
                <w:rFonts w:hint="default" w:ascii="Times New Roman" w:hAnsi="Times New Roman" w:cs="Times New Roman"/>
                <w:highlight w:val="none"/>
                <w:lang w:eastAsia="zh-CN"/>
              </w:rPr>
              <w:t>防洪</w:t>
            </w:r>
            <w:r>
              <w:rPr>
                <w:rFonts w:hint="default" w:ascii="Times New Roman" w:hAnsi="Times New Roman" w:cs="Times New Roman"/>
                <w:highlight w:val="none"/>
                <w:lang w:val="en-US" w:eastAsia="zh-CN"/>
              </w:rPr>
              <w:t>治理</w:t>
            </w:r>
            <w:r>
              <w:rPr>
                <w:rFonts w:hint="default" w:ascii="Times New Roman" w:hAnsi="Times New Roman" w:cs="Times New Roman"/>
                <w:highlight w:val="none"/>
              </w:rPr>
              <w:t>属集镇和农村地区，根据声环境功能区划分原则，属《声环境质量标准》(GB3096-208)中的2类区，声环境执行《声环境质量标准》(GB3096-2008)中的2类标准。</w:t>
            </w:r>
          </w:p>
          <w:p>
            <w:pPr>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根据达州市生态环境局发布的《2023年达州市区域声环境质量（年报）》，2023年，</w:t>
            </w:r>
            <w:r>
              <w:rPr>
                <w:rFonts w:hint="default" w:ascii="Times New Roman" w:hAnsi="Times New Roman" w:eastAsia="宋体" w:cs="Times New Roman"/>
                <w:sz w:val="24"/>
                <w:szCs w:val="24"/>
                <w:highlight w:val="none"/>
              </w:rPr>
              <w:t>达州市中心城区、宣汉县、开江县、大竹县、渠县和万源市开展了每年一次的昼间区域声环境质量监测和每五年一次的夜间区域声环境质量监测。2023年，全市昼间区域平均等效声级为55.5分贝，同比上升0.7分贝，噪声强度等级由2022年的二级（较好）下降为三级（一般）；全市夜间区域噪声平均等效声级为45.3分贝，噪声强度等级为三级（一般），与2018年相比下降0.3分贝，噪声强度等级无变化</w:t>
            </w:r>
            <w:r>
              <w:rPr>
                <w:rFonts w:hint="default" w:ascii="Times New Roman" w:hAnsi="Times New Roman" w:eastAsia="宋体" w:cs="Times New Roman"/>
                <w:sz w:val="24"/>
                <w:szCs w:val="24"/>
                <w:highlight w:val="none"/>
                <w:lang w:eastAsia="zh-CN"/>
              </w:rPr>
              <w:t>。</w:t>
            </w:r>
          </w:p>
          <w:p>
            <w:pPr>
              <w:bidi w:val="0"/>
              <w:rPr>
                <w:rFonts w:hint="default" w:ascii="Times New Roman" w:hAnsi="Times New Roman" w:cs="Times New Roman"/>
                <w:color w:val="auto"/>
                <w:sz w:val="24"/>
                <w:szCs w:val="24"/>
                <w:highlight w:val="none"/>
              </w:rPr>
            </w:pPr>
            <w:r>
              <w:rPr>
                <w:rFonts w:hint="default" w:ascii="Times New Roman" w:hAnsi="Times New Roman" w:cs="Times New Roman"/>
                <w:highlight w:val="none"/>
                <w:lang w:val="en-US" w:eastAsia="zh-CN"/>
              </w:rPr>
              <w:t>根据</w:t>
            </w:r>
            <w:r>
              <w:rPr>
                <w:rFonts w:hint="default" w:ascii="Times New Roman" w:hAnsi="Times New Roman" w:cs="Times New Roman"/>
                <w:color w:val="auto"/>
                <w:highlight w:val="none"/>
                <w:lang w:val="en-US" w:eastAsia="zh-CN"/>
              </w:rPr>
              <w:t>《2023年达州市区域声环境质量（年报）》，监测</w:t>
            </w:r>
            <w:r>
              <w:rPr>
                <w:rFonts w:hint="default" w:ascii="Times New Roman" w:hAnsi="Times New Roman" w:cs="Times New Roman"/>
                <w:highlight w:val="none"/>
                <w:lang w:val="en-US" w:eastAsia="zh-CN"/>
              </w:rPr>
              <w:t>符合《声环境质量标准》（GB3096-2008）中2类声环境功能区标准。本项目位于宣汉县境内，项目区域声环境现状满足</w:t>
            </w:r>
            <w:r>
              <w:rPr>
                <w:rFonts w:hint="default" w:ascii="Times New Roman" w:hAnsi="Times New Roman" w:cs="Times New Roman"/>
                <w:color w:val="auto"/>
                <w:sz w:val="24"/>
                <w:szCs w:val="24"/>
                <w:highlight w:val="none"/>
              </w:rPr>
              <w:t>《声环境质量标准》（GB3096-2008）中</w:t>
            </w:r>
            <w:r>
              <w:rPr>
                <w:rFonts w:hint="default" w:ascii="Times New Roman" w:hAnsi="Times New Roman" w:cs="Times New Roman"/>
                <w:color w:val="auto"/>
                <w:sz w:val="24"/>
                <w:szCs w:val="24"/>
                <w:highlight w:val="none"/>
                <w:lang w:val="en-US" w:eastAsia="zh-CN"/>
              </w:rPr>
              <w:t>2</w:t>
            </w:r>
            <w:r>
              <w:rPr>
                <w:rFonts w:hint="default" w:ascii="Times New Roman" w:hAnsi="Times New Roman" w:cs="Times New Roman"/>
                <w:color w:val="auto"/>
                <w:sz w:val="24"/>
                <w:szCs w:val="24"/>
                <w:highlight w:val="none"/>
              </w:rPr>
              <w:t>类标准的要求，</w:t>
            </w:r>
            <w:r>
              <w:rPr>
                <w:rFonts w:hint="default" w:ascii="Times New Roman" w:hAnsi="Times New Roman" w:cs="Times New Roman"/>
                <w:color w:val="auto"/>
                <w:sz w:val="24"/>
                <w:szCs w:val="24"/>
                <w:highlight w:val="none"/>
                <w:lang w:val="en-US" w:eastAsia="zh-CN"/>
              </w:rPr>
              <w:t>属于达标区域</w:t>
            </w:r>
            <w:r>
              <w:rPr>
                <w:rFonts w:hint="default" w:ascii="Times New Roman" w:hAnsi="Times New Roman" w:cs="Times New Roman"/>
                <w:color w:val="auto"/>
                <w:sz w:val="24"/>
                <w:szCs w:val="24"/>
                <w:highlight w:val="none"/>
              </w:rPr>
              <w:t>。</w:t>
            </w:r>
          </w:p>
          <w:p>
            <w:pPr>
              <w:tabs>
                <w:tab w:val="left" w:pos="5448"/>
              </w:tabs>
              <w:spacing w:line="360" w:lineRule="auto"/>
              <w:ind w:firstLine="480" w:firstLineChars="200"/>
              <w:rPr>
                <w:rFonts w:hint="default" w:ascii="Times New Roman" w:hAnsi="Times New Roman" w:cs="Times New Roman"/>
                <w:b w:val="0"/>
                <w:bCs w:val="0"/>
                <w:color w:val="auto"/>
                <w:highlight w:val="none"/>
                <w:lang w:val="en-US" w:eastAsia="zh-CN"/>
              </w:rPr>
            </w:pPr>
            <w:r>
              <w:rPr>
                <w:rFonts w:hint="default" w:ascii="Times New Roman" w:hAnsi="Times New Roman" w:cs="Times New Roman"/>
                <w:color w:val="auto"/>
                <w:highlight w:val="none"/>
                <w:lang w:eastAsia="zh-CN"/>
              </w:rPr>
              <w:t>本次评价</w:t>
            </w:r>
            <w:r>
              <w:rPr>
                <w:rFonts w:hint="default" w:ascii="Times New Roman" w:hAnsi="Times New Roman" w:cs="Times New Roman"/>
                <w:color w:val="auto"/>
                <w:highlight w:val="none"/>
                <w:lang w:val="en-US" w:eastAsia="zh-CN"/>
              </w:rPr>
              <w:t>委托四川锡水金山环保科技有限公司</w:t>
            </w:r>
            <w:r>
              <w:rPr>
                <w:rFonts w:hint="default" w:ascii="Times New Roman" w:hAnsi="Times New Roman" w:cs="Times New Roman"/>
                <w:color w:val="auto"/>
                <w:highlight w:val="none"/>
              </w:rPr>
              <w:t>于202</w:t>
            </w:r>
            <w:r>
              <w:rPr>
                <w:rFonts w:hint="default" w:ascii="Times New Roman" w:hAnsi="Times New Roman" w:cs="Times New Roman"/>
                <w:color w:val="auto"/>
                <w:highlight w:val="none"/>
                <w:lang w:val="en-US" w:eastAsia="zh-CN"/>
              </w:rPr>
              <w:t>4</w:t>
            </w:r>
            <w:r>
              <w:rPr>
                <w:rFonts w:hint="default" w:ascii="Times New Roman" w:hAnsi="Times New Roman" w:cs="Times New Roman"/>
                <w:color w:val="auto"/>
                <w:highlight w:val="none"/>
              </w:rPr>
              <w:t>年</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月</w:t>
            </w:r>
            <w:r>
              <w:rPr>
                <w:rFonts w:hint="default" w:ascii="Times New Roman" w:hAnsi="Times New Roman" w:cs="Times New Roman"/>
                <w:color w:val="auto"/>
                <w:highlight w:val="none"/>
                <w:lang w:val="en-US" w:eastAsia="zh-CN"/>
              </w:rPr>
              <w:t>18</w:t>
            </w:r>
            <w:r>
              <w:rPr>
                <w:rFonts w:hint="default" w:ascii="Times New Roman" w:hAnsi="Times New Roman" w:cs="Times New Roman"/>
                <w:color w:val="auto"/>
                <w:highlight w:val="none"/>
              </w:rPr>
              <w:t>日~20</w:t>
            </w:r>
            <w:r>
              <w:rPr>
                <w:rFonts w:hint="default" w:ascii="Times New Roman" w:hAnsi="Times New Roman" w:cs="Times New Roman"/>
                <w:color w:val="auto"/>
                <w:highlight w:val="none"/>
                <w:lang w:val="en-US" w:eastAsia="zh-CN"/>
              </w:rPr>
              <w:t>24</w:t>
            </w:r>
            <w:r>
              <w:rPr>
                <w:rFonts w:hint="default" w:ascii="Times New Roman" w:hAnsi="Times New Roman" w:cs="Times New Roman"/>
                <w:color w:val="auto"/>
                <w:highlight w:val="none"/>
              </w:rPr>
              <w:t>年</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月</w:t>
            </w:r>
            <w:r>
              <w:rPr>
                <w:rFonts w:hint="default" w:ascii="Times New Roman" w:hAnsi="Times New Roman" w:cs="Times New Roman"/>
                <w:color w:val="auto"/>
                <w:highlight w:val="none"/>
                <w:lang w:val="en-US" w:eastAsia="zh-CN"/>
              </w:rPr>
              <w:t>19</w:t>
            </w:r>
            <w:r>
              <w:rPr>
                <w:rFonts w:hint="default" w:ascii="Times New Roman" w:hAnsi="Times New Roman" w:cs="Times New Roman"/>
                <w:color w:val="auto"/>
                <w:highlight w:val="none"/>
              </w:rPr>
              <w:t>日</w:t>
            </w:r>
            <w:r>
              <w:rPr>
                <w:rFonts w:hint="default" w:ascii="Times New Roman" w:hAnsi="Times New Roman" w:cs="Times New Roman"/>
                <w:color w:val="auto"/>
                <w:highlight w:val="none"/>
                <w:lang w:val="en-US" w:eastAsia="zh-CN"/>
              </w:rPr>
              <w:t>对</w:t>
            </w:r>
            <w:r>
              <w:rPr>
                <w:rFonts w:hint="default" w:ascii="Times New Roman" w:hAnsi="Times New Roman" w:cs="Times New Roman"/>
                <w:color w:val="auto"/>
                <w:highlight w:val="none"/>
              </w:rPr>
              <w:t>项目所在区域的环境噪声</w:t>
            </w:r>
            <w:r>
              <w:rPr>
                <w:rFonts w:hint="default" w:ascii="Times New Roman" w:hAnsi="Times New Roman" w:cs="Times New Roman"/>
                <w:color w:val="auto"/>
                <w:highlight w:val="none"/>
                <w:lang w:val="en-US" w:eastAsia="zh-CN"/>
              </w:rPr>
              <w:t>进行现状监测</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监测报告见附件2，</w:t>
            </w:r>
            <w:r>
              <w:rPr>
                <w:rFonts w:hint="default" w:ascii="Times New Roman" w:hAnsi="Times New Roman" w:cs="Times New Roman"/>
                <w:b w:val="0"/>
                <w:bCs w:val="0"/>
                <w:color w:val="auto"/>
                <w:highlight w:val="none"/>
                <w:lang w:val="en-US" w:eastAsia="zh-CN"/>
              </w:rPr>
              <w:t>监测内容如下：</w:t>
            </w:r>
          </w:p>
          <w:p>
            <w:pPr>
              <w:tabs>
                <w:tab w:val="left" w:pos="5448"/>
              </w:tabs>
              <w:spacing w:line="360" w:lineRule="auto"/>
              <w:ind w:firstLine="480" w:firstLineChars="200"/>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（1）监测点位设置</w:t>
            </w:r>
          </w:p>
          <w:p>
            <w:pPr>
              <w:autoSpaceDE w:val="0"/>
              <w:autoSpaceDN w:val="0"/>
              <w:adjustRightInd w:val="0"/>
              <w:spacing w:line="360" w:lineRule="auto"/>
              <w:ind w:firstLine="480" w:firstLineChars="20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根据评价范围内环境保护目标分布情况及区域环境状况，各个监测点布设位置见表3-</w:t>
            </w:r>
            <w:r>
              <w:rPr>
                <w:rFonts w:hint="default" w:ascii="Times New Roman" w:hAnsi="Times New Roman" w:cs="Times New Roman"/>
                <w:color w:val="auto"/>
                <w:highlight w:val="none"/>
                <w:lang w:val="en-US" w:eastAsia="zh-CN"/>
              </w:rPr>
              <w:t>6</w:t>
            </w:r>
            <w:r>
              <w:rPr>
                <w:rFonts w:hint="default" w:ascii="Times New Roman" w:hAnsi="Times New Roman" w:cs="Times New Roman"/>
                <w:color w:val="auto"/>
                <w:highlight w:val="none"/>
              </w:rPr>
              <w:t>。</w:t>
            </w:r>
          </w:p>
          <w:p>
            <w:pPr>
              <w:pStyle w:val="16"/>
              <w:bidi w:val="0"/>
              <w:rPr>
                <w:rFonts w:hint="default" w:ascii="Times New Roman" w:hAnsi="Times New Roman" w:cs="Times New Roman"/>
                <w:highlight w:val="none"/>
              </w:rPr>
            </w:pPr>
            <w:r>
              <w:rPr>
                <w:rFonts w:hint="default" w:ascii="Times New Roman" w:hAnsi="Times New Roman" w:cs="Times New Roman"/>
                <w:highlight w:val="none"/>
              </w:rPr>
              <w:t>表3-</w:t>
            </w:r>
            <w:r>
              <w:rPr>
                <w:rFonts w:hint="default" w:ascii="Times New Roman" w:hAnsi="Times New Roman" w:cs="Times New Roman"/>
                <w:highlight w:val="none"/>
                <w:lang w:val="en-US" w:eastAsia="zh-CN"/>
              </w:rPr>
              <w:t>6</w:t>
            </w:r>
            <w:r>
              <w:rPr>
                <w:rFonts w:hint="default" w:ascii="Times New Roman" w:hAnsi="Times New Roman" w:cs="Times New Roman"/>
                <w:highlight w:val="none"/>
              </w:rPr>
              <w:t xml:space="preserve"> </w:t>
            </w:r>
            <w:r>
              <w:rPr>
                <w:rFonts w:hint="default" w:ascii="Times New Roman" w:hAnsi="Times New Roman" w:cs="Times New Roman"/>
                <w:highlight w:val="none"/>
                <w:lang w:val="en-US" w:eastAsia="zh-CN"/>
              </w:rPr>
              <w:t xml:space="preserve"> </w:t>
            </w:r>
            <w:r>
              <w:rPr>
                <w:rFonts w:hint="default" w:ascii="Times New Roman" w:hAnsi="Times New Roman" w:cs="Times New Roman"/>
                <w:highlight w:val="none"/>
              </w:rPr>
              <w:t>监测点位布设一览表</w:t>
            </w:r>
          </w:p>
          <w:tbl>
            <w:tblPr>
              <w:tblStyle w:val="11"/>
              <w:tblW w:w="8601"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811"/>
              <w:gridCol w:w="3390"/>
              <w:gridCol w:w="240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11" w:type="dxa"/>
                  <w:tcBorders>
                    <w:tl2br w:val="nil"/>
                    <w:tr2bl w:val="nil"/>
                  </w:tcBorders>
                  <w:noWrap w:val="0"/>
                  <w:vAlign w:val="center"/>
                </w:tcPr>
                <w:p>
                  <w:pPr>
                    <w:pStyle w:val="15"/>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监测点位</w:t>
                  </w:r>
                </w:p>
              </w:tc>
              <w:tc>
                <w:tcPr>
                  <w:tcW w:w="3390" w:type="dxa"/>
                  <w:tcBorders>
                    <w:tl2br w:val="nil"/>
                    <w:tr2bl w:val="nil"/>
                  </w:tcBorders>
                  <w:noWrap w:val="0"/>
                  <w:vAlign w:val="center"/>
                </w:tcPr>
                <w:p>
                  <w:pPr>
                    <w:pStyle w:val="15"/>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监测位置</w:t>
                  </w:r>
                </w:p>
              </w:tc>
              <w:tc>
                <w:tcPr>
                  <w:tcW w:w="2400" w:type="dxa"/>
                  <w:tcBorders>
                    <w:tl2br w:val="nil"/>
                    <w:tr2bl w:val="nil"/>
                  </w:tcBorders>
                  <w:noWrap w:val="0"/>
                  <w:vAlign w:val="center"/>
                </w:tcPr>
                <w:p>
                  <w:pPr>
                    <w:pStyle w:val="15"/>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监测时间及频次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11"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w:t>
                  </w:r>
                </w:p>
              </w:tc>
              <w:tc>
                <w:tcPr>
                  <w:tcW w:w="3390" w:type="dxa"/>
                  <w:tcBorders>
                    <w:tl2br w:val="nil"/>
                    <w:tr2bl w:val="nil"/>
                  </w:tcBorders>
                  <w:noWrap w:val="0"/>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花房子居民处</w:t>
                  </w:r>
                </w:p>
              </w:tc>
              <w:tc>
                <w:tcPr>
                  <w:tcW w:w="2400" w:type="dxa"/>
                  <w:vMerge w:val="restart"/>
                  <w:tcBorders>
                    <w:tl2br w:val="nil"/>
                    <w:tr2bl w:val="nil"/>
                  </w:tcBorders>
                  <w:noWrap w:val="0"/>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2天，昼夜各一次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11" w:type="dxa"/>
                  <w:tcBorders>
                    <w:tl2br w:val="nil"/>
                    <w:tr2bl w:val="nil"/>
                  </w:tcBorders>
                  <w:noWrap w:val="0"/>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w:t>
                  </w:r>
                </w:p>
              </w:tc>
              <w:tc>
                <w:tcPr>
                  <w:tcW w:w="3390" w:type="dxa"/>
                  <w:tcBorders>
                    <w:tl2br w:val="nil"/>
                    <w:tr2bl w:val="nil"/>
                  </w:tcBorders>
                  <w:noWrap w:val="0"/>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后营坝左岸居民处</w:t>
                  </w:r>
                </w:p>
              </w:tc>
              <w:tc>
                <w:tcPr>
                  <w:tcW w:w="2400" w:type="dxa"/>
                  <w:vMerge w:val="continue"/>
                  <w:tcBorders>
                    <w:tl2br w:val="nil"/>
                    <w:tr2bl w:val="nil"/>
                  </w:tcBorders>
                  <w:noWrap w:val="0"/>
                  <w:vAlign w:val="center"/>
                </w:tcPr>
                <w:p>
                  <w:pPr>
                    <w:pStyle w:val="15"/>
                    <w:bidi w:val="0"/>
                    <w:rPr>
                      <w:rFonts w:hint="default" w:ascii="Times New Roman" w:hAnsi="Times New Roman"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11"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3#</w:t>
                  </w:r>
                </w:p>
              </w:tc>
              <w:tc>
                <w:tcPr>
                  <w:tcW w:w="3390" w:type="dxa"/>
                  <w:tcBorders>
                    <w:tl2br w:val="nil"/>
                    <w:tr2bl w:val="nil"/>
                  </w:tcBorders>
                  <w:noWrap w:val="0"/>
                  <w:vAlign w:val="center"/>
                </w:tcPr>
                <w:p>
                  <w:pPr>
                    <w:pStyle w:val="15"/>
                    <w:bidi w:val="0"/>
                    <w:rPr>
                      <w:rFonts w:hint="default" w:ascii="Times New Roman" w:hAnsi="Times New Roman" w:cs="Times New Roman"/>
                      <w:color w:val="auto"/>
                      <w:highlight w:val="none"/>
                      <w:lang w:val="en-US"/>
                    </w:rPr>
                  </w:pPr>
                  <w:r>
                    <w:rPr>
                      <w:rFonts w:hint="default" w:ascii="Times New Roman" w:hAnsi="Times New Roman" w:cs="Times New Roman"/>
                      <w:color w:val="auto"/>
                      <w:highlight w:val="none"/>
                      <w:lang w:val="en-US" w:eastAsia="zh-CN"/>
                    </w:rPr>
                    <w:t>后营坝右岸居民处</w:t>
                  </w:r>
                </w:p>
              </w:tc>
              <w:tc>
                <w:tcPr>
                  <w:tcW w:w="2400" w:type="dxa"/>
                  <w:vMerge w:val="continue"/>
                  <w:tcBorders>
                    <w:tl2br w:val="nil"/>
                    <w:tr2bl w:val="nil"/>
                  </w:tcBorders>
                  <w:noWrap w:val="0"/>
                  <w:vAlign w:val="center"/>
                </w:tcPr>
                <w:p>
                  <w:pPr>
                    <w:pStyle w:val="15"/>
                    <w:bidi w:val="0"/>
                    <w:rPr>
                      <w:rFonts w:hint="default" w:ascii="Times New Roman" w:hAnsi="Times New Roman"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11" w:type="dxa"/>
                  <w:tcBorders>
                    <w:tl2br w:val="nil"/>
                    <w:tr2bl w:val="nil"/>
                  </w:tcBorders>
                  <w:noWrap w:val="0"/>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w:t>
                  </w:r>
                </w:p>
              </w:tc>
              <w:tc>
                <w:tcPr>
                  <w:tcW w:w="3390" w:type="dxa"/>
                  <w:tcBorders>
                    <w:tl2br w:val="nil"/>
                    <w:tr2bl w:val="nil"/>
                  </w:tcBorders>
                  <w:noWrap w:val="0"/>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鲤鱼塝居民处</w:t>
                  </w:r>
                </w:p>
              </w:tc>
              <w:tc>
                <w:tcPr>
                  <w:tcW w:w="2400" w:type="dxa"/>
                  <w:vMerge w:val="continue"/>
                  <w:tcBorders>
                    <w:tl2br w:val="nil"/>
                    <w:tr2bl w:val="nil"/>
                  </w:tcBorders>
                  <w:noWrap w:val="0"/>
                  <w:vAlign w:val="center"/>
                </w:tcPr>
                <w:p>
                  <w:pPr>
                    <w:pStyle w:val="15"/>
                    <w:bidi w:val="0"/>
                    <w:rPr>
                      <w:rFonts w:hint="default" w:ascii="Times New Roman" w:hAnsi="Times New Roman"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11" w:type="dxa"/>
                  <w:tcBorders>
                    <w:tl2br w:val="nil"/>
                    <w:tr2bl w:val="nil"/>
                  </w:tcBorders>
                  <w:noWrap w:val="0"/>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w:t>
                  </w:r>
                </w:p>
              </w:tc>
              <w:tc>
                <w:tcPr>
                  <w:tcW w:w="3390" w:type="dxa"/>
                  <w:tcBorders>
                    <w:tl2br w:val="nil"/>
                    <w:tr2bl w:val="nil"/>
                  </w:tcBorders>
                  <w:noWrap w:val="0"/>
                  <w:vAlign w:val="center"/>
                </w:tcPr>
                <w:p>
                  <w:pPr>
                    <w:pStyle w:val="15"/>
                    <w:bidi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冯家坝居民处</w:t>
                  </w:r>
                </w:p>
              </w:tc>
              <w:tc>
                <w:tcPr>
                  <w:tcW w:w="2400" w:type="dxa"/>
                  <w:vMerge w:val="continue"/>
                  <w:tcBorders>
                    <w:tl2br w:val="nil"/>
                    <w:tr2bl w:val="nil"/>
                  </w:tcBorders>
                  <w:noWrap w:val="0"/>
                  <w:vAlign w:val="center"/>
                </w:tcPr>
                <w:p>
                  <w:pPr>
                    <w:pStyle w:val="15"/>
                    <w:bidi w:val="0"/>
                    <w:rPr>
                      <w:rFonts w:hint="default" w:ascii="Times New Roman" w:hAnsi="Times New Roman"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11" w:type="dxa"/>
                  <w:tcBorders>
                    <w:tl2br w:val="nil"/>
                    <w:tr2bl w:val="nil"/>
                  </w:tcBorders>
                  <w:noWrap w:val="0"/>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w:t>
                  </w:r>
                </w:p>
              </w:tc>
              <w:tc>
                <w:tcPr>
                  <w:tcW w:w="3390" w:type="dxa"/>
                  <w:tcBorders>
                    <w:tl2br w:val="nil"/>
                    <w:tr2bl w:val="nil"/>
                  </w:tcBorders>
                  <w:noWrap w:val="0"/>
                  <w:vAlign w:val="center"/>
                </w:tcPr>
                <w:p>
                  <w:pPr>
                    <w:pStyle w:val="15"/>
                    <w:bidi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黄家湾居民处</w:t>
                  </w:r>
                </w:p>
              </w:tc>
              <w:tc>
                <w:tcPr>
                  <w:tcW w:w="2400" w:type="dxa"/>
                  <w:vMerge w:val="continue"/>
                  <w:tcBorders>
                    <w:tl2br w:val="nil"/>
                    <w:tr2bl w:val="nil"/>
                  </w:tcBorders>
                  <w:noWrap w:val="0"/>
                  <w:vAlign w:val="center"/>
                </w:tcPr>
                <w:p>
                  <w:pPr>
                    <w:pStyle w:val="15"/>
                    <w:bidi w:val="0"/>
                    <w:rPr>
                      <w:rFonts w:hint="default" w:ascii="Times New Roman" w:hAnsi="Times New Roman"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11" w:type="dxa"/>
                  <w:tcBorders>
                    <w:tl2br w:val="nil"/>
                    <w:tr2bl w:val="nil"/>
                  </w:tcBorders>
                  <w:noWrap w:val="0"/>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w:t>
                  </w:r>
                </w:p>
              </w:tc>
              <w:tc>
                <w:tcPr>
                  <w:tcW w:w="3390" w:type="dxa"/>
                  <w:tcBorders>
                    <w:tl2br w:val="nil"/>
                    <w:tr2bl w:val="nil"/>
                  </w:tcBorders>
                  <w:noWrap w:val="0"/>
                  <w:vAlign w:val="center"/>
                </w:tcPr>
                <w:p>
                  <w:pPr>
                    <w:pStyle w:val="15"/>
                    <w:bidi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黄家湾桥右岸居民处</w:t>
                  </w:r>
                </w:p>
              </w:tc>
              <w:tc>
                <w:tcPr>
                  <w:tcW w:w="2400" w:type="dxa"/>
                  <w:vMerge w:val="continue"/>
                  <w:tcBorders>
                    <w:tl2br w:val="nil"/>
                    <w:tr2bl w:val="nil"/>
                  </w:tcBorders>
                  <w:noWrap w:val="0"/>
                  <w:vAlign w:val="center"/>
                </w:tcPr>
                <w:p>
                  <w:pPr>
                    <w:pStyle w:val="15"/>
                    <w:bidi w:val="0"/>
                    <w:rPr>
                      <w:rFonts w:hint="default" w:ascii="Times New Roman" w:hAnsi="Times New Roman" w:cs="Times New Roman"/>
                      <w:color w:val="auto"/>
                      <w:highlight w:val="none"/>
                    </w:rPr>
                  </w:pPr>
                </w:p>
              </w:tc>
            </w:tr>
          </w:tbl>
          <w:p>
            <w:pPr>
              <w:tabs>
                <w:tab w:val="left" w:pos="5448"/>
              </w:tabs>
              <w:spacing w:line="360" w:lineRule="auto"/>
              <w:ind w:firstLine="480" w:firstLineChars="200"/>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（2）监测时间、频次及方法</w:t>
            </w:r>
          </w:p>
          <w:p>
            <w:pPr>
              <w:tabs>
                <w:tab w:val="left" w:pos="5448"/>
              </w:tabs>
              <w:spacing w:line="360" w:lineRule="auto"/>
              <w:ind w:firstLine="480" w:firstLineChars="200"/>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严格按技术导则、声环境质量标准等相关技术规范要求进行实测。</w:t>
            </w:r>
          </w:p>
          <w:p>
            <w:pPr>
              <w:tabs>
                <w:tab w:val="left" w:pos="5448"/>
              </w:tabs>
              <w:spacing w:line="360" w:lineRule="auto"/>
              <w:ind w:firstLine="480" w:firstLineChars="200"/>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监测内容：代表点位的昼间和夜间连续等效A声级。</w:t>
            </w:r>
          </w:p>
          <w:p>
            <w:pPr>
              <w:tabs>
                <w:tab w:val="left" w:pos="5448"/>
              </w:tabs>
              <w:spacing w:line="360" w:lineRule="auto"/>
              <w:ind w:firstLine="480" w:firstLineChars="200"/>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监测时间及频次：2天，昼间连续16小时等效A声级、夜间连续8小时等效A声级。</w:t>
            </w:r>
          </w:p>
          <w:p>
            <w:pPr>
              <w:tabs>
                <w:tab w:val="left" w:pos="5448"/>
              </w:tabs>
              <w:spacing w:line="360" w:lineRule="auto"/>
              <w:ind w:firstLine="480" w:firstLineChars="200"/>
              <w:rPr>
                <w:rFonts w:hint="default" w:ascii="Times New Roman" w:hAnsi="Times New Roman" w:cs="Times New Roman"/>
                <w:highlight w:val="none"/>
              </w:rPr>
            </w:pPr>
            <w:r>
              <w:rPr>
                <w:rFonts w:hint="default" w:ascii="Times New Roman" w:hAnsi="Times New Roman" w:cs="Times New Roman"/>
                <w:bCs/>
                <w:color w:val="auto"/>
                <w:highlight w:val="none"/>
              </w:rPr>
              <w:t>（3）监测结果</w:t>
            </w:r>
          </w:p>
          <w:p>
            <w:pPr>
              <w:pStyle w:val="16"/>
              <w:bidi w:val="0"/>
              <w:rPr>
                <w:rFonts w:hint="default" w:ascii="Times New Roman" w:hAnsi="Times New Roman" w:cs="Times New Roman"/>
                <w:highlight w:val="none"/>
              </w:rPr>
            </w:pPr>
            <w:r>
              <w:rPr>
                <w:rFonts w:hint="default" w:ascii="Times New Roman" w:hAnsi="Times New Roman" w:cs="Times New Roman"/>
                <w:highlight w:val="none"/>
              </w:rPr>
              <w:t>表3-</w:t>
            </w:r>
            <w:r>
              <w:rPr>
                <w:rFonts w:hint="default" w:ascii="Times New Roman" w:hAnsi="Times New Roman" w:cs="Times New Roman"/>
                <w:highlight w:val="none"/>
                <w:lang w:val="en-US" w:eastAsia="zh-CN"/>
              </w:rPr>
              <w:t>7</w:t>
            </w:r>
            <w:r>
              <w:rPr>
                <w:rFonts w:hint="default" w:ascii="Times New Roman" w:hAnsi="Times New Roman" w:cs="Times New Roman"/>
                <w:highlight w:val="none"/>
              </w:rPr>
              <w:t xml:space="preserve">  噪声监测及评价结果表   单位：dB（A）</w:t>
            </w:r>
          </w:p>
          <w:tbl>
            <w:tblPr>
              <w:tblStyle w:val="11"/>
              <w:tblW w:w="860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116"/>
              <w:gridCol w:w="1019"/>
              <w:gridCol w:w="957"/>
              <w:gridCol w:w="953"/>
              <w:gridCol w:w="814"/>
              <w:gridCol w:w="869"/>
              <w:gridCol w:w="87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67" w:hRule="exact"/>
                <w:jc w:val="center"/>
              </w:trPr>
              <w:tc>
                <w:tcPr>
                  <w:tcW w:w="3116" w:type="dxa"/>
                  <w:vMerge w:val="restart"/>
                  <w:tcBorders>
                    <w:tl2br w:val="nil"/>
                    <w:tr2bl w:val="nil"/>
                  </w:tcBorders>
                  <w:noWrap w:val="0"/>
                  <w:vAlign w:val="center"/>
                </w:tcPr>
                <w:p>
                  <w:pPr>
                    <w:pStyle w:val="15"/>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时间</w:t>
                  </w:r>
                  <w:r>
                    <w:rPr>
                      <w:rFonts w:hint="default" w:ascii="Times New Roman" w:hAnsi="Times New Roman" w:cs="Times New Roman"/>
                      <w:b/>
                      <w:bCs/>
                      <w:color w:val="auto"/>
                      <w:highlight w:val="none"/>
                      <w:lang w:val="en-US" w:eastAsia="zh-CN"/>
                    </w:rPr>
                    <w:t>/</w:t>
                  </w:r>
                  <w:r>
                    <w:rPr>
                      <w:rFonts w:hint="default" w:ascii="Times New Roman" w:hAnsi="Times New Roman" w:cs="Times New Roman"/>
                      <w:b/>
                      <w:bCs/>
                      <w:color w:val="auto"/>
                      <w:highlight w:val="none"/>
                    </w:rPr>
                    <w:t>点位</w:t>
                  </w:r>
                </w:p>
              </w:tc>
              <w:tc>
                <w:tcPr>
                  <w:tcW w:w="1976" w:type="dxa"/>
                  <w:gridSpan w:val="2"/>
                  <w:tcBorders>
                    <w:tl2br w:val="nil"/>
                    <w:tr2bl w:val="nil"/>
                  </w:tcBorders>
                  <w:noWrap w:val="0"/>
                  <w:vAlign w:val="center"/>
                </w:tcPr>
                <w:p>
                  <w:pPr>
                    <w:pStyle w:val="15"/>
                    <w:bidi w:val="0"/>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rPr>
                    <w:t>202</w:t>
                  </w:r>
                  <w:r>
                    <w:rPr>
                      <w:rFonts w:hint="default" w:ascii="Times New Roman" w:hAnsi="Times New Roman" w:cs="Times New Roman"/>
                      <w:b/>
                      <w:bCs/>
                      <w:color w:val="auto"/>
                      <w:highlight w:val="none"/>
                      <w:lang w:val="en-US" w:eastAsia="zh-CN"/>
                    </w:rPr>
                    <w:t>4.01.18</w:t>
                  </w:r>
                </w:p>
              </w:tc>
              <w:tc>
                <w:tcPr>
                  <w:tcW w:w="1767" w:type="dxa"/>
                  <w:gridSpan w:val="2"/>
                  <w:tcBorders>
                    <w:tl2br w:val="nil"/>
                    <w:tr2bl w:val="nil"/>
                  </w:tcBorders>
                  <w:noWrap w:val="0"/>
                  <w:vAlign w:val="center"/>
                </w:tcPr>
                <w:p>
                  <w:pPr>
                    <w:pStyle w:val="15"/>
                    <w:bidi w:val="0"/>
                    <w:rPr>
                      <w:rFonts w:hint="default" w:ascii="Times New Roman" w:hAnsi="Times New Roman" w:eastAsia="宋体" w:cs="Times New Roman"/>
                      <w:b/>
                      <w:bCs/>
                      <w:color w:val="auto"/>
                      <w:highlight w:val="none"/>
                      <w:lang w:val="en-US" w:eastAsia="zh-CN"/>
                    </w:rPr>
                  </w:pPr>
                  <w:r>
                    <w:rPr>
                      <w:rFonts w:hint="default" w:ascii="Times New Roman" w:hAnsi="Times New Roman" w:cs="Times New Roman"/>
                      <w:b/>
                      <w:bCs/>
                      <w:color w:val="auto"/>
                      <w:highlight w:val="none"/>
                      <w:lang w:val="en-US" w:eastAsia="zh-CN"/>
                    </w:rPr>
                    <w:t>2024.01.19</w:t>
                  </w:r>
                </w:p>
              </w:tc>
              <w:tc>
                <w:tcPr>
                  <w:tcW w:w="1741" w:type="dxa"/>
                  <w:gridSpan w:val="2"/>
                  <w:tcBorders>
                    <w:tl2br w:val="nil"/>
                    <w:tr2bl w:val="nil"/>
                  </w:tcBorders>
                  <w:noWrap w:val="0"/>
                  <w:vAlign w:val="center"/>
                </w:tcPr>
                <w:p>
                  <w:pPr>
                    <w:pStyle w:val="15"/>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执行标准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67" w:hRule="exact"/>
                <w:jc w:val="center"/>
              </w:trPr>
              <w:tc>
                <w:tcPr>
                  <w:tcW w:w="3116" w:type="dxa"/>
                  <w:vMerge w:val="continue"/>
                  <w:tcBorders>
                    <w:tl2br w:val="nil"/>
                    <w:tr2bl w:val="nil"/>
                  </w:tcBorders>
                  <w:noWrap w:val="0"/>
                  <w:vAlign w:val="center"/>
                </w:tcPr>
                <w:p>
                  <w:pPr>
                    <w:pStyle w:val="15"/>
                    <w:bidi w:val="0"/>
                    <w:rPr>
                      <w:rFonts w:hint="default" w:ascii="Times New Roman" w:hAnsi="Times New Roman" w:cs="Times New Roman"/>
                      <w:b/>
                      <w:bCs/>
                      <w:color w:val="auto"/>
                      <w:highlight w:val="none"/>
                    </w:rPr>
                  </w:pPr>
                </w:p>
              </w:tc>
              <w:tc>
                <w:tcPr>
                  <w:tcW w:w="1019" w:type="dxa"/>
                  <w:tcBorders>
                    <w:tl2br w:val="nil"/>
                    <w:tr2bl w:val="nil"/>
                  </w:tcBorders>
                  <w:noWrap w:val="0"/>
                  <w:vAlign w:val="center"/>
                </w:tcPr>
                <w:p>
                  <w:pPr>
                    <w:pStyle w:val="15"/>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昼间</w:t>
                  </w:r>
                </w:p>
              </w:tc>
              <w:tc>
                <w:tcPr>
                  <w:tcW w:w="957" w:type="dxa"/>
                  <w:tcBorders>
                    <w:tl2br w:val="nil"/>
                    <w:tr2bl w:val="nil"/>
                  </w:tcBorders>
                  <w:noWrap w:val="0"/>
                  <w:vAlign w:val="center"/>
                </w:tcPr>
                <w:p>
                  <w:pPr>
                    <w:pStyle w:val="15"/>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夜间</w:t>
                  </w:r>
                </w:p>
              </w:tc>
              <w:tc>
                <w:tcPr>
                  <w:tcW w:w="953" w:type="dxa"/>
                  <w:tcBorders>
                    <w:tl2br w:val="nil"/>
                    <w:tr2bl w:val="nil"/>
                  </w:tcBorders>
                  <w:noWrap w:val="0"/>
                  <w:vAlign w:val="center"/>
                </w:tcPr>
                <w:p>
                  <w:pPr>
                    <w:pStyle w:val="15"/>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昼间</w:t>
                  </w:r>
                </w:p>
              </w:tc>
              <w:tc>
                <w:tcPr>
                  <w:tcW w:w="814" w:type="dxa"/>
                  <w:tcBorders>
                    <w:tl2br w:val="nil"/>
                    <w:tr2bl w:val="nil"/>
                  </w:tcBorders>
                  <w:noWrap w:val="0"/>
                  <w:vAlign w:val="center"/>
                </w:tcPr>
                <w:p>
                  <w:pPr>
                    <w:pStyle w:val="15"/>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夜间</w:t>
                  </w:r>
                </w:p>
              </w:tc>
              <w:tc>
                <w:tcPr>
                  <w:tcW w:w="869" w:type="dxa"/>
                  <w:tcBorders>
                    <w:tl2br w:val="nil"/>
                    <w:tr2bl w:val="nil"/>
                  </w:tcBorders>
                  <w:noWrap w:val="0"/>
                  <w:vAlign w:val="center"/>
                </w:tcPr>
                <w:p>
                  <w:pPr>
                    <w:pStyle w:val="15"/>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昼间</w:t>
                  </w:r>
                </w:p>
              </w:tc>
              <w:tc>
                <w:tcPr>
                  <w:tcW w:w="872" w:type="dxa"/>
                  <w:tcBorders>
                    <w:tl2br w:val="nil"/>
                    <w:tr2bl w:val="nil"/>
                  </w:tcBorders>
                  <w:noWrap w:val="0"/>
                  <w:vAlign w:val="center"/>
                </w:tcPr>
                <w:p>
                  <w:pPr>
                    <w:pStyle w:val="15"/>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67" w:hRule="exact"/>
                <w:jc w:val="center"/>
              </w:trPr>
              <w:tc>
                <w:tcPr>
                  <w:tcW w:w="3116" w:type="dxa"/>
                  <w:tcBorders>
                    <w:tl2br w:val="nil"/>
                    <w:tr2bl w:val="nil"/>
                  </w:tcBorders>
                  <w:noWrap w:val="0"/>
                  <w:vAlign w:val="center"/>
                </w:tcPr>
                <w:p>
                  <w:pPr>
                    <w:pStyle w:val="15"/>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1#花房子居民处</w:t>
                  </w:r>
                </w:p>
              </w:tc>
              <w:tc>
                <w:tcPr>
                  <w:tcW w:w="1019" w:type="dxa"/>
                  <w:tcBorders>
                    <w:tl2br w:val="nil"/>
                    <w:tr2bl w:val="nil"/>
                  </w:tcBorders>
                  <w:noWrap w:val="0"/>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50</w:t>
                  </w:r>
                </w:p>
              </w:tc>
              <w:tc>
                <w:tcPr>
                  <w:tcW w:w="957" w:type="dxa"/>
                  <w:tcBorders>
                    <w:tl2br w:val="nil"/>
                    <w:tr2bl w:val="nil"/>
                  </w:tcBorders>
                  <w:noWrap w:val="0"/>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39</w:t>
                  </w:r>
                </w:p>
              </w:tc>
              <w:tc>
                <w:tcPr>
                  <w:tcW w:w="953" w:type="dxa"/>
                  <w:tcBorders>
                    <w:tl2br w:val="nil"/>
                    <w:tr2bl w:val="nil"/>
                  </w:tcBorders>
                  <w:noWrap w:val="0"/>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49</w:t>
                  </w:r>
                </w:p>
              </w:tc>
              <w:tc>
                <w:tcPr>
                  <w:tcW w:w="814" w:type="dxa"/>
                  <w:tcBorders>
                    <w:tl2br w:val="nil"/>
                    <w:tr2bl w:val="nil"/>
                  </w:tcBorders>
                  <w:noWrap w:val="0"/>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43</w:t>
                  </w:r>
                </w:p>
              </w:tc>
              <w:tc>
                <w:tcPr>
                  <w:tcW w:w="869" w:type="dxa"/>
                  <w:tcBorders>
                    <w:tl2br w:val="nil"/>
                    <w:tr2bl w:val="nil"/>
                  </w:tcBorders>
                  <w:noWrap w:val="0"/>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60</w:t>
                  </w:r>
                </w:p>
              </w:tc>
              <w:tc>
                <w:tcPr>
                  <w:tcW w:w="872" w:type="dxa"/>
                  <w:tcBorders>
                    <w:tl2br w:val="nil"/>
                    <w:tr2bl w:val="nil"/>
                  </w:tcBorders>
                  <w:noWrap w:val="0"/>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67" w:hRule="exact"/>
                <w:jc w:val="center"/>
              </w:trPr>
              <w:tc>
                <w:tcPr>
                  <w:tcW w:w="3116" w:type="dxa"/>
                  <w:tcBorders>
                    <w:tl2br w:val="nil"/>
                    <w:tr2bl w:val="nil"/>
                  </w:tcBorders>
                  <w:noWrap w:val="0"/>
                  <w:vAlign w:val="center"/>
                </w:tcPr>
                <w:p>
                  <w:pPr>
                    <w:pStyle w:val="15"/>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2#后营坝左岸居民处</w:t>
                  </w:r>
                </w:p>
              </w:tc>
              <w:tc>
                <w:tcPr>
                  <w:tcW w:w="1019" w:type="dxa"/>
                  <w:tcBorders>
                    <w:tl2br w:val="nil"/>
                    <w:tr2bl w:val="nil"/>
                  </w:tcBorders>
                  <w:noWrap w:val="0"/>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49</w:t>
                  </w:r>
                </w:p>
              </w:tc>
              <w:tc>
                <w:tcPr>
                  <w:tcW w:w="957" w:type="dxa"/>
                  <w:tcBorders>
                    <w:tl2br w:val="nil"/>
                    <w:tr2bl w:val="nil"/>
                  </w:tcBorders>
                  <w:noWrap w:val="0"/>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37</w:t>
                  </w:r>
                </w:p>
              </w:tc>
              <w:tc>
                <w:tcPr>
                  <w:tcW w:w="953" w:type="dxa"/>
                  <w:tcBorders>
                    <w:tl2br w:val="nil"/>
                    <w:tr2bl w:val="nil"/>
                  </w:tcBorders>
                  <w:noWrap w:val="0"/>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51</w:t>
                  </w:r>
                </w:p>
              </w:tc>
              <w:tc>
                <w:tcPr>
                  <w:tcW w:w="814" w:type="dxa"/>
                  <w:tcBorders>
                    <w:tl2br w:val="nil"/>
                    <w:tr2bl w:val="nil"/>
                  </w:tcBorders>
                  <w:noWrap w:val="0"/>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38</w:t>
                  </w:r>
                </w:p>
              </w:tc>
              <w:tc>
                <w:tcPr>
                  <w:tcW w:w="869" w:type="dxa"/>
                  <w:tcBorders>
                    <w:tl2br w:val="nil"/>
                    <w:tr2bl w:val="nil"/>
                  </w:tcBorders>
                  <w:noWrap w:val="0"/>
                  <w:vAlign w:val="center"/>
                </w:tcPr>
                <w:p>
                  <w:pPr>
                    <w:pStyle w:val="15"/>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60</w:t>
                  </w:r>
                </w:p>
              </w:tc>
              <w:tc>
                <w:tcPr>
                  <w:tcW w:w="872" w:type="dxa"/>
                  <w:tcBorders>
                    <w:tl2br w:val="nil"/>
                    <w:tr2bl w:val="nil"/>
                  </w:tcBorders>
                  <w:noWrap w:val="0"/>
                  <w:vAlign w:val="center"/>
                </w:tcPr>
                <w:p>
                  <w:pPr>
                    <w:pStyle w:val="15"/>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67" w:hRule="exact"/>
                <w:jc w:val="center"/>
              </w:trPr>
              <w:tc>
                <w:tcPr>
                  <w:tcW w:w="3116" w:type="dxa"/>
                  <w:tcBorders>
                    <w:tl2br w:val="nil"/>
                    <w:tr2bl w:val="nil"/>
                  </w:tcBorders>
                  <w:noWrap w:val="0"/>
                  <w:vAlign w:val="center"/>
                </w:tcPr>
                <w:p>
                  <w:pPr>
                    <w:pStyle w:val="15"/>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3#后营坝右岸居民处</w:t>
                  </w:r>
                </w:p>
              </w:tc>
              <w:tc>
                <w:tcPr>
                  <w:tcW w:w="1019" w:type="dxa"/>
                  <w:tcBorders>
                    <w:tl2br w:val="nil"/>
                    <w:tr2bl w:val="nil"/>
                  </w:tcBorders>
                  <w:noWrap w:val="0"/>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52</w:t>
                  </w:r>
                </w:p>
              </w:tc>
              <w:tc>
                <w:tcPr>
                  <w:tcW w:w="957" w:type="dxa"/>
                  <w:tcBorders>
                    <w:tl2br w:val="nil"/>
                    <w:tr2bl w:val="nil"/>
                  </w:tcBorders>
                  <w:noWrap w:val="0"/>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43</w:t>
                  </w:r>
                </w:p>
              </w:tc>
              <w:tc>
                <w:tcPr>
                  <w:tcW w:w="953" w:type="dxa"/>
                  <w:tcBorders>
                    <w:tl2br w:val="nil"/>
                    <w:tr2bl w:val="nil"/>
                  </w:tcBorders>
                  <w:noWrap w:val="0"/>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53</w:t>
                  </w:r>
                </w:p>
              </w:tc>
              <w:tc>
                <w:tcPr>
                  <w:tcW w:w="814" w:type="dxa"/>
                  <w:tcBorders>
                    <w:tl2br w:val="nil"/>
                    <w:tr2bl w:val="nil"/>
                  </w:tcBorders>
                  <w:noWrap w:val="0"/>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43</w:t>
                  </w:r>
                </w:p>
              </w:tc>
              <w:tc>
                <w:tcPr>
                  <w:tcW w:w="869" w:type="dxa"/>
                  <w:tcBorders>
                    <w:tl2br w:val="nil"/>
                    <w:tr2bl w:val="nil"/>
                  </w:tcBorders>
                  <w:noWrap w:val="0"/>
                  <w:vAlign w:val="center"/>
                </w:tcPr>
                <w:p>
                  <w:pPr>
                    <w:pStyle w:val="15"/>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60</w:t>
                  </w:r>
                </w:p>
              </w:tc>
              <w:tc>
                <w:tcPr>
                  <w:tcW w:w="872" w:type="dxa"/>
                  <w:tcBorders>
                    <w:tl2br w:val="nil"/>
                    <w:tr2bl w:val="nil"/>
                  </w:tcBorders>
                  <w:noWrap w:val="0"/>
                  <w:vAlign w:val="center"/>
                </w:tcPr>
                <w:p>
                  <w:pPr>
                    <w:pStyle w:val="15"/>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67" w:hRule="exact"/>
                <w:jc w:val="center"/>
              </w:trPr>
              <w:tc>
                <w:tcPr>
                  <w:tcW w:w="3116" w:type="dxa"/>
                  <w:tcBorders>
                    <w:tl2br w:val="nil"/>
                    <w:tr2bl w:val="nil"/>
                  </w:tcBorders>
                  <w:noWrap w:val="0"/>
                  <w:vAlign w:val="center"/>
                </w:tcPr>
                <w:p>
                  <w:pPr>
                    <w:pStyle w:val="15"/>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4#鲤鱼塝居民处</w:t>
                  </w:r>
                </w:p>
              </w:tc>
              <w:tc>
                <w:tcPr>
                  <w:tcW w:w="1019" w:type="dxa"/>
                  <w:tcBorders>
                    <w:tl2br w:val="nil"/>
                    <w:tr2bl w:val="nil"/>
                  </w:tcBorders>
                  <w:noWrap w:val="0"/>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55</w:t>
                  </w:r>
                </w:p>
              </w:tc>
              <w:tc>
                <w:tcPr>
                  <w:tcW w:w="957" w:type="dxa"/>
                  <w:tcBorders>
                    <w:tl2br w:val="nil"/>
                    <w:tr2bl w:val="nil"/>
                  </w:tcBorders>
                  <w:noWrap w:val="0"/>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43</w:t>
                  </w:r>
                </w:p>
              </w:tc>
              <w:tc>
                <w:tcPr>
                  <w:tcW w:w="953" w:type="dxa"/>
                  <w:tcBorders>
                    <w:tl2br w:val="nil"/>
                    <w:tr2bl w:val="nil"/>
                  </w:tcBorders>
                  <w:noWrap w:val="0"/>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51</w:t>
                  </w:r>
                </w:p>
              </w:tc>
              <w:tc>
                <w:tcPr>
                  <w:tcW w:w="814" w:type="dxa"/>
                  <w:tcBorders>
                    <w:tl2br w:val="nil"/>
                    <w:tr2bl w:val="nil"/>
                  </w:tcBorders>
                  <w:noWrap w:val="0"/>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37</w:t>
                  </w:r>
                </w:p>
              </w:tc>
              <w:tc>
                <w:tcPr>
                  <w:tcW w:w="869" w:type="dxa"/>
                  <w:tcBorders>
                    <w:tl2br w:val="nil"/>
                    <w:tr2bl w:val="nil"/>
                  </w:tcBorders>
                  <w:noWrap w:val="0"/>
                  <w:vAlign w:val="center"/>
                </w:tcPr>
                <w:p>
                  <w:pPr>
                    <w:pStyle w:val="15"/>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60</w:t>
                  </w:r>
                </w:p>
              </w:tc>
              <w:tc>
                <w:tcPr>
                  <w:tcW w:w="872" w:type="dxa"/>
                  <w:tcBorders>
                    <w:tl2br w:val="nil"/>
                    <w:tr2bl w:val="nil"/>
                  </w:tcBorders>
                  <w:noWrap w:val="0"/>
                  <w:vAlign w:val="center"/>
                </w:tcPr>
                <w:p>
                  <w:pPr>
                    <w:pStyle w:val="15"/>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67" w:hRule="exact"/>
                <w:jc w:val="center"/>
              </w:trPr>
              <w:tc>
                <w:tcPr>
                  <w:tcW w:w="3116" w:type="dxa"/>
                  <w:tcBorders>
                    <w:tl2br w:val="nil"/>
                    <w:tr2bl w:val="nil"/>
                  </w:tcBorders>
                  <w:noWrap w:val="0"/>
                  <w:vAlign w:val="center"/>
                </w:tcPr>
                <w:p>
                  <w:pPr>
                    <w:pStyle w:val="15"/>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sz w:val="21"/>
                      <w:szCs w:val="21"/>
                      <w:highlight w:val="none"/>
                      <w:lang w:val="en-US" w:eastAsia="zh-CN"/>
                    </w:rPr>
                    <w:t>5#冯家坝居民处</w:t>
                  </w:r>
                </w:p>
              </w:tc>
              <w:tc>
                <w:tcPr>
                  <w:tcW w:w="1019" w:type="dxa"/>
                  <w:tcBorders>
                    <w:tl2br w:val="nil"/>
                    <w:tr2bl w:val="nil"/>
                  </w:tcBorders>
                  <w:noWrap w:val="0"/>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56</w:t>
                  </w:r>
                </w:p>
              </w:tc>
              <w:tc>
                <w:tcPr>
                  <w:tcW w:w="957" w:type="dxa"/>
                  <w:tcBorders>
                    <w:tl2br w:val="nil"/>
                    <w:tr2bl w:val="nil"/>
                  </w:tcBorders>
                  <w:noWrap w:val="0"/>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44</w:t>
                  </w:r>
                </w:p>
              </w:tc>
              <w:tc>
                <w:tcPr>
                  <w:tcW w:w="953" w:type="dxa"/>
                  <w:tcBorders>
                    <w:tl2br w:val="nil"/>
                    <w:tr2bl w:val="nil"/>
                  </w:tcBorders>
                  <w:noWrap w:val="0"/>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54</w:t>
                  </w:r>
                </w:p>
              </w:tc>
              <w:tc>
                <w:tcPr>
                  <w:tcW w:w="814" w:type="dxa"/>
                  <w:tcBorders>
                    <w:tl2br w:val="nil"/>
                    <w:tr2bl w:val="nil"/>
                  </w:tcBorders>
                  <w:noWrap w:val="0"/>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41</w:t>
                  </w:r>
                </w:p>
              </w:tc>
              <w:tc>
                <w:tcPr>
                  <w:tcW w:w="869" w:type="dxa"/>
                  <w:tcBorders>
                    <w:tl2br w:val="nil"/>
                    <w:tr2bl w:val="nil"/>
                  </w:tcBorders>
                  <w:noWrap w:val="0"/>
                  <w:vAlign w:val="center"/>
                </w:tcPr>
                <w:p>
                  <w:pPr>
                    <w:pStyle w:val="15"/>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60</w:t>
                  </w:r>
                </w:p>
              </w:tc>
              <w:tc>
                <w:tcPr>
                  <w:tcW w:w="872" w:type="dxa"/>
                  <w:tcBorders>
                    <w:tl2br w:val="nil"/>
                    <w:tr2bl w:val="nil"/>
                  </w:tcBorders>
                  <w:noWrap w:val="0"/>
                  <w:vAlign w:val="center"/>
                </w:tcPr>
                <w:p>
                  <w:pPr>
                    <w:pStyle w:val="15"/>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67" w:hRule="exact"/>
                <w:jc w:val="center"/>
              </w:trPr>
              <w:tc>
                <w:tcPr>
                  <w:tcW w:w="3116" w:type="dxa"/>
                  <w:tcBorders>
                    <w:tl2br w:val="nil"/>
                    <w:tr2bl w:val="nil"/>
                  </w:tcBorders>
                  <w:noWrap w:val="0"/>
                  <w:vAlign w:val="center"/>
                </w:tcPr>
                <w:p>
                  <w:pPr>
                    <w:pStyle w:val="15"/>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sz w:val="21"/>
                      <w:szCs w:val="21"/>
                      <w:highlight w:val="none"/>
                      <w:lang w:val="en-US" w:eastAsia="zh-CN"/>
                    </w:rPr>
                    <w:t>6#黄家湾居民处</w:t>
                  </w:r>
                </w:p>
              </w:tc>
              <w:tc>
                <w:tcPr>
                  <w:tcW w:w="1019" w:type="dxa"/>
                  <w:tcBorders>
                    <w:tl2br w:val="nil"/>
                    <w:tr2bl w:val="nil"/>
                  </w:tcBorders>
                  <w:noWrap w:val="0"/>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50</w:t>
                  </w:r>
                </w:p>
              </w:tc>
              <w:tc>
                <w:tcPr>
                  <w:tcW w:w="957" w:type="dxa"/>
                  <w:tcBorders>
                    <w:tl2br w:val="nil"/>
                    <w:tr2bl w:val="nil"/>
                  </w:tcBorders>
                  <w:noWrap w:val="0"/>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39</w:t>
                  </w:r>
                </w:p>
              </w:tc>
              <w:tc>
                <w:tcPr>
                  <w:tcW w:w="953" w:type="dxa"/>
                  <w:tcBorders>
                    <w:tl2br w:val="nil"/>
                    <w:tr2bl w:val="nil"/>
                  </w:tcBorders>
                  <w:noWrap w:val="0"/>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49</w:t>
                  </w:r>
                </w:p>
              </w:tc>
              <w:tc>
                <w:tcPr>
                  <w:tcW w:w="814" w:type="dxa"/>
                  <w:tcBorders>
                    <w:tl2br w:val="nil"/>
                    <w:tr2bl w:val="nil"/>
                  </w:tcBorders>
                  <w:noWrap w:val="0"/>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43</w:t>
                  </w:r>
                </w:p>
              </w:tc>
              <w:tc>
                <w:tcPr>
                  <w:tcW w:w="869" w:type="dxa"/>
                  <w:tcBorders>
                    <w:tl2br w:val="nil"/>
                    <w:tr2bl w:val="nil"/>
                  </w:tcBorders>
                  <w:noWrap w:val="0"/>
                  <w:vAlign w:val="center"/>
                </w:tcPr>
                <w:p>
                  <w:pPr>
                    <w:pStyle w:val="15"/>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60</w:t>
                  </w:r>
                </w:p>
              </w:tc>
              <w:tc>
                <w:tcPr>
                  <w:tcW w:w="872" w:type="dxa"/>
                  <w:tcBorders>
                    <w:tl2br w:val="nil"/>
                    <w:tr2bl w:val="nil"/>
                  </w:tcBorders>
                  <w:noWrap w:val="0"/>
                  <w:vAlign w:val="center"/>
                </w:tcPr>
                <w:p>
                  <w:pPr>
                    <w:pStyle w:val="15"/>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67" w:hRule="exact"/>
                <w:jc w:val="center"/>
              </w:trPr>
              <w:tc>
                <w:tcPr>
                  <w:tcW w:w="3116" w:type="dxa"/>
                  <w:tcBorders>
                    <w:tl2br w:val="nil"/>
                    <w:tr2bl w:val="nil"/>
                  </w:tcBorders>
                  <w:noWrap w:val="0"/>
                  <w:vAlign w:val="center"/>
                </w:tcPr>
                <w:p>
                  <w:pPr>
                    <w:pStyle w:val="15"/>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sz w:val="21"/>
                      <w:szCs w:val="21"/>
                      <w:highlight w:val="none"/>
                      <w:lang w:val="en-US" w:eastAsia="zh-CN"/>
                    </w:rPr>
                    <w:t>7#黄家湾桥右岸居民处</w:t>
                  </w:r>
                </w:p>
              </w:tc>
              <w:tc>
                <w:tcPr>
                  <w:tcW w:w="1019" w:type="dxa"/>
                  <w:tcBorders>
                    <w:tl2br w:val="nil"/>
                    <w:tr2bl w:val="nil"/>
                  </w:tcBorders>
                  <w:noWrap w:val="0"/>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52</w:t>
                  </w:r>
                </w:p>
              </w:tc>
              <w:tc>
                <w:tcPr>
                  <w:tcW w:w="957" w:type="dxa"/>
                  <w:tcBorders>
                    <w:tl2br w:val="nil"/>
                    <w:tr2bl w:val="nil"/>
                  </w:tcBorders>
                  <w:noWrap w:val="0"/>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39</w:t>
                  </w:r>
                </w:p>
              </w:tc>
              <w:tc>
                <w:tcPr>
                  <w:tcW w:w="953" w:type="dxa"/>
                  <w:tcBorders>
                    <w:tl2br w:val="nil"/>
                    <w:tr2bl w:val="nil"/>
                  </w:tcBorders>
                  <w:noWrap w:val="0"/>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48</w:t>
                  </w:r>
                </w:p>
              </w:tc>
              <w:tc>
                <w:tcPr>
                  <w:tcW w:w="814" w:type="dxa"/>
                  <w:tcBorders>
                    <w:tl2br w:val="nil"/>
                    <w:tr2bl w:val="nil"/>
                  </w:tcBorders>
                  <w:noWrap w:val="0"/>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36</w:t>
                  </w:r>
                </w:p>
              </w:tc>
              <w:tc>
                <w:tcPr>
                  <w:tcW w:w="869" w:type="dxa"/>
                  <w:tcBorders>
                    <w:tl2br w:val="nil"/>
                    <w:tr2bl w:val="nil"/>
                  </w:tcBorders>
                  <w:noWrap w:val="0"/>
                  <w:vAlign w:val="center"/>
                </w:tcPr>
                <w:p>
                  <w:pPr>
                    <w:pStyle w:val="15"/>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60</w:t>
                  </w:r>
                </w:p>
              </w:tc>
              <w:tc>
                <w:tcPr>
                  <w:tcW w:w="872" w:type="dxa"/>
                  <w:tcBorders>
                    <w:tl2br w:val="nil"/>
                    <w:tr2bl w:val="nil"/>
                  </w:tcBorders>
                  <w:noWrap w:val="0"/>
                  <w:vAlign w:val="center"/>
                </w:tcPr>
                <w:p>
                  <w:pPr>
                    <w:pStyle w:val="15"/>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50</w:t>
                  </w:r>
                </w:p>
              </w:tc>
            </w:tr>
          </w:tbl>
          <w:p>
            <w:pPr>
              <w:tabs>
                <w:tab w:val="left" w:pos="5448"/>
              </w:tabs>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由监测结果可知，项目所在区域声环境监测点的现状监测结果达到《声环境质量标准》（GB3096-2008）中</w:t>
            </w:r>
            <w:r>
              <w:rPr>
                <w:rFonts w:hint="default" w:ascii="Times New Roman" w:hAnsi="Times New Roman" w:cs="Times New Roman"/>
                <w:color w:val="auto"/>
                <w:sz w:val="24"/>
                <w:szCs w:val="24"/>
                <w:highlight w:val="none"/>
                <w:lang w:val="en-US" w:eastAsia="zh-CN"/>
              </w:rPr>
              <w:t>2</w:t>
            </w:r>
            <w:r>
              <w:rPr>
                <w:rFonts w:hint="default" w:ascii="Times New Roman" w:hAnsi="Times New Roman" w:cs="Times New Roman"/>
                <w:color w:val="auto"/>
                <w:sz w:val="24"/>
                <w:szCs w:val="24"/>
                <w:highlight w:val="none"/>
              </w:rPr>
              <w:t>类标准的要求，项目周边声环境质量良好。</w:t>
            </w:r>
          </w:p>
          <w:p>
            <w:pPr>
              <w:spacing w:line="360" w:lineRule="auto"/>
              <w:ind w:firstLine="482" w:firstLineChars="200"/>
              <w:rPr>
                <w:rFonts w:hint="default" w:ascii="Times New Roman" w:hAnsi="Times New Roman" w:cs="Times New Roman"/>
                <w:b/>
                <w:color w:val="auto"/>
                <w:sz w:val="24"/>
                <w:szCs w:val="24"/>
                <w:highlight w:val="none"/>
              </w:rPr>
            </w:pPr>
            <w:r>
              <w:rPr>
                <w:rFonts w:hint="default" w:ascii="Times New Roman" w:hAnsi="Times New Roman" w:cs="Times New Roman"/>
                <w:b/>
                <w:color w:val="auto"/>
                <w:sz w:val="24"/>
                <w:szCs w:val="24"/>
                <w:highlight w:val="none"/>
                <w:lang w:val="en-US" w:eastAsia="zh-CN"/>
              </w:rPr>
              <w:t>4、</w:t>
            </w:r>
            <w:r>
              <w:rPr>
                <w:rFonts w:hint="default" w:ascii="Times New Roman" w:hAnsi="Times New Roman" w:cs="Times New Roman"/>
                <w:b/>
                <w:color w:val="auto"/>
                <w:sz w:val="24"/>
                <w:szCs w:val="24"/>
                <w:highlight w:val="none"/>
                <w:lang w:eastAsia="zh-CN"/>
              </w:rPr>
              <w:t>底泥监测</w:t>
            </w:r>
          </w:p>
          <w:p>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cs="Times New Roman"/>
                <w:color w:val="auto"/>
                <w:highlight w:val="none"/>
                <w:lang w:eastAsia="zh-CN"/>
              </w:rPr>
              <w:t>本次评价</w:t>
            </w:r>
            <w:r>
              <w:rPr>
                <w:rFonts w:hint="default" w:ascii="Times New Roman" w:hAnsi="Times New Roman" w:cs="Times New Roman"/>
                <w:color w:val="auto"/>
                <w:highlight w:val="none"/>
                <w:lang w:val="en-US" w:eastAsia="zh-CN"/>
              </w:rPr>
              <w:t>委托四川锡水金山环保科技有限公司</w:t>
            </w:r>
            <w:r>
              <w:rPr>
                <w:rFonts w:hint="default" w:ascii="Times New Roman" w:hAnsi="Times New Roman" w:cs="Times New Roman"/>
                <w:color w:val="auto"/>
                <w:highlight w:val="none"/>
              </w:rPr>
              <w:t>于20</w:t>
            </w:r>
            <w:r>
              <w:rPr>
                <w:rFonts w:hint="default" w:ascii="Times New Roman" w:hAnsi="Times New Roman" w:cs="Times New Roman"/>
                <w:color w:val="auto"/>
                <w:highlight w:val="none"/>
                <w:lang w:val="en-US" w:eastAsia="zh-CN"/>
              </w:rPr>
              <w:t>24</w:t>
            </w:r>
            <w:r>
              <w:rPr>
                <w:rFonts w:hint="default" w:ascii="Times New Roman" w:hAnsi="Times New Roman" w:cs="Times New Roman"/>
                <w:color w:val="auto"/>
                <w:highlight w:val="none"/>
              </w:rPr>
              <w:t>年</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月</w:t>
            </w:r>
            <w:r>
              <w:rPr>
                <w:rFonts w:hint="default" w:ascii="Times New Roman" w:hAnsi="Times New Roman" w:cs="Times New Roman"/>
                <w:color w:val="auto"/>
                <w:highlight w:val="none"/>
                <w:lang w:val="en-US" w:eastAsia="zh-CN"/>
              </w:rPr>
              <w:t>19</w:t>
            </w:r>
            <w:r>
              <w:rPr>
                <w:rFonts w:hint="default" w:ascii="Times New Roman" w:hAnsi="Times New Roman" w:cs="Times New Roman"/>
                <w:color w:val="auto"/>
                <w:highlight w:val="none"/>
              </w:rPr>
              <w:t>日</w:t>
            </w:r>
            <w:r>
              <w:rPr>
                <w:rFonts w:hint="default" w:ascii="Times New Roman" w:hAnsi="Times New Roman" w:cs="Times New Roman"/>
                <w:color w:val="auto"/>
                <w:highlight w:val="none"/>
                <w:lang w:val="en-US" w:eastAsia="zh-CN"/>
              </w:rPr>
              <w:t>对</w:t>
            </w:r>
            <w:r>
              <w:rPr>
                <w:rFonts w:hint="default" w:ascii="Times New Roman" w:hAnsi="Times New Roman" w:cs="Times New Roman"/>
                <w:color w:val="auto"/>
                <w:highlight w:val="none"/>
              </w:rPr>
              <w:t>项目所在区域的</w:t>
            </w:r>
            <w:r>
              <w:rPr>
                <w:rFonts w:hint="default" w:ascii="Times New Roman" w:hAnsi="Times New Roman" w:cs="Times New Roman"/>
                <w:color w:val="auto"/>
                <w:highlight w:val="none"/>
                <w:lang w:val="en-US" w:eastAsia="zh-CN"/>
              </w:rPr>
              <w:t>沉积物进行现状监测</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监测报告见附件2，</w:t>
            </w:r>
            <w:r>
              <w:rPr>
                <w:rFonts w:hint="default" w:ascii="Times New Roman" w:hAnsi="Times New Roman" w:cs="Times New Roman"/>
                <w:b w:val="0"/>
                <w:bCs w:val="0"/>
                <w:color w:val="auto"/>
                <w:highlight w:val="none"/>
                <w:lang w:val="en-US" w:eastAsia="zh-CN"/>
              </w:rPr>
              <w:t>监测内容如下：</w:t>
            </w:r>
          </w:p>
          <w:p>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（1）监测布点</w:t>
            </w:r>
          </w:p>
          <w:p>
            <w:pPr>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rPr>
              <w:t>根据《土壤环境质量农用地土壤污染风险管控标准（试行）》（GB15618-2018），本次评价共布设</w:t>
            </w:r>
            <w:r>
              <w:rPr>
                <w:rFonts w:hint="default" w:ascii="Times New Roman" w:hAnsi="Times New Roman"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rPr>
              <w:t>个底泥监测点。</w:t>
            </w:r>
          </w:p>
          <w:p>
            <w:pPr>
              <w:pStyle w:val="16"/>
              <w:bidi w:val="0"/>
              <w:rPr>
                <w:rFonts w:hint="default" w:ascii="Times New Roman" w:hAnsi="Times New Roman" w:cs="Times New Roman"/>
                <w:highlight w:val="none"/>
              </w:rPr>
            </w:pPr>
            <w:r>
              <w:rPr>
                <w:rFonts w:hint="default" w:ascii="Times New Roman" w:hAnsi="Times New Roman" w:cs="Times New Roman"/>
                <w:highlight w:val="none"/>
              </w:rPr>
              <w:t>表3-</w:t>
            </w:r>
            <w:r>
              <w:rPr>
                <w:rFonts w:hint="default" w:ascii="Times New Roman" w:hAnsi="Times New Roman" w:cs="Times New Roman"/>
                <w:highlight w:val="none"/>
                <w:lang w:val="en-US" w:eastAsia="zh-CN"/>
              </w:rPr>
              <w:t>8</w:t>
            </w:r>
            <w:r>
              <w:rPr>
                <w:rFonts w:hint="default" w:ascii="Times New Roman" w:hAnsi="Times New Roman" w:cs="Times New Roman"/>
                <w:highlight w:val="none"/>
              </w:rPr>
              <w:t xml:space="preserve">  土壤监测点位设置</w:t>
            </w:r>
          </w:p>
          <w:tbl>
            <w:tblPr>
              <w:tblStyle w:val="11"/>
              <w:tblW w:w="8601"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2648"/>
              <w:gridCol w:w="595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648" w:type="dxa"/>
                  <w:tcBorders>
                    <w:tl2br w:val="nil"/>
                    <w:tr2bl w:val="nil"/>
                  </w:tcBorders>
                  <w:noWrap w:val="0"/>
                  <w:vAlign w:val="center"/>
                </w:tcPr>
                <w:p>
                  <w:pPr>
                    <w:pStyle w:val="15"/>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点位编号</w:t>
                  </w:r>
                </w:p>
              </w:tc>
              <w:tc>
                <w:tcPr>
                  <w:tcW w:w="5953" w:type="dxa"/>
                  <w:tcBorders>
                    <w:tl2br w:val="nil"/>
                    <w:tr2bl w:val="nil"/>
                  </w:tcBorders>
                  <w:noWrap w:val="0"/>
                  <w:vAlign w:val="center"/>
                </w:tcPr>
                <w:p>
                  <w:pPr>
                    <w:pStyle w:val="15"/>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监测点位置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648"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w:t>
                  </w:r>
                </w:p>
              </w:tc>
              <w:tc>
                <w:tcPr>
                  <w:tcW w:w="5953" w:type="dxa"/>
                  <w:tcBorders>
                    <w:tl2br w:val="nil"/>
                    <w:tr2bl w:val="nil"/>
                  </w:tcBorders>
                  <w:noWrap w:val="0"/>
                  <w:vAlign w:val="center"/>
                </w:tcPr>
                <w:p>
                  <w:pPr>
                    <w:pStyle w:val="15"/>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sz w:val="21"/>
                      <w:szCs w:val="21"/>
                      <w:highlight w:val="none"/>
                    </w:rPr>
                    <w:t>项目</w:t>
                  </w:r>
                  <w:r>
                    <w:rPr>
                      <w:rFonts w:hint="default" w:ascii="Times New Roman" w:hAnsi="Times New Roman" w:cs="Times New Roman"/>
                      <w:color w:val="auto"/>
                      <w:sz w:val="21"/>
                      <w:szCs w:val="21"/>
                      <w:highlight w:val="none"/>
                      <w:lang w:val="en-US" w:eastAsia="zh-CN"/>
                    </w:rPr>
                    <w:t>胡家河左岸河段南部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648" w:type="dxa"/>
                  <w:tcBorders>
                    <w:tl2br w:val="nil"/>
                    <w:tr2bl w:val="nil"/>
                  </w:tcBorders>
                  <w:noWrap w:val="0"/>
                  <w:vAlign w:val="center"/>
                </w:tcPr>
                <w:p>
                  <w:pPr>
                    <w:pStyle w:val="15"/>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2#</w:t>
                  </w:r>
                </w:p>
              </w:tc>
              <w:tc>
                <w:tcPr>
                  <w:tcW w:w="5953" w:type="dxa"/>
                  <w:tcBorders>
                    <w:tl2br w:val="nil"/>
                    <w:tr2bl w:val="nil"/>
                  </w:tcBorders>
                  <w:noWrap w:val="0"/>
                  <w:vAlign w:val="center"/>
                </w:tcPr>
                <w:p>
                  <w:pPr>
                    <w:pStyle w:val="15"/>
                    <w:bidi w:val="0"/>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t>项目</w:t>
                  </w:r>
                  <w:r>
                    <w:rPr>
                      <w:rFonts w:hint="default" w:ascii="Times New Roman" w:hAnsi="Times New Roman" w:cs="Times New Roman"/>
                      <w:color w:val="auto"/>
                      <w:sz w:val="21"/>
                      <w:szCs w:val="21"/>
                      <w:highlight w:val="none"/>
                      <w:lang w:val="en-US" w:eastAsia="zh-CN"/>
                    </w:rPr>
                    <w:t>油坊沟右岸</w:t>
                  </w:r>
                  <w:r>
                    <w:rPr>
                      <w:rFonts w:hint="default" w:ascii="Times New Roman" w:hAnsi="Times New Roman" w:cs="Times New Roman"/>
                      <w:color w:val="auto"/>
                      <w:sz w:val="21"/>
                      <w:szCs w:val="21"/>
                      <w:highlight w:val="none"/>
                    </w:rPr>
                    <w:t>河段</w:t>
                  </w:r>
                  <w:r>
                    <w:rPr>
                      <w:rFonts w:hint="default" w:ascii="Times New Roman" w:hAnsi="Times New Roman" w:cs="Times New Roman"/>
                      <w:color w:val="auto"/>
                      <w:sz w:val="21"/>
                      <w:szCs w:val="21"/>
                      <w:highlight w:val="none"/>
                      <w:lang w:val="en-US" w:eastAsia="zh-CN"/>
                    </w:rPr>
                    <w:t>南部</w:t>
                  </w:r>
                </w:p>
              </w:tc>
            </w:tr>
          </w:tbl>
          <w:p>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（2）监测因子</w:t>
            </w:r>
          </w:p>
          <w:p>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pH、镉、汞、砷、铅、铬、铜、镍、锌共9项。</w:t>
            </w:r>
          </w:p>
          <w:p>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（3）分析方法</w:t>
            </w:r>
          </w:p>
          <w:p>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底泥分析方法按照《土壤环境质量 农用地土壤污染风险管控标准（试行）》（GB15618-2018）进行。</w:t>
            </w:r>
          </w:p>
          <w:p>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（4）现状监测结果与评价</w:t>
            </w:r>
          </w:p>
          <w:p>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底泥环境质量监测结果见下表。</w:t>
            </w:r>
          </w:p>
          <w:p>
            <w:pPr>
              <w:pStyle w:val="16"/>
              <w:bidi w:val="0"/>
              <w:rPr>
                <w:rFonts w:hint="default" w:ascii="Times New Roman" w:hAnsi="Times New Roman" w:cs="Times New Roman"/>
                <w:highlight w:val="none"/>
              </w:rPr>
            </w:pPr>
          </w:p>
          <w:p>
            <w:pPr>
              <w:pStyle w:val="16"/>
              <w:bidi w:val="0"/>
              <w:rPr>
                <w:rFonts w:hint="default" w:ascii="Times New Roman" w:hAnsi="Times New Roman" w:cs="Times New Roman"/>
                <w:highlight w:val="none"/>
                <w:lang w:val="en-US" w:eastAsia="zh-CN"/>
              </w:rPr>
            </w:pPr>
            <w:r>
              <w:rPr>
                <w:rFonts w:hint="default" w:ascii="Times New Roman" w:hAnsi="Times New Roman" w:cs="Times New Roman"/>
                <w:highlight w:val="none"/>
              </w:rPr>
              <w:t>表3-</w:t>
            </w:r>
            <w:r>
              <w:rPr>
                <w:rFonts w:hint="default" w:ascii="Times New Roman" w:hAnsi="Times New Roman" w:cs="Times New Roman"/>
                <w:highlight w:val="none"/>
                <w:lang w:val="en-US" w:eastAsia="zh-CN"/>
              </w:rPr>
              <w:t>9</w:t>
            </w:r>
            <w:r>
              <w:rPr>
                <w:rFonts w:hint="default" w:ascii="Times New Roman" w:hAnsi="Times New Roman" w:cs="Times New Roman"/>
                <w:highlight w:val="none"/>
              </w:rPr>
              <w:t xml:space="preserve">  底泥监测结果统计表</w:t>
            </w:r>
            <w:r>
              <w:rPr>
                <w:rFonts w:hint="default" w:ascii="Times New Roman" w:hAnsi="Times New Roman" w:cs="Times New Roman"/>
                <w:highlight w:val="none"/>
                <w:lang w:val="en-US" w:eastAsia="zh-CN"/>
              </w:rPr>
              <w:t xml:space="preserve">  单位：mg/kg</w:t>
            </w:r>
          </w:p>
          <w:tbl>
            <w:tblPr>
              <w:tblStyle w:val="11"/>
              <w:tblW w:w="8503" w:type="dxa"/>
              <w:jc w:val="center"/>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Layout w:type="fixed"/>
              <w:tblCellMar>
                <w:top w:w="0" w:type="dxa"/>
                <w:left w:w="108" w:type="dxa"/>
                <w:bottom w:w="0" w:type="dxa"/>
                <w:right w:w="108" w:type="dxa"/>
              </w:tblCellMar>
            </w:tblPr>
            <w:tblGrid>
              <w:gridCol w:w="1247"/>
              <w:gridCol w:w="807"/>
              <w:gridCol w:w="2243"/>
              <w:gridCol w:w="2375"/>
              <w:gridCol w:w="1048"/>
              <w:gridCol w:w="783"/>
            </w:tblGrid>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397" w:hRule="atLeast"/>
                <w:jc w:val="center"/>
              </w:trPr>
              <w:tc>
                <w:tcPr>
                  <w:tcW w:w="1247" w:type="dxa"/>
                  <w:vMerge w:val="restart"/>
                  <w:tcBorders>
                    <w:tl2br w:val="nil"/>
                    <w:tr2bl w:val="nil"/>
                  </w:tcBorders>
                  <w:noWrap w:val="0"/>
                  <w:vAlign w:val="center"/>
                </w:tcPr>
                <w:p>
                  <w:pPr>
                    <w:pStyle w:val="15"/>
                    <w:bidi w:val="0"/>
                    <w:rPr>
                      <w:rFonts w:hint="default" w:ascii="Times New Roman" w:hAnsi="Times New Roman" w:eastAsia="宋体" w:cs="Times New Roman"/>
                      <w:b/>
                      <w:bCs/>
                      <w:color w:val="auto"/>
                      <w:highlight w:val="none"/>
                      <w:lang w:val="en-US" w:eastAsia="zh-CN"/>
                    </w:rPr>
                  </w:pPr>
                  <w:r>
                    <w:rPr>
                      <w:rFonts w:hint="default" w:ascii="Times New Roman" w:hAnsi="Times New Roman" w:cs="Times New Roman"/>
                      <w:b/>
                      <w:bCs/>
                      <w:color w:val="auto"/>
                      <w:highlight w:val="none"/>
                      <w:lang w:val="en-US" w:eastAsia="zh-CN"/>
                    </w:rPr>
                    <w:t>检测日期</w:t>
                  </w:r>
                </w:p>
              </w:tc>
              <w:tc>
                <w:tcPr>
                  <w:tcW w:w="807" w:type="dxa"/>
                  <w:vMerge w:val="restart"/>
                  <w:tcBorders>
                    <w:tl2br w:val="nil"/>
                    <w:tr2bl w:val="nil"/>
                  </w:tcBorders>
                  <w:noWrap w:val="0"/>
                  <w:vAlign w:val="center"/>
                </w:tcPr>
                <w:p>
                  <w:pPr>
                    <w:pStyle w:val="15"/>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监测项目</w:t>
                  </w:r>
                </w:p>
              </w:tc>
              <w:tc>
                <w:tcPr>
                  <w:tcW w:w="4618" w:type="dxa"/>
                  <w:gridSpan w:val="2"/>
                  <w:tcBorders>
                    <w:tl2br w:val="nil"/>
                    <w:tr2bl w:val="nil"/>
                  </w:tcBorders>
                  <w:noWrap w:val="0"/>
                  <w:vAlign w:val="center"/>
                </w:tcPr>
                <w:p>
                  <w:pPr>
                    <w:pStyle w:val="15"/>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监测结果</w:t>
                  </w:r>
                </w:p>
              </w:tc>
              <w:tc>
                <w:tcPr>
                  <w:tcW w:w="1048" w:type="dxa"/>
                  <w:vMerge w:val="restart"/>
                  <w:tcBorders>
                    <w:tl2br w:val="nil"/>
                    <w:tr2bl w:val="nil"/>
                  </w:tcBorders>
                  <w:noWrap w:val="0"/>
                  <w:vAlign w:val="center"/>
                </w:tcPr>
                <w:p>
                  <w:pPr>
                    <w:pStyle w:val="15"/>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标准值</w:t>
                  </w:r>
                </w:p>
              </w:tc>
              <w:tc>
                <w:tcPr>
                  <w:tcW w:w="783" w:type="dxa"/>
                  <w:vMerge w:val="restart"/>
                  <w:tcBorders>
                    <w:tl2br w:val="nil"/>
                    <w:tr2bl w:val="nil"/>
                  </w:tcBorders>
                  <w:noWrap w:val="0"/>
                  <w:vAlign w:val="center"/>
                </w:tcPr>
                <w:p>
                  <w:pPr>
                    <w:pStyle w:val="15"/>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397" w:hRule="atLeast"/>
                <w:jc w:val="center"/>
              </w:trPr>
              <w:tc>
                <w:tcPr>
                  <w:tcW w:w="1247" w:type="dxa"/>
                  <w:vMerge w:val="continue"/>
                  <w:tcBorders>
                    <w:tl2br w:val="nil"/>
                    <w:tr2bl w:val="nil"/>
                  </w:tcBorders>
                  <w:noWrap w:val="0"/>
                  <w:vAlign w:val="center"/>
                </w:tcPr>
                <w:p>
                  <w:pPr>
                    <w:jc w:val="center"/>
                    <w:rPr>
                      <w:rFonts w:hint="default" w:ascii="Times New Roman" w:hAnsi="Times New Roman" w:eastAsia="宋体" w:cs="Times New Roman"/>
                      <w:b/>
                      <w:color w:val="auto"/>
                      <w:sz w:val="21"/>
                      <w:szCs w:val="21"/>
                      <w:highlight w:val="none"/>
                    </w:rPr>
                  </w:pPr>
                </w:p>
              </w:tc>
              <w:tc>
                <w:tcPr>
                  <w:tcW w:w="807" w:type="dxa"/>
                  <w:vMerge w:val="continue"/>
                  <w:tcBorders>
                    <w:tl2br w:val="nil"/>
                    <w:tr2bl w:val="nil"/>
                  </w:tcBorders>
                  <w:noWrap w:val="0"/>
                  <w:vAlign w:val="center"/>
                </w:tcPr>
                <w:p>
                  <w:pPr>
                    <w:jc w:val="center"/>
                    <w:rPr>
                      <w:rFonts w:hint="default" w:ascii="Times New Roman" w:hAnsi="Times New Roman" w:eastAsia="宋体" w:cs="Times New Roman"/>
                      <w:b/>
                      <w:color w:val="auto"/>
                      <w:sz w:val="21"/>
                      <w:szCs w:val="21"/>
                      <w:highlight w:val="none"/>
                    </w:rPr>
                  </w:pPr>
                </w:p>
              </w:tc>
              <w:tc>
                <w:tcPr>
                  <w:tcW w:w="2243" w:type="dxa"/>
                  <w:tcBorders>
                    <w:tl2br w:val="nil"/>
                    <w:tr2bl w:val="nil"/>
                  </w:tcBorders>
                  <w:noWrap w:val="0"/>
                  <w:vAlign w:val="center"/>
                </w:tcPr>
                <w:p>
                  <w:pPr>
                    <w:pStyle w:val="15"/>
                    <w:bidi w:val="0"/>
                    <w:rPr>
                      <w:rFonts w:hint="default" w:ascii="Times New Roman" w:hAnsi="Times New Roman" w:cs="Times New Roman"/>
                      <w:b/>
                      <w:bCs/>
                      <w:color w:val="auto"/>
                      <w:highlight w:val="none"/>
                      <w:lang w:val="en-US"/>
                    </w:rPr>
                  </w:pPr>
                  <w:r>
                    <w:rPr>
                      <w:rFonts w:hint="default" w:ascii="Times New Roman" w:hAnsi="Times New Roman" w:cs="Times New Roman"/>
                      <w:b/>
                      <w:bCs/>
                      <w:color w:val="auto"/>
                      <w:highlight w:val="none"/>
                      <w:lang w:val="en-US" w:eastAsia="zh-CN"/>
                    </w:rPr>
                    <w:t>1# 项目河段东北部</w:t>
                  </w:r>
                </w:p>
              </w:tc>
              <w:tc>
                <w:tcPr>
                  <w:tcW w:w="2375" w:type="dxa"/>
                  <w:tcBorders>
                    <w:tl2br w:val="nil"/>
                    <w:tr2bl w:val="nil"/>
                  </w:tcBorders>
                  <w:noWrap w:val="0"/>
                  <w:vAlign w:val="center"/>
                </w:tcPr>
                <w:p>
                  <w:pPr>
                    <w:pStyle w:val="15"/>
                    <w:bidi w:val="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lang w:val="en-US" w:eastAsia="zh-CN"/>
                    </w:rPr>
                    <w:t>1# 项目河段西南部</w:t>
                  </w:r>
                </w:p>
              </w:tc>
              <w:tc>
                <w:tcPr>
                  <w:tcW w:w="1048" w:type="dxa"/>
                  <w:vMerge w:val="continue"/>
                  <w:tcBorders>
                    <w:tl2br w:val="nil"/>
                    <w:tr2bl w:val="nil"/>
                  </w:tcBorders>
                  <w:noWrap w:val="0"/>
                  <w:vAlign w:val="center"/>
                </w:tcPr>
                <w:p>
                  <w:pPr>
                    <w:jc w:val="center"/>
                    <w:rPr>
                      <w:rFonts w:hint="default" w:ascii="Times New Roman" w:hAnsi="Times New Roman" w:eastAsia="宋体" w:cs="Times New Roman"/>
                      <w:b/>
                      <w:color w:val="auto"/>
                      <w:sz w:val="21"/>
                      <w:szCs w:val="21"/>
                      <w:highlight w:val="none"/>
                    </w:rPr>
                  </w:pPr>
                </w:p>
              </w:tc>
              <w:tc>
                <w:tcPr>
                  <w:tcW w:w="783" w:type="dxa"/>
                  <w:vMerge w:val="continue"/>
                  <w:tcBorders>
                    <w:tl2br w:val="nil"/>
                    <w:tr2bl w:val="nil"/>
                  </w:tcBorders>
                  <w:noWrap w:val="0"/>
                  <w:vAlign w:val="center"/>
                </w:tcPr>
                <w:p>
                  <w:pPr>
                    <w:jc w:val="center"/>
                    <w:rPr>
                      <w:rFonts w:hint="default" w:ascii="Times New Roman" w:hAnsi="Times New Roman" w:eastAsia="宋体" w:cs="Times New Roman"/>
                      <w:b/>
                      <w:snapToGrid w:val="0"/>
                      <w:color w:val="auto"/>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397" w:hRule="atLeast"/>
                <w:jc w:val="center"/>
              </w:trPr>
              <w:tc>
                <w:tcPr>
                  <w:tcW w:w="1247" w:type="dxa"/>
                  <w:vMerge w:val="restart"/>
                  <w:tcBorders>
                    <w:tl2br w:val="nil"/>
                    <w:tr2bl w:val="nil"/>
                  </w:tcBorders>
                  <w:noWrap w:val="0"/>
                  <w:vAlign w:val="center"/>
                </w:tcPr>
                <w:p>
                  <w:pPr>
                    <w:pStyle w:val="15"/>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2023.01.19</w:t>
                  </w:r>
                </w:p>
              </w:tc>
              <w:tc>
                <w:tcPr>
                  <w:tcW w:w="807" w:type="dxa"/>
                  <w:tcBorders>
                    <w:tl2br w:val="nil"/>
                    <w:tr2bl w:val="nil"/>
                  </w:tcBorders>
                  <w:noWrap w:val="0"/>
                  <w:vAlign w:val="center"/>
                </w:tcPr>
                <w:p>
                  <w:pPr>
                    <w:pStyle w:val="15"/>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pH</w:t>
                  </w:r>
                  <w:r>
                    <w:rPr>
                      <w:rFonts w:hint="default" w:ascii="Times New Roman" w:hAnsi="Times New Roman" w:cs="Times New Roman"/>
                      <w:color w:val="auto"/>
                      <w:highlight w:val="none"/>
                      <w:lang w:val="en-US" w:eastAsia="zh-CN"/>
                    </w:rPr>
                    <w:t>无量纲</w:t>
                  </w:r>
                </w:p>
              </w:tc>
              <w:tc>
                <w:tcPr>
                  <w:tcW w:w="2243" w:type="dxa"/>
                  <w:tcBorders>
                    <w:tl2br w:val="nil"/>
                    <w:tr2bl w:val="nil"/>
                  </w:tcBorders>
                  <w:noWrap w:val="0"/>
                  <w:vAlign w:val="center"/>
                </w:tcPr>
                <w:p>
                  <w:pPr>
                    <w:pStyle w:val="15"/>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7.7</w:t>
                  </w:r>
                </w:p>
              </w:tc>
              <w:tc>
                <w:tcPr>
                  <w:tcW w:w="2375" w:type="dxa"/>
                  <w:tcBorders>
                    <w:tl2br w:val="nil"/>
                    <w:tr2bl w:val="nil"/>
                  </w:tcBorders>
                  <w:noWrap w:val="0"/>
                  <w:vAlign w:val="center"/>
                </w:tcPr>
                <w:p>
                  <w:pPr>
                    <w:pStyle w:val="15"/>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7.6</w:t>
                  </w:r>
                </w:p>
              </w:tc>
              <w:tc>
                <w:tcPr>
                  <w:tcW w:w="1048"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783"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397" w:hRule="atLeast"/>
                <w:jc w:val="center"/>
              </w:trPr>
              <w:tc>
                <w:tcPr>
                  <w:tcW w:w="1247" w:type="dxa"/>
                  <w:vMerge w:val="continue"/>
                  <w:tcBorders>
                    <w:tl2br w:val="nil"/>
                    <w:tr2bl w:val="nil"/>
                  </w:tcBorders>
                  <w:noWrap w:val="0"/>
                  <w:vAlign w:val="center"/>
                </w:tcPr>
                <w:p>
                  <w:pPr>
                    <w:pStyle w:val="15"/>
                    <w:bidi w:val="0"/>
                    <w:rPr>
                      <w:rFonts w:hint="default" w:ascii="Times New Roman" w:hAnsi="Times New Roman" w:cs="Times New Roman"/>
                      <w:color w:val="auto"/>
                      <w:highlight w:val="none"/>
                    </w:rPr>
                  </w:pPr>
                </w:p>
              </w:tc>
              <w:tc>
                <w:tcPr>
                  <w:tcW w:w="807"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汞</w:t>
                  </w:r>
                </w:p>
              </w:tc>
              <w:tc>
                <w:tcPr>
                  <w:tcW w:w="2243" w:type="dxa"/>
                  <w:tcBorders>
                    <w:tl2br w:val="nil"/>
                    <w:tr2bl w:val="nil"/>
                  </w:tcBorders>
                  <w:noWrap w:val="0"/>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0.230</w:t>
                  </w:r>
                </w:p>
              </w:tc>
              <w:tc>
                <w:tcPr>
                  <w:tcW w:w="2375" w:type="dxa"/>
                  <w:tcBorders>
                    <w:tl2br w:val="nil"/>
                    <w:tr2bl w:val="nil"/>
                  </w:tcBorders>
                  <w:noWrap w:val="0"/>
                  <w:vAlign w:val="center"/>
                </w:tcPr>
                <w:p>
                  <w:pPr>
                    <w:pStyle w:val="15"/>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0.200</w:t>
                  </w:r>
                </w:p>
              </w:tc>
              <w:tc>
                <w:tcPr>
                  <w:tcW w:w="1048" w:type="dxa"/>
                  <w:tcBorders>
                    <w:tl2br w:val="nil"/>
                    <w:tr2bl w:val="nil"/>
                  </w:tcBorders>
                  <w:noWrap w:val="0"/>
                  <w:vAlign w:val="center"/>
                </w:tcPr>
                <w:p>
                  <w:pPr>
                    <w:pStyle w:val="15"/>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3.4</w:t>
                  </w:r>
                </w:p>
              </w:tc>
              <w:tc>
                <w:tcPr>
                  <w:tcW w:w="783"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397" w:hRule="atLeast"/>
                <w:jc w:val="center"/>
              </w:trPr>
              <w:tc>
                <w:tcPr>
                  <w:tcW w:w="1247" w:type="dxa"/>
                  <w:vMerge w:val="continue"/>
                  <w:tcBorders>
                    <w:tl2br w:val="nil"/>
                    <w:tr2bl w:val="nil"/>
                  </w:tcBorders>
                  <w:noWrap w:val="0"/>
                  <w:vAlign w:val="center"/>
                </w:tcPr>
                <w:p>
                  <w:pPr>
                    <w:pStyle w:val="15"/>
                    <w:bidi w:val="0"/>
                    <w:rPr>
                      <w:rFonts w:hint="default" w:ascii="Times New Roman" w:hAnsi="Times New Roman" w:cs="Times New Roman"/>
                      <w:color w:val="auto"/>
                      <w:highlight w:val="none"/>
                    </w:rPr>
                  </w:pPr>
                </w:p>
              </w:tc>
              <w:tc>
                <w:tcPr>
                  <w:tcW w:w="807"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砷</w:t>
                  </w:r>
                </w:p>
              </w:tc>
              <w:tc>
                <w:tcPr>
                  <w:tcW w:w="2243" w:type="dxa"/>
                  <w:tcBorders>
                    <w:tl2br w:val="nil"/>
                    <w:tr2bl w:val="nil"/>
                  </w:tcBorders>
                  <w:noWrap w:val="0"/>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5.38</w:t>
                  </w:r>
                </w:p>
              </w:tc>
              <w:tc>
                <w:tcPr>
                  <w:tcW w:w="2375" w:type="dxa"/>
                  <w:tcBorders>
                    <w:tl2br w:val="nil"/>
                    <w:tr2bl w:val="nil"/>
                  </w:tcBorders>
                  <w:noWrap w:val="0"/>
                  <w:vAlign w:val="center"/>
                </w:tcPr>
                <w:p>
                  <w:pPr>
                    <w:pStyle w:val="15"/>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6.30</w:t>
                  </w:r>
                </w:p>
              </w:tc>
              <w:tc>
                <w:tcPr>
                  <w:tcW w:w="1048" w:type="dxa"/>
                  <w:tcBorders>
                    <w:tl2br w:val="nil"/>
                    <w:tr2bl w:val="nil"/>
                  </w:tcBorders>
                  <w:noWrap w:val="0"/>
                  <w:vAlign w:val="center"/>
                </w:tcPr>
                <w:p>
                  <w:pPr>
                    <w:pStyle w:val="15"/>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25</w:t>
                  </w:r>
                </w:p>
              </w:tc>
              <w:tc>
                <w:tcPr>
                  <w:tcW w:w="783"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397" w:hRule="atLeast"/>
                <w:jc w:val="center"/>
              </w:trPr>
              <w:tc>
                <w:tcPr>
                  <w:tcW w:w="1247" w:type="dxa"/>
                  <w:vMerge w:val="continue"/>
                  <w:tcBorders>
                    <w:tl2br w:val="nil"/>
                    <w:tr2bl w:val="nil"/>
                  </w:tcBorders>
                  <w:noWrap w:val="0"/>
                  <w:vAlign w:val="center"/>
                </w:tcPr>
                <w:p>
                  <w:pPr>
                    <w:pStyle w:val="15"/>
                    <w:bidi w:val="0"/>
                    <w:rPr>
                      <w:rFonts w:hint="default" w:ascii="Times New Roman" w:hAnsi="Times New Roman" w:cs="Times New Roman"/>
                      <w:color w:val="auto"/>
                      <w:highlight w:val="none"/>
                    </w:rPr>
                  </w:pPr>
                </w:p>
              </w:tc>
              <w:tc>
                <w:tcPr>
                  <w:tcW w:w="807"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铜</w:t>
                  </w:r>
                </w:p>
              </w:tc>
              <w:tc>
                <w:tcPr>
                  <w:tcW w:w="2243" w:type="dxa"/>
                  <w:tcBorders>
                    <w:tl2br w:val="nil"/>
                    <w:tr2bl w:val="nil"/>
                  </w:tcBorders>
                  <w:noWrap w:val="0"/>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15</w:t>
                  </w:r>
                </w:p>
              </w:tc>
              <w:tc>
                <w:tcPr>
                  <w:tcW w:w="2375" w:type="dxa"/>
                  <w:tcBorders>
                    <w:tl2br w:val="nil"/>
                    <w:tr2bl w:val="nil"/>
                  </w:tcBorders>
                  <w:noWrap w:val="0"/>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23</w:t>
                  </w:r>
                </w:p>
              </w:tc>
              <w:tc>
                <w:tcPr>
                  <w:tcW w:w="1048" w:type="dxa"/>
                  <w:tcBorders>
                    <w:tl2br w:val="nil"/>
                    <w:tr2bl w:val="nil"/>
                  </w:tcBorders>
                  <w:noWrap w:val="0"/>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100</w:t>
                  </w:r>
                </w:p>
              </w:tc>
              <w:tc>
                <w:tcPr>
                  <w:tcW w:w="783"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397" w:hRule="atLeast"/>
                <w:jc w:val="center"/>
              </w:trPr>
              <w:tc>
                <w:tcPr>
                  <w:tcW w:w="1247" w:type="dxa"/>
                  <w:vMerge w:val="continue"/>
                  <w:tcBorders>
                    <w:tl2br w:val="nil"/>
                    <w:tr2bl w:val="nil"/>
                  </w:tcBorders>
                  <w:noWrap w:val="0"/>
                  <w:vAlign w:val="center"/>
                </w:tcPr>
                <w:p>
                  <w:pPr>
                    <w:pStyle w:val="15"/>
                    <w:bidi w:val="0"/>
                    <w:rPr>
                      <w:rFonts w:hint="default" w:ascii="Times New Roman" w:hAnsi="Times New Roman" w:cs="Times New Roman"/>
                      <w:color w:val="auto"/>
                      <w:highlight w:val="none"/>
                    </w:rPr>
                  </w:pPr>
                </w:p>
              </w:tc>
              <w:tc>
                <w:tcPr>
                  <w:tcW w:w="807"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镍</w:t>
                  </w:r>
                </w:p>
              </w:tc>
              <w:tc>
                <w:tcPr>
                  <w:tcW w:w="2243" w:type="dxa"/>
                  <w:tcBorders>
                    <w:tl2br w:val="nil"/>
                    <w:tr2bl w:val="nil"/>
                  </w:tcBorders>
                  <w:noWrap w:val="0"/>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31</w:t>
                  </w:r>
                </w:p>
              </w:tc>
              <w:tc>
                <w:tcPr>
                  <w:tcW w:w="2375" w:type="dxa"/>
                  <w:tcBorders>
                    <w:tl2br w:val="nil"/>
                    <w:tr2bl w:val="nil"/>
                  </w:tcBorders>
                  <w:noWrap w:val="0"/>
                  <w:vAlign w:val="center"/>
                </w:tcPr>
                <w:p>
                  <w:pPr>
                    <w:pStyle w:val="15"/>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29</w:t>
                  </w:r>
                </w:p>
              </w:tc>
              <w:tc>
                <w:tcPr>
                  <w:tcW w:w="1048" w:type="dxa"/>
                  <w:tcBorders>
                    <w:tl2br w:val="nil"/>
                    <w:tr2bl w:val="nil"/>
                  </w:tcBorders>
                  <w:noWrap w:val="0"/>
                  <w:vAlign w:val="center"/>
                </w:tcPr>
                <w:p>
                  <w:pPr>
                    <w:pStyle w:val="15"/>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190</w:t>
                  </w:r>
                </w:p>
              </w:tc>
              <w:tc>
                <w:tcPr>
                  <w:tcW w:w="783"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397" w:hRule="atLeast"/>
                <w:jc w:val="center"/>
              </w:trPr>
              <w:tc>
                <w:tcPr>
                  <w:tcW w:w="1247" w:type="dxa"/>
                  <w:vMerge w:val="continue"/>
                  <w:tcBorders>
                    <w:tl2br w:val="nil"/>
                    <w:tr2bl w:val="nil"/>
                  </w:tcBorders>
                  <w:noWrap w:val="0"/>
                  <w:vAlign w:val="center"/>
                </w:tcPr>
                <w:p>
                  <w:pPr>
                    <w:pStyle w:val="15"/>
                    <w:bidi w:val="0"/>
                    <w:rPr>
                      <w:rFonts w:hint="default" w:ascii="Times New Roman" w:hAnsi="Times New Roman" w:cs="Times New Roman"/>
                      <w:color w:val="auto"/>
                      <w:highlight w:val="none"/>
                    </w:rPr>
                  </w:pPr>
                </w:p>
              </w:tc>
              <w:tc>
                <w:tcPr>
                  <w:tcW w:w="807"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锌</w:t>
                  </w:r>
                </w:p>
              </w:tc>
              <w:tc>
                <w:tcPr>
                  <w:tcW w:w="2243" w:type="dxa"/>
                  <w:tcBorders>
                    <w:tl2br w:val="nil"/>
                    <w:tr2bl w:val="nil"/>
                  </w:tcBorders>
                  <w:noWrap w:val="0"/>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62</w:t>
                  </w:r>
                </w:p>
              </w:tc>
              <w:tc>
                <w:tcPr>
                  <w:tcW w:w="2375" w:type="dxa"/>
                  <w:tcBorders>
                    <w:tl2br w:val="nil"/>
                    <w:tr2bl w:val="nil"/>
                  </w:tcBorders>
                  <w:noWrap w:val="0"/>
                  <w:vAlign w:val="center"/>
                </w:tcPr>
                <w:p>
                  <w:pPr>
                    <w:pStyle w:val="15"/>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65</w:t>
                  </w:r>
                </w:p>
              </w:tc>
              <w:tc>
                <w:tcPr>
                  <w:tcW w:w="1048" w:type="dxa"/>
                  <w:tcBorders>
                    <w:tl2br w:val="nil"/>
                    <w:tr2bl w:val="nil"/>
                  </w:tcBorders>
                  <w:noWrap w:val="0"/>
                  <w:vAlign w:val="center"/>
                </w:tcPr>
                <w:p>
                  <w:pPr>
                    <w:pStyle w:val="15"/>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300</w:t>
                  </w:r>
                </w:p>
              </w:tc>
              <w:tc>
                <w:tcPr>
                  <w:tcW w:w="783"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397" w:hRule="atLeast"/>
                <w:jc w:val="center"/>
              </w:trPr>
              <w:tc>
                <w:tcPr>
                  <w:tcW w:w="1247" w:type="dxa"/>
                  <w:vMerge w:val="continue"/>
                  <w:tcBorders>
                    <w:tl2br w:val="nil"/>
                    <w:tr2bl w:val="nil"/>
                  </w:tcBorders>
                  <w:noWrap w:val="0"/>
                  <w:vAlign w:val="center"/>
                </w:tcPr>
                <w:p>
                  <w:pPr>
                    <w:pStyle w:val="15"/>
                    <w:bidi w:val="0"/>
                    <w:rPr>
                      <w:rFonts w:hint="default" w:ascii="Times New Roman" w:hAnsi="Times New Roman" w:cs="Times New Roman"/>
                      <w:color w:val="auto"/>
                      <w:highlight w:val="none"/>
                    </w:rPr>
                  </w:pPr>
                </w:p>
              </w:tc>
              <w:tc>
                <w:tcPr>
                  <w:tcW w:w="807"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铬</w:t>
                  </w:r>
                </w:p>
              </w:tc>
              <w:tc>
                <w:tcPr>
                  <w:tcW w:w="2243" w:type="dxa"/>
                  <w:tcBorders>
                    <w:tl2br w:val="nil"/>
                    <w:tr2bl w:val="nil"/>
                  </w:tcBorders>
                  <w:noWrap w:val="0"/>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68</w:t>
                  </w:r>
                </w:p>
              </w:tc>
              <w:tc>
                <w:tcPr>
                  <w:tcW w:w="2375" w:type="dxa"/>
                  <w:tcBorders>
                    <w:tl2br w:val="nil"/>
                    <w:tr2bl w:val="nil"/>
                  </w:tcBorders>
                  <w:noWrap w:val="0"/>
                  <w:vAlign w:val="center"/>
                </w:tcPr>
                <w:p>
                  <w:pPr>
                    <w:pStyle w:val="15"/>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108</w:t>
                  </w:r>
                </w:p>
              </w:tc>
              <w:tc>
                <w:tcPr>
                  <w:tcW w:w="1048" w:type="dxa"/>
                  <w:tcBorders>
                    <w:tl2br w:val="nil"/>
                    <w:tr2bl w:val="nil"/>
                  </w:tcBorders>
                  <w:noWrap w:val="0"/>
                  <w:vAlign w:val="center"/>
                </w:tcPr>
                <w:p>
                  <w:pPr>
                    <w:pStyle w:val="15"/>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250</w:t>
                  </w:r>
                </w:p>
              </w:tc>
              <w:tc>
                <w:tcPr>
                  <w:tcW w:w="783"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397" w:hRule="atLeast"/>
                <w:jc w:val="center"/>
              </w:trPr>
              <w:tc>
                <w:tcPr>
                  <w:tcW w:w="1247" w:type="dxa"/>
                  <w:vMerge w:val="continue"/>
                  <w:tcBorders>
                    <w:tl2br w:val="nil"/>
                    <w:tr2bl w:val="nil"/>
                  </w:tcBorders>
                  <w:noWrap w:val="0"/>
                  <w:vAlign w:val="center"/>
                </w:tcPr>
                <w:p>
                  <w:pPr>
                    <w:pStyle w:val="15"/>
                    <w:bidi w:val="0"/>
                    <w:rPr>
                      <w:rFonts w:hint="default" w:ascii="Times New Roman" w:hAnsi="Times New Roman" w:cs="Times New Roman"/>
                      <w:color w:val="auto"/>
                      <w:highlight w:val="none"/>
                    </w:rPr>
                  </w:pPr>
                </w:p>
              </w:tc>
              <w:tc>
                <w:tcPr>
                  <w:tcW w:w="807"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铅</w:t>
                  </w:r>
                </w:p>
              </w:tc>
              <w:tc>
                <w:tcPr>
                  <w:tcW w:w="2243" w:type="dxa"/>
                  <w:tcBorders>
                    <w:tl2br w:val="nil"/>
                    <w:tr2bl w:val="nil"/>
                  </w:tcBorders>
                  <w:noWrap w:val="0"/>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19.5</w:t>
                  </w:r>
                </w:p>
              </w:tc>
              <w:tc>
                <w:tcPr>
                  <w:tcW w:w="2375" w:type="dxa"/>
                  <w:tcBorders>
                    <w:tl2br w:val="nil"/>
                    <w:tr2bl w:val="nil"/>
                  </w:tcBorders>
                  <w:noWrap w:val="0"/>
                  <w:vAlign w:val="center"/>
                </w:tcPr>
                <w:p>
                  <w:pPr>
                    <w:pStyle w:val="15"/>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19.1</w:t>
                  </w:r>
                </w:p>
              </w:tc>
              <w:tc>
                <w:tcPr>
                  <w:tcW w:w="1048" w:type="dxa"/>
                  <w:tcBorders>
                    <w:tl2br w:val="nil"/>
                    <w:tr2bl w:val="nil"/>
                  </w:tcBorders>
                  <w:noWrap w:val="0"/>
                  <w:vAlign w:val="center"/>
                </w:tcPr>
                <w:p>
                  <w:pPr>
                    <w:pStyle w:val="15"/>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170</w:t>
                  </w:r>
                </w:p>
              </w:tc>
              <w:tc>
                <w:tcPr>
                  <w:tcW w:w="783"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397" w:hRule="atLeast"/>
                <w:jc w:val="center"/>
              </w:trPr>
              <w:tc>
                <w:tcPr>
                  <w:tcW w:w="1247" w:type="dxa"/>
                  <w:vMerge w:val="continue"/>
                  <w:tcBorders>
                    <w:tl2br w:val="nil"/>
                    <w:tr2bl w:val="nil"/>
                  </w:tcBorders>
                  <w:noWrap w:val="0"/>
                  <w:vAlign w:val="center"/>
                </w:tcPr>
                <w:p>
                  <w:pPr>
                    <w:pStyle w:val="15"/>
                    <w:bidi w:val="0"/>
                    <w:rPr>
                      <w:rFonts w:hint="default" w:ascii="Times New Roman" w:hAnsi="Times New Roman" w:cs="Times New Roman"/>
                      <w:color w:val="auto"/>
                      <w:highlight w:val="none"/>
                    </w:rPr>
                  </w:pPr>
                </w:p>
              </w:tc>
              <w:tc>
                <w:tcPr>
                  <w:tcW w:w="807" w:type="dxa"/>
                  <w:tcBorders>
                    <w:tl2br w:val="nil"/>
                    <w:tr2bl w:val="nil"/>
                  </w:tcBorders>
                  <w:noWrap w:val="0"/>
                  <w:vAlign w:val="center"/>
                </w:tcPr>
                <w:p>
                  <w:pPr>
                    <w:pStyle w:val="15"/>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镉</w:t>
                  </w:r>
                </w:p>
              </w:tc>
              <w:tc>
                <w:tcPr>
                  <w:tcW w:w="2243" w:type="dxa"/>
                  <w:tcBorders>
                    <w:tl2br w:val="nil"/>
                    <w:tr2bl w:val="nil"/>
                  </w:tcBorders>
                  <w:noWrap w:val="0"/>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0.26</w:t>
                  </w:r>
                </w:p>
              </w:tc>
              <w:tc>
                <w:tcPr>
                  <w:tcW w:w="2375" w:type="dxa"/>
                  <w:tcBorders>
                    <w:tl2br w:val="nil"/>
                    <w:tr2bl w:val="nil"/>
                  </w:tcBorders>
                  <w:noWrap w:val="0"/>
                  <w:vAlign w:val="center"/>
                </w:tcPr>
                <w:p>
                  <w:pPr>
                    <w:pStyle w:val="15"/>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0.15</w:t>
                  </w:r>
                </w:p>
              </w:tc>
              <w:tc>
                <w:tcPr>
                  <w:tcW w:w="1048" w:type="dxa"/>
                  <w:tcBorders>
                    <w:tl2br w:val="nil"/>
                    <w:tr2bl w:val="nil"/>
                  </w:tcBorders>
                  <w:noWrap w:val="0"/>
                  <w:vAlign w:val="center"/>
                </w:tcPr>
                <w:p>
                  <w:pPr>
                    <w:pStyle w:val="15"/>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0.6</w:t>
                  </w:r>
                </w:p>
              </w:tc>
              <w:tc>
                <w:tcPr>
                  <w:tcW w:w="783"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397" w:hRule="atLeast"/>
                <w:jc w:val="center"/>
              </w:trPr>
              <w:tc>
                <w:tcPr>
                  <w:tcW w:w="1247" w:type="dxa"/>
                  <w:tcBorders>
                    <w:tl2br w:val="nil"/>
                    <w:tr2bl w:val="nil"/>
                  </w:tcBorders>
                  <w:noWrap w:val="0"/>
                  <w:vAlign w:val="center"/>
                </w:tcPr>
                <w:p>
                  <w:pPr>
                    <w:pStyle w:val="15"/>
                    <w:bidi w:val="0"/>
                    <w:ind w:firstLine="0" w:firstLineChars="0"/>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cs="Times New Roman"/>
                      <w:b/>
                      <w:bCs/>
                      <w:color w:val="auto"/>
                      <w:highlight w:val="none"/>
                      <w:lang w:val="en-US" w:eastAsia="zh-CN" w:bidi="ar-SA"/>
                    </w:rPr>
                    <w:t>评价标准</w:t>
                  </w:r>
                </w:p>
              </w:tc>
              <w:tc>
                <w:tcPr>
                  <w:tcW w:w="7256" w:type="dxa"/>
                  <w:gridSpan w:val="5"/>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b/>
                      <w:bCs/>
                      <w:color w:val="auto"/>
                      <w:highlight w:val="none"/>
                      <w:lang w:val="en-US" w:eastAsia="zh-CN" w:bidi="ar-SA"/>
                    </w:rPr>
                    <w:t>《土壤环境质量 农用地土壤污染风险管控标准（试行）》（GB15618-2018）中pH</w:t>
                  </w:r>
                  <w:r>
                    <w:rPr>
                      <w:rFonts w:hint="default" w:ascii="Times New Roman" w:hAnsi="Times New Roman" w:cs="Times New Roman"/>
                      <w:color w:val="auto"/>
                      <w:highlight w:val="none"/>
                      <w:lang w:val="zh-TW"/>
                    </w:rPr>
                    <w:t>＞</w:t>
                  </w:r>
                  <w:r>
                    <w:rPr>
                      <w:rFonts w:hint="default" w:ascii="Times New Roman" w:hAnsi="Times New Roman" w:cs="Times New Roman"/>
                      <w:b/>
                      <w:bCs/>
                      <w:color w:val="auto"/>
                      <w:highlight w:val="none"/>
                      <w:lang w:val="en-US" w:eastAsia="zh-CN" w:bidi="ar-SA"/>
                    </w:rPr>
                    <w:t>7.5其他限值。</w:t>
                  </w:r>
                </w:p>
              </w:tc>
            </w:tr>
          </w:tbl>
          <w:p>
            <w:pPr>
              <w:rPr>
                <w:rFonts w:hint="default" w:ascii="Times New Roman" w:hAnsi="Times New Roman" w:cs="Times New Roman"/>
                <w:color w:val="auto"/>
                <w:kern w:val="2"/>
                <w:szCs w:val="24"/>
                <w:highlight w:val="none"/>
                <w:lang w:val="en-US" w:eastAsia="zh-CN"/>
              </w:rPr>
            </w:pPr>
            <w:r>
              <w:rPr>
                <w:rFonts w:hint="default" w:ascii="Times New Roman" w:hAnsi="Times New Roman" w:cs="Times New Roman"/>
                <w:color w:val="auto"/>
                <w:highlight w:val="none"/>
                <w:lang w:val="zh-TW"/>
              </w:rPr>
              <w:t>评价结论：由上可知，底泥中各监测因子均满足《土壤环境质量 农用地土壤污染风险管控标准（试行）》（GB15618-2018）</w:t>
            </w:r>
            <w:r>
              <w:rPr>
                <w:rFonts w:hint="default" w:ascii="Times New Roman" w:hAnsi="Times New Roman" w:cs="Times New Roman"/>
                <w:color w:val="auto"/>
                <w:highlight w:val="none"/>
                <w:lang w:val="en-US" w:eastAsia="zh-CN"/>
              </w:rPr>
              <w:t>中</w:t>
            </w:r>
            <w:r>
              <w:rPr>
                <w:rFonts w:hint="default" w:ascii="Times New Roman" w:hAnsi="Times New Roman" w:cs="Times New Roman"/>
                <w:color w:val="auto"/>
                <w:highlight w:val="none"/>
                <w:lang w:val="zh-TW"/>
              </w:rPr>
              <w:t>pH＞7.5的</w:t>
            </w:r>
            <w:r>
              <w:rPr>
                <w:rFonts w:hint="default" w:ascii="Times New Roman" w:hAnsi="Times New Roman" w:cs="Times New Roman"/>
                <w:color w:val="auto"/>
                <w:sz w:val="24"/>
                <w:szCs w:val="24"/>
                <w:highlight w:val="none"/>
              </w:rPr>
              <w:t>土壤</w:t>
            </w:r>
            <w:r>
              <w:rPr>
                <w:rFonts w:hint="default" w:ascii="Times New Roman" w:hAnsi="Times New Roman" w:cs="Times New Roman"/>
                <w:color w:val="auto"/>
                <w:sz w:val="24"/>
                <w:szCs w:val="24"/>
                <w:highlight w:val="none"/>
                <w:lang w:val="en-US" w:eastAsia="zh-CN"/>
              </w:rPr>
              <w:t>污染</w:t>
            </w:r>
            <w:r>
              <w:rPr>
                <w:rFonts w:hint="default" w:ascii="Times New Roman" w:hAnsi="Times New Roman" w:cs="Times New Roman"/>
                <w:color w:val="auto"/>
                <w:sz w:val="24"/>
                <w:szCs w:val="24"/>
                <w:highlight w:val="none"/>
              </w:rPr>
              <w:t>风险筛选值</w:t>
            </w:r>
            <w:r>
              <w:rPr>
                <w:rFonts w:hint="default" w:ascii="Times New Roman" w:hAnsi="Times New Roman" w:cs="Times New Roman"/>
                <w:color w:val="auto"/>
                <w:sz w:val="24"/>
                <w:szCs w:val="24"/>
                <w:highlight w:val="none"/>
                <w:lang w:val="en-US" w:eastAsia="zh-CN"/>
              </w:rPr>
              <w:t>及风险管控值要求</w:t>
            </w:r>
            <w:r>
              <w:rPr>
                <w:rFonts w:hint="default" w:ascii="Times New Roman" w:hAnsi="Times New Roman" w:cs="Times New Roman"/>
                <w:color w:val="auto"/>
                <w:highlight w:val="none"/>
                <w:lang w:val="zh-TW"/>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6" w:type="dxa"/>
          </w:tcPr>
          <w:p>
            <w:pPr>
              <w:ind w:left="0" w:leftChars="0" w:firstLine="0" w:firstLineChars="0"/>
              <w:rPr>
                <w:rFonts w:hint="default" w:ascii="Times New Roman" w:hAnsi="Times New Roman" w:cs="Times New Roman"/>
                <w:color w:val="auto"/>
                <w:szCs w:val="21"/>
                <w:highlight w:val="none"/>
              </w:rPr>
            </w:pPr>
            <w:r>
              <w:rPr>
                <w:rFonts w:hint="default" w:ascii="Times New Roman" w:hAnsi="Times New Roman" w:cs="Times New Roman"/>
                <w:bCs/>
                <w:color w:val="auto"/>
                <w:szCs w:val="21"/>
                <w:highlight w:val="none"/>
              </w:rPr>
              <w:t>与项目有关的原有环境污染和生态破坏问题</w:t>
            </w:r>
          </w:p>
        </w:tc>
        <w:tc>
          <w:tcPr>
            <w:tcW w:w="8825" w:type="dxa"/>
            <w:vAlign w:val="top"/>
          </w:tcPr>
          <w:p>
            <w:pPr>
              <w:jc w:val="both"/>
              <w:rPr>
                <w:rFonts w:hint="default" w:ascii="Times New Roman" w:hAnsi="Times New Roman" w:cs="Times New Roman"/>
                <w:color w:val="auto"/>
                <w:kern w:val="2"/>
                <w:szCs w:val="24"/>
                <w:highlight w:val="none"/>
                <w:lang w:val="en-US" w:eastAsia="zh-CN"/>
              </w:rPr>
            </w:pPr>
            <w:r>
              <w:rPr>
                <w:rFonts w:hint="default" w:ascii="Times New Roman" w:hAnsi="Times New Roman" w:cs="Times New Roman"/>
                <w:b w:val="0"/>
                <w:bCs w:val="0"/>
                <w:color w:val="auto"/>
                <w:highlight w:val="none"/>
                <w:u w:val="none"/>
              </w:rPr>
              <w:t>本项目为</w:t>
            </w:r>
            <w:r>
              <w:rPr>
                <w:rFonts w:hint="default" w:ascii="Times New Roman" w:hAnsi="Times New Roman" w:cs="Times New Roman"/>
                <w:color w:val="auto"/>
                <w:highlight w:val="none"/>
                <w:u w:val="none"/>
              </w:rPr>
              <w:t>堤防工程</w:t>
            </w:r>
            <w:r>
              <w:rPr>
                <w:rFonts w:hint="default" w:ascii="Times New Roman" w:hAnsi="Times New Roman" w:cs="Times New Roman"/>
                <w:b w:val="0"/>
                <w:bCs w:val="0"/>
                <w:color w:val="auto"/>
                <w:highlight w:val="none"/>
                <w:u w:val="none"/>
              </w:rPr>
              <w:t>项目，</w:t>
            </w:r>
            <w:r>
              <w:rPr>
                <w:rFonts w:hint="default" w:ascii="Times New Roman" w:hAnsi="Times New Roman" w:eastAsia="宋体" w:cs="Times New Roman"/>
                <w:i w:val="0"/>
                <w:iCs w:val="0"/>
                <w:color w:val="auto"/>
                <w:sz w:val="24"/>
                <w:highlight w:val="none"/>
                <w:u w:val="none"/>
              </w:rPr>
              <w:t>受纳水体</w:t>
            </w:r>
            <w:r>
              <w:rPr>
                <w:rFonts w:hint="default" w:ascii="Times New Roman" w:hAnsi="Times New Roman" w:cs="Times New Roman"/>
                <w:i w:val="0"/>
                <w:iCs w:val="0"/>
                <w:color w:val="auto"/>
                <w:sz w:val="24"/>
                <w:highlight w:val="none"/>
                <w:u w:val="none"/>
                <w:lang w:val="en-US" w:eastAsia="zh-CN"/>
              </w:rPr>
              <w:t>为胡家镇胡家河、油坊沟段</w:t>
            </w:r>
            <w:r>
              <w:rPr>
                <w:rFonts w:hint="default" w:ascii="Times New Roman" w:hAnsi="Times New Roman" w:cs="Times New Roman"/>
                <w:i w:val="0"/>
                <w:iCs w:val="0"/>
                <w:color w:val="auto"/>
                <w:sz w:val="24"/>
                <w:highlight w:val="none"/>
                <w:u w:val="none"/>
                <w:lang w:eastAsia="zh-CN"/>
              </w:rPr>
              <w:t>，</w:t>
            </w:r>
            <w:r>
              <w:rPr>
                <w:rFonts w:hint="default" w:ascii="Times New Roman" w:hAnsi="Times New Roman" w:cs="Times New Roman"/>
                <w:color w:val="auto"/>
                <w:highlight w:val="none"/>
                <w:lang w:val="en-US" w:eastAsia="zh-CN"/>
              </w:rPr>
              <w:t>项目位于农村地区，周边不涉及工业污染源，地表水不存在重金属污染。</w:t>
            </w:r>
            <w:r>
              <w:rPr>
                <w:rFonts w:hint="default" w:ascii="Times New Roman" w:hAnsi="Times New Roman" w:cs="Times New Roman"/>
                <w:b w:val="0"/>
                <w:bCs w:val="0"/>
                <w:color w:val="auto"/>
                <w:highlight w:val="none"/>
                <w:u w:val="none"/>
              </w:rPr>
              <w:t>通过现场踏勘，原有河道由于年久未经治理，</w:t>
            </w:r>
            <w:r>
              <w:rPr>
                <w:rFonts w:hint="default" w:ascii="Times New Roman" w:hAnsi="Times New Roman" w:cs="Times New Roman"/>
                <w:b w:val="0"/>
                <w:bCs w:val="0"/>
                <w:color w:val="auto"/>
                <w:highlight w:val="none"/>
                <w:u w:val="none"/>
                <w:lang w:val="en-US" w:eastAsia="zh-CN"/>
              </w:rPr>
              <w:t>河床泥沙堆积、河堤受洪水</w:t>
            </w:r>
            <w:r>
              <w:rPr>
                <w:rFonts w:hint="default" w:ascii="Times New Roman" w:hAnsi="Times New Roman" w:cs="Times New Roman"/>
                <w:b w:val="0"/>
                <w:bCs w:val="0"/>
                <w:color w:val="auto"/>
                <w:highlight w:val="none"/>
                <w:u w:val="none"/>
              </w:rPr>
              <w:t>冲刷严重</w:t>
            </w:r>
            <w:r>
              <w:rPr>
                <w:rFonts w:hint="default" w:ascii="Times New Roman" w:hAnsi="Times New Roman" w:cs="Times New Roman"/>
                <w:b w:val="0"/>
                <w:bCs w:val="0"/>
                <w:color w:val="auto"/>
                <w:highlight w:val="none"/>
                <w:u w:val="none"/>
                <w:lang w:eastAsia="zh-CN"/>
              </w:rPr>
              <w:t>，</w:t>
            </w:r>
            <w:r>
              <w:rPr>
                <w:rFonts w:hint="default" w:ascii="Times New Roman" w:hAnsi="Times New Roman" w:cs="Times New Roman"/>
                <w:b w:val="0"/>
                <w:bCs w:val="0"/>
                <w:color w:val="auto"/>
                <w:highlight w:val="none"/>
                <w:u w:val="none"/>
                <w:lang w:val="en-US" w:eastAsia="zh-CN"/>
              </w:rPr>
              <w:t>影响河流行洪及河岸防洪，制约着当地居民的经济发展</w:t>
            </w:r>
            <w:r>
              <w:rPr>
                <w:rFonts w:hint="default" w:ascii="Times New Roman" w:hAnsi="Times New Roman" w:cs="Times New Roman"/>
                <w:b w:val="0"/>
                <w:bCs w:val="0"/>
                <w:color w:val="auto"/>
                <w:highlight w:val="none"/>
                <w:u w:val="none"/>
              </w:rPr>
              <w:t>。通过修建河堤后，原有污染情况将消失。在堤防工程建设完成后，</w:t>
            </w:r>
            <w:r>
              <w:rPr>
                <w:rFonts w:hint="default" w:ascii="Times New Roman" w:hAnsi="Times New Roman" w:cs="Times New Roman"/>
                <w:b w:val="0"/>
                <w:bCs w:val="0"/>
                <w:color w:val="auto"/>
                <w:highlight w:val="none"/>
                <w:u w:val="none"/>
                <w:lang w:eastAsia="zh-CN"/>
              </w:rPr>
              <w:t>本项目</w:t>
            </w:r>
            <w:r>
              <w:rPr>
                <w:rFonts w:hint="default" w:ascii="Times New Roman" w:hAnsi="Times New Roman" w:cs="Times New Roman"/>
                <w:b w:val="0"/>
                <w:bCs w:val="0"/>
                <w:color w:val="auto"/>
                <w:highlight w:val="none"/>
                <w:u w:val="none"/>
              </w:rPr>
              <w:t>河段过水断面面积将得到极大增加，洪泛期间洪水水位随之下降</w:t>
            </w:r>
            <w:r>
              <w:rPr>
                <w:rFonts w:hint="default" w:ascii="Times New Roman" w:hAnsi="Times New Roman" w:cs="Times New Roman"/>
                <w:b w:val="0"/>
                <w:bCs w:val="0"/>
                <w:color w:val="auto"/>
                <w:highlight w:val="none"/>
                <w:u w:val="none"/>
                <w:lang w:eastAsia="zh-CN"/>
              </w:rPr>
              <w:t>，</w:t>
            </w:r>
            <w:r>
              <w:rPr>
                <w:rFonts w:hint="default" w:ascii="Times New Roman" w:hAnsi="Times New Roman" w:cs="Times New Roman"/>
                <w:b w:val="0"/>
                <w:bCs w:val="0"/>
                <w:color w:val="auto"/>
                <w:highlight w:val="none"/>
                <w:u w:val="none"/>
                <w:lang w:val="en-US" w:eastAsia="zh-CN"/>
              </w:rPr>
              <w:t>河岸防洪能力增强</w:t>
            </w:r>
            <w:r>
              <w:rPr>
                <w:rFonts w:hint="default" w:ascii="Times New Roman" w:hAnsi="Times New Roman" w:cs="Times New Roman"/>
                <w:b w:val="0"/>
                <w:bCs w:val="0"/>
                <w:color w:val="auto"/>
                <w:highlight w:val="none"/>
                <w:u w:val="none"/>
              </w:rPr>
              <w:t>，</w:t>
            </w:r>
            <w:r>
              <w:rPr>
                <w:rFonts w:hint="default" w:ascii="Times New Roman" w:hAnsi="Times New Roman" w:cs="Times New Roman"/>
                <w:b w:val="0"/>
                <w:bCs w:val="0"/>
                <w:color w:val="auto"/>
                <w:highlight w:val="none"/>
                <w:u w:val="none"/>
                <w:lang w:eastAsia="zh-CN"/>
              </w:rPr>
              <w:t>重力</w:t>
            </w:r>
            <w:r>
              <w:rPr>
                <w:rFonts w:hint="default" w:ascii="Times New Roman" w:hAnsi="Times New Roman" w:cs="Times New Roman"/>
                <w:b w:val="0"/>
                <w:bCs w:val="0"/>
                <w:color w:val="auto"/>
                <w:highlight w:val="none"/>
                <w:u w:val="none"/>
              </w:rPr>
              <w:t>式堤防将保护</w:t>
            </w:r>
            <w:r>
              <w:rPr>
                <w:rFonts w:hint="default" w:ascii="Times New Roman" w:hAnsi="Times New Roman" w:cs="Times New Roman"/>
                <w:b w:val="0"/>
                <w:bCs w:val="0"/>
                <w:color w:val="auto"/>
                <w:highlight w:val="none"/>
                <w:u w:val="none"/>
                <w:lang w:eastAsia="zh-CN"/>
              </w:rPr>
              <w:t>两岸绿地、道路</w:t>
            </w:r>
            <w:r>
              <w:rPr>
                <w:rFonts w:hint="default" w:ascii="Times New Roman" w:hAnsi="Times New Roman" w:cs="Times New Roman"/>
                <w:b w:val="0"/>
                <w:bCs w:val="0"/>
                <w:color w:val="auto"/>
                <w:highlight w:val="none"/>
                <w:u w:val="none"/>
              </w:rPr>
              <w:t>不受洪水冲击影响。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6" w:type="dxa"/>
          </w:tcPr>
          <w:p>
            <w:pPr>
              <w:ind w:left="0" w:leftChars="0" w:firstLine="0" w:firstLineChars="0"/>
              <w:rPr>
                <w:rFonts w:hint="default" w:ascii="Times New Roman" w:hAnsi="Times New Roman" w:cs="Times New Roman"/>
                <w:bCs/>
                <w:color w:val="auto"/>
                <w:szCs w:val="21"/>
                <w:highlight w:val="none"/>
              </w:rPr>
            </w:pPr>
            <w:r>
              <w:rPr>
                <w:rFonts w:hint="default" w:ascii="Times New Roman" w:hAnsi="Times New Roman" w:cs="Times New Roman"/>
                <w:color w:val="auto"/>
                <w:szCs w:val="21"/>
                <w:highlight w:val="none"/>
              </w:rPr>
              <w:t>生态环境保护目标</w:t>
            </w:r>
          </w:p>
        </w:tc>
        <w:tc>
          <w:tcPr>
            <w:tcW w:w="8825" w:type="dxa"/>
            <w:vAlign w:val="center"/>
          </w:tcPr>
          <w:p>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属生态类型，对环境的影响主要集中在施工期。其中施工废水、扬尘、施工噪声以及固体废物对周边环境产生短期影响，环境保护目标参照《建设项目环境影响报告表编制技术指南（污染影响类）（试行）》识别。生态环境保护目标按《建设项目环境影响报告表编制技术指南（生态影响类）（试行）》及《环境影响评价技术导则 生态影响》（HJ19-2011）识别。</w:t>
            </w:r>
          </w:p>
          <w:p>
            <w:pPr>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lang w:val="en-US" w:eastAsia="zh-CN"/>
              </w:rPr>
              <w:t>一、</w:t>
            </w:r>
            <w:r>
              <w:rPr>
                <w:rFonts w:hint="default" w:ascii="Times New Roman" w:hAnsi="Times New Roman" w:cs="Times New Roman"/>
                <w:b/>
                <w:bCs/>
                <w:color w:val="auto"/>
                <w:highlight w:val="none"/>
              </w:rPr>
              <w:t>评价范围的确定</w:t>
            </w:r>
          </w:p>
          <w:p>
            <w:pPr>
              <w:pStyle w:val="16"/>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表3-11  评价范围表</w:t>
            </w:r>
          </w:p>
          <w:tbl>
            <w:tblPr>
              <w:tblStyle w:val="12"/>
              <w:tblW w:w="8601"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546"/>
              <w:gridCol w:w="605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46" w:type="dxa"/>
                  <w:tcBorders>
                    <w:tl2br w:val="nil"/>
                    <w:tr2bl w:val="nil"/>
                  </w:tcBorders>
                  <w:vAlign w:val="center"/>
                </w:tcPr>
                <w:p>
                  <w:pPr>
                    <w:pStyle w:val="15"/>
                    <w:bidi w:val="0"/>
                    <w:jc w:val="center"/>
                    <w:rPr>
                      <w:rFonts w:hint="default" w:ascii="Times New Roman" w:hAnsi="Times New Roman" w:eastAsia="宋体" w:cs="Times New Roman"/>
                      <w:b/>
                      <w:bCs/>
                      <w:color w:val="auto"/>
                      <w:highlight w:val="none"/>
                      <w:lang w:val="en-US" w:eastAsia="zh-CN"/>
                    </w:rPr>
                  </w:pPr>
                  <w:r>
                    <w:rPr>
                      <w:rFonts w:hint="default" w:ascii="Times New Roman" w:hAnsi="Times New Roman" w:cs="Times New Roman"/>
                      <w:b/>
                      <w:bCs/>
                      <w:color w:val="auto"/>
                      <w:highlight w:val="none"/>
                      <w:lang w:val="en-US" w:eastAsia="zh-CN"/>
                    </w:rPr>
                    <w:t>环境要素</w:t>
                  </w:r>
                </w:p>
              </w:tc>
              <w:tc>
                <w:tcPr>
                  <w:tcW w:w="6055" w:type="dxa"/>
                  <w:tcBorders>
                    <w:tl2br w:val="nil"/>
                    <w:tr2bl w:val="nil"/>
                  </w:tcBorders>
                  <w:vAlign w:val="center"/>
                </w:tcPr>
                <w:p>
                  <w:pPr>
                    <w:pStyle w:val="15"/>
                    <w:bidi w:val="0"/>
                    <w:jc w:val="center"/>
                    <w:rPr>
                      <w:rFonts w:hint="default" w:ascii="Times New Roman" w:hAnsi="Times New Roman" w:eastAsia="宋体" w:cs="Times New Roman"/>
                      <w:b/>
                      <w:bCs/>
                      <w:color w:val="auto"/>
                      <w:highlight w:val="none"/>
                      <w:lang w:val="en-US" w:eastAsia="zh-CN"/>
                    </w:rPr>
                  </w:pPr>
                  <w:r>
                    <w:rPr>
                      <w:rFonts w:hint="default" w:ascii="Times New Roman" w:hAnsi="Times New Roman" w:cs="Times New Roman"/>
                      <w:b/>
                      <w:bCs/>
                      <w:color w:val="auto"/>
                      <w:highlight w:val="none"/>
                      <w:lang w:val="en-US" w:eastAsia="zh-CN"/>
                    </w:rPr>
                    <w:t>评价范围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46" w:type="dxa"/>
                  <w:tcBorders>
                    <w:tl2br w:val="nil"/>
                    <w:tr2bl w:val="nil"/>
                  </w:tcBorders>
                  <w:vAlign w:val="center"/>
                </w:tcPr>
                <w:p>
                  <w:pPr>
                    <w:pStyle w:val="15"/>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生态环境</w:t>
                  </w:r>
                </w:p>
              </w:tc>
              <w:tc>
                <w:tcPr>
                  <w:tcW w:w="6055" w:type="dxa"/>
                  <w:tcBorders>
                    <w:tl2br w:val="nil"/>
                    <w:tr2bl w:val="nil"/>
                  </w:tcBorders>
                  <w:vAlign w:val="center"/>
                </w:tcPr>
                <w:p>
                  <w:pPr>
                    <w:pStyle w:val="15"/>
                    <w:bidi w:val="0"/>
                    <w:jc w:val="center"/>
                    <w:rPr>
                      <w:rFonts w:hint="default" w:ascii="Times New Roman" w:hAnsi="Times New Roman" w:cs="Times New Roman"/>
                      <w:color w:val="auto"/>
                      <w:highlight w:val="none"/>
                    </w:rPr>
                  </w:pPr>
                  <w:r>
                    <w:rPr>
                      <w:rFonts w:hint="default" w:ascii="Times New Roman" w:hAnsi="Times New Roman" w:cs="Times New Roman"/>
                      <w:color w:val="auto"/>
                      <w:sz w:val="21"/>
                      <w:highlight w:val="none"/>
                    </w:rPr>
                    <w:t>项目</w:t>
                  </w:r>
                  <w:r>
                    <w:rPr>
                      <w:rFonts w:hint="default" w:ascii="Times New Roman" w:hAnsi="Times New Roman" w:cs="Times New Roman"/>
                      <w:color w:val="auto"/>
                      <w:sz w:val="21"/>
                      <w:highlight w:val="none"/>
                      <w:lang w:eastAsia="zh-CN"/>
                    </w:rPr>
                    <w:t>河道</w:t>
                  </w:r>
                  <w:r>
                    <w:rPr>
                      <w:rFonts w:hint="default" w:ascii="Times New Roman" w:hAnsi="Times New Roman" w:cs="Times New Roman"/>
                      <w:color w:val="auto"/>
                      <w:sz w:val="21"/>
                      <w:highlight w:val="none"/>
                    </w:rPr>
                    <w:t>工程中心线两侧各200m范围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46" w:type="dxa"/>
                  <w:tcBorders>
                    <w:tl2br w:val="nil"/>
                    <w:tr2bl w:val="nil"/>
                  </w:tcBorders>
                  <w:vAlign w:val="center"/>
                </w:tcPr>
                <w:p>
                  <w:pPr>
                    <w:pStyle w:val="15"/>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声环境</w:t>
                  </w:r>
                </w:p>
              </w:tc>
              <w:tc>
                <w:tcPr>
                  <w:tcW w:w="6055" w:type="dxa"/>
                  <w:tcBorders>
                    <w:tl2br w:val="nil"/>
                    <w:tr2bl w:val="nil"/>
                  </w:tcBorders>
                  <w:vAlign w:val="center"/>
                </w:tcPr>
                <w:p>
                  <w:pPr>
                    <w:jc w:val="center"/>
                    <w:rPr>
                      <w:rFonts w:hint="default" w:ascii="Times New Roman" w:hAnsi="Times New Roman" w:eastAsia="Times New Roman" w:cs="Times New Roman"/>
                      <w:color w:val="auto"/>
                      <w:sz w:val="21"/>
                      <w:highlight w:val="none"/>
                    </w:rPr>
                  </w:pPr>
                  <w:r>
                    <w:rPr>
                      <w:rFonts w:hint="default" w:ascii="Times New Roman" w:hAnsi="Times New Roman" w:cs="Times New Roman"/>
                      <w:color w:val="auto"/>
                      <w:sz w:val="21"/>
                      <w:highlight w:val="none"/>
                    </w:rPr>
                    <w:t>施工期为各施工区施工场界；</w:t>
                  </w:r>
                </w:p>
                <w:p>
                  <w:pPr>
                    <w:pStyle w:val="15"/>
                    <w:bidi w:val="0"/>
                    <w:jc w:val="center"/>
                    <w:rPr>
                      <w:rFonts w:hint="default" w:ascii="Times New Roman" w:hAnsi="Times New Roman" w:cs="Times New Roman"/>
                      <w:color w:val="auto"/>
                      <w:highlight w:val="none"/>
                    </w:rPr>
                  </w:pPr>
                  <w:r>
                    <w:rPr>
                      <w:rFonts w:hint="default" w:ascii="Times New Roman" w:hAnsi="Times New Roman" w:cs="Times New Roman"/>
                      <w:color w:val="auto"/>
                      <w:sz w:val="21"/>
                      <w:highlight w:val="none"/>
                    </w:rPr>
                    <w:t>营运期为</w:t>
                  </w:r>
                  <w:r>
                    <w:rPr>
                      <w:rFonts w:hint="default" w:ascii="Times New Roman" w:hAnsi="Times New Roman" w:cs="Times New Roman"/>
                      <w:color w:val="auto"/>
                      <w:sz w:val="21"/>
                      <w:highlight w:val="none"/>
                      <w:lang w:eastAsia="zh-CN"/>
                    </w:rPr>
                    <w:t>本项目段河道</w:t>
                  </w:r>
                  <w:r>
                    <w:rPr>
                      <w:rFonts w:hint="default" w:ascii="Times New Roman" w:hAnsi="Times New Roman" w:cs="Times New Roman"/>
                      <w:color w:val="auto"/>
                      <w:sz w:val="21"/>
                      <w:highlight w:val="none"/>
                    </w:rPr>
                    <w:t>沿线及周围200m以内区域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46" w:type="dxa"/>
                  <w:tcBorders>
                    <w:tl2br w:val="nil"/>
                    <w:tr2bl w:val="nil"/>
                  </w:tcBorders>
                  <w:vAlign w:val="center"/>
                </w:tcPr>
                <w:p>
                  <w:pPr>
                    <w:pStyle w:val="15"/>
                    <w:bidi w:val="0"/>
                    <w:jc w:val="center"/>
                    <w:rPr>
                      <w:rFonts w:hint="default" w:ascii="Times New Roman" w:hAnsi="Times New Roman" w:cs="Times New Roman"/>
                      <w:color w:val="auto"/>
                      <w:highlight w:val="none"/>
                    </w:rPr>
                  </w:pPr>
                  <w:r>
                    <w:rPr>
                      <w:rFonts w:hint="default" w:ascii="Times New Roman" w:hAnsi="Times New Roman" w:cs="Times New Roman"/>
                      <w:color w:val="auto"/>
                      <w:sz w:val="21"/>
                      <w:highlight w:val="none"/>
                    </w:rPr>
                    <w:t>环境空气</w:t>
                  </w:r>
                </w:p>
              </w:tc>
              <w:tc>
                <w:tcPr>
                  <w:tcW w:w="6055" w:type="dxa"/>
                  <w:tcBorders>
                    <w:tl2br w:val="nil"/>
                    <w:tr2bl w:val="nil"/>
                  </w:tcBorders>
                  <w:vAlign w:val="center"/>
                </w:tcPr>
                <w:p>
                  <w:pPr>
                    <w:pStyle w:val="15"/>
                    <w:bidi w:val="0"/>
                    <w:jc w:val="center"/>
                    <w:rPr>
                      <w:rFonts w:hint="default" w:ascii="Times New Roman" w:hAnsi="Times New Roman" w:cs="Times New Roman"/>
                      <w:color w:val="auto"/>
                      <w:highlight w:val="none"/>
                    </w:rPr>
                  </w:pPr>
                  <w:r>
                    <w:rPr>
                      <w:rFonts w:hint="default" w:ascii="Times New Roman" w:hAnsi="Times New Roman" w:cs="Times New Roman"/>
                      <w:color w:val="auto"/>
                      <w:sz w:val="21"/>
                      <w:highlight w:val="none"/>
                      <w:lang w:eastAsia="zh-CN"/>
                    </w:rPr>
                    <w:t>项目所在区域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46" w:type="dxa"/>
                  <w:tcBorders>
                    <w:tl2br w:val="nil"/>
                    <w:tr2bl w:val="nil"/>
                  </w:tcBorders>
                  <w:vAlign w:val="center"/>
                </w:tcPr>
                <w:p>
                  <w:pPr>
                    <w:pStyle w:val="15"/>
                    <w:bidi w:val="0"/>
                    <w:jc w:val="center"/>
                    <w:rPr>
                      <w:rFonts w:hint="default" w:ascii="Times New Roman" w:hAnsi="Times New Roman" w:cs="Times New Roman"/>
                      <w:color w:val="auto"/>
                      <w:highlight w:val="none"/>
                    </w:rPr>
                  </w:pPr>
                  <w:r>
                    <w:rPr>
                      <w:rFonts w:hint="default" w:ascii="Times New Roman" w:hAnsi="Times New Roman" w:cs="Times New Roman"/>
                      <w:color w:val="auto"/>
                      <w:sz w:val="21"/>
                      <w:highlight w:val="none"/>
                    </w:rPr>
                    <w:t>地表水环境</w:t>
                  </w:r>
                </w:p>
              </w:tc>
              <w:tc>
                <w:tcPr>
                  <w:tcW w:w="6055" w:type="dxa"/>
                  <w:tcBorders>
                    <w:tl2br w:val="nil"/>
                    <w:tr2bl w:val="nil"/>
                  </w:tcBorders>
                  <w:vAlign w:val="center"/>
                </w:tcPr>
                <w:p>
                  <w:pPr>
                    <w:pStyle w:val="15"/>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胡家镇胡家河、油坊沟段</w:t>
                  </w:r>
                </w:p>
              </w:tc>
            </w:tr>
          </w:tbl>
          <w:p>
            <w:pPr>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二、环境保护目标的识别</w:t>
            </w:r>
          </w:p>
          <w:p>
            <w:pPr>
              <w:spacing w:line="360" w:lineRule="auto"/>
              <w:ind w:firstLine="482" w:firstLineChars="200"/>
              <w:jc w:val="left"/>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lang w:val="en-US" w:eastAsia="zh-CN"/>
              </w:rPr>
              <w:t>1、</w:t>
            </w:r>
            <w:r>
              <w:rPr>
                <w:rFonts w:hint="default" w:ascii="Times New Roman" w:hAnsi="Times New Roman" w:cs="Times New Roman"/>
                <w:b/>
                <w:bCs/>
                <w:color w:val="auto"/>
                <w:highlight w:val="none"/>
              </w:rPr>
              <w:t>外环境情况</w:t>
            </w:r>
          </w:p>
          <w:p>
            <w:pPr>
              <w:spacing w:line="360" w:lineRule="auto"/>
              <w:ind w:firstLine="480" w:firstLineChars="200"/>
              <w:jc w:val="left"/>
              <w:rPr>
                <w:rFonts w:hint="default" w:ascii="Times New Roman" w:hAnsi="Times New Roman" w:eastAsia="宋体" w:cs="Times New Roman"/>
                <w:b w:val="0"/>
                <w:bCs w:val="0"/>
                <w:color w:val="auto"/>
                <w:highlight w:val="none"/>
                <w:lang w:eastAsia="zh-CN"/>
              </w:rPr>
            </w:pPr>
            <w:r>
              <w:rPr>
                <w:rFonts w:hint="default" w:ascii="Times New Roman" w:hAnsi="Times New Roman" w:cs="Times New Roman"/>
                <w:b w:val="0"/>
                <w:bCs w:val="0"/>
                <w:color w:val="auto"/>
                <w:highlight w:val="none"/>
                <w:lang w:val="en-US" w:eastAsia="zh-CN"/>
              </w:rPr>
              <w:t>（1）</w:t>
            </w:r>
            <w:r>
              <w:rPr>
                <w:rFonts w:hint="default" w:ascii="Times New Roman" w:hAnsi="Times New Roman" w:cs="Times New Roman"/>
                <w:b w:val="0"/>
                <w:bCs w:val="0"/>
                <w:color w:val="auto"/>
                <w:highlight w:val="none"/>
              </w:rPr>
              <w:t>沿线居民点</w:t>
            </w:r>
            <w:r>
              <w:rPr>
                <w:rFonts w:hint="default" w:ascii="Times New Roman" w:hAnsi="Times New Roman" w:cs="Times New Roman"/>
                <w:b w:val="0"/>
                <w:bCs w:val="0"/>
                <w:color w:val="auto"/>
                <w:highlight w:val="none"/>
                <w:lang w:eastAsia="zh-CN"/>
              </w:rPr>
              <w:t>、行政办公区域</w:t>
            </w:r>
          </w:p>
          <w:p>
            <w:pPr>
              <w:spacing w:line="360" w:lineRule="auto"/>
              <w:ind w:firstLine="480" w:firstLineChars="200"/>
              <w:jc w:val="left"/>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项目</w:t>
            </w:r>
            <w:r>
              <w:rPr>
                <w:rFonts w:hint="default" w:ascii="Times New Roman" w:hAnsi="Times New Roman" w:cs="Times New Roman"/>
                <w:color w:val="auto"/>
                <w:highlight w:val="none"/>
                <w:lang w:val="en-US" w:eastAsia="zh-CN"/>
              </w:rPr>
              <w:t>沿线两岸主要涉及胡家镇场镇居民及存在的少量农村散户居民等。</w:t>
            </w:r>
          </w:p>
          <w:p>
            <w:pPr>
              <w:bidi w:val="0"/>
              <w:rPr>
                <w:rFonts w:hint="default" w:ascii="Times New Roman" w:hAnsi="Times New Roman" w:cs="Times New Roman"/>
                <w:b w:val="0"/>
                <w:bCs w:val="0"/>
                <w:color w:val="auto"/>
                <w:highlight w:val="none"/>
                <w:lang w:eastAsia="zh-CN"/>
              </w:rPr>
            </w:pPr>
            <w:r>
              <w:rPr>
                <w:rFonts w:hint="default" w:ascii="Times New Roman" w:hAnsi="Times New Roman" w:cs="Times New Roman"/>
                <w:b w:val="0"/>
                <w:bCs w:val="0"/>
                <w:color w:val="auto"/>
                <w:highlight w:val="none"/>
                <w:lang w:val="en-US" w:eastAsia="zh-CN"/>
              </w:rPr>
              <w:t>（2）</w:t>
            </w:r>
            <w:r>
              <w:rPr>
                <w:rFonts w:hint="default" w:ascii="Times New Roman" w:hAnsi="Times New Roman" w:cs="Times New Roman"/>
                <w:b w:val="0"/>
                <w:bCs w:val="0"/>
                <w:color w:val="auto"/>
                <w:highlight w:val="none"/>
              </w:rPr>
              <w:t>沿线地表水</w:t>
            </w:r>
            <w:r>
              <w:rPr>
                <w:rFonts w:hint="default" w:ascii="Times New Roman" w:hAnsi="Times New Roman" w:cs="Times New Roman"/>
                <w:b w:val="0"/>
                <w:bCs w:val="0"/>
                <w:color w:val="auto"/>
                <w:highlight w:val="none"/>
                <w:lang w:eastAsia="zh-CN"/>
              </w:rPr>
              <w:t>体</w:t>
            </w:r>
          </w:p>
          <w:p>
            <w:pPr>
              <w:bidi w:val="0"/>
              <w:rPr>
                <w:rFonts w:hint="default" w:ascii="Times New Roman" w:hAnsi="Times New Roman" w:cs="Times New Roman"/>
                <w:highlight w:val="none"/>
              </w:rPr>
            </w:pPr>
            <w:r>
              <w:rPr>
                <w:rFonts w:hint="default" w:ascii="Times New Roman" w:hAnsi="Times New Roman" w:cs="Times New Roman"/>
                <w:highlight w:val="none"/>
              </w:rPr>
              <w:t>本项目</w:t>
            </w:r>
            <w:r>
              <w:rPr>
                <w:rFonts w:hint="default" w:ascii="Times New Roman" w:hAnsi="Times New Roman" w:cs="Times New Roman"/>
                <w:highlight w:val="none"/>
                <w:lang w:eastAsia="zh-CN"/>
              </w:rPr>
              <w:t>涉及</w:t>
            </w:r>
            <w:r>
              <w:rPr>
                <w:rFonts w:hint="default" w:ascii="Times New Roman" w:hAnsi="Times New Roman" w:cs="Times New Roman"/>
                <w:highlight w:val="none"/>
                <w:lang w:val="en-US" w:eastAsia="zh-CN"/>
              </w:rPr>
              <w:t>胡家镇胡家河、油坊沟河段</w:t>
            </w:r>
            <w:r>
              <w:rPr>
                <w:rFonts w:hint="default" w:ascii="Times New Roman" w:hAnsi="Times New Roman" w:cs="Times New Roman"/>
                <w:highlight w:val="none"/>
                <w:lang w:eastAsia="zh-CN"/>
              </w:rPr>
              <w:t>，属于Ⅲ类地表水体</w:t>
            </w:r>
            <w:r>
              <w:rPr>
                <w:rFonts w:hint="default" w:ascii="Times New Roman" w:hAnsi="Times New Roman" w:cs="Times New Roman"/>
                <w:highlight w:val="none"/>
              </w:rPr>
              <w:t>。</w:t>
            </w:r>
          </w:p>
          <w:p>
            <w:pPr>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lang w:val="en-US" w:eastAsia="zh-CN"/>
              </w:rPr>
              <w:t>2、</w:t>
            </w:r>
            <w:r>
              <w:rPr>
                <w:rFonts w:hint="default" w:ascii="Times New Roman" w:hAnsi="Times New Roman" w:cs="Times New Roman"/>
                <w:b/>
                <w:bCs/>
                <w:color w:val="auto"/>
                <w:highlight w:val="none"/>
              </w:rPr>
              <w:t>环境保护目标</w:t>
            </w:r>
          </w:p>
          <w:p>
            <w:pPr>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lang w:val="en-US" w:eastAsia="zh-CN"/>
              </w:rPr>
              <w:t>（1）</w:t>
            </w:r>
            <w:r>
              <w:rPr>
                <w:rFonts w:hint="default" w:ascii="Times New Roman" w:hAnsi="Times New Roman" w:cs="Times New Roman"/>
                <w:b/>
                <w:bCs/>
                <w:color w:val="auto"/>
                <w:highlight w:val="none"/>
              </w:rPr>
              <w:t>生态环境保护目标</w:t>
            </w:r>
          </w:p>
          <w:p>
            <w:pPr>
              <w:bidi w:val="0"/>
              <w:rPr>
                <w:rFonts w:hint="default" w:ascii="Times New Roman" w:hAnsi="Times New Roman" w:cs="Times New Roman"/>
                <w:highlight w:val="none"/>
              </w:rPr>
            </w:pPr>
            <w:r>
              <w:rPr>
                <w:rFonts w:hint="default" w:ascii="Times New Roman" w:hAnsi="Times New Roman" w:cs="Times New Roman"/>
                <w:highlight w:val="none"/>
              </w:rPr>
              <w:t>①</w:t>
            </w:r>
            <w:r>
              <w:rPr>
                <w:rFonts w:hint="default" w:ascii="Times New Roman" w:hAnsi="Times New Roman" w:cs="Times New Roman"/>
                <w:highlight w:val="none"/>
                <w:lang w:val="en-US" w:eastAsia="zh-CN"/>
              </w:rPr>
              <w:t>陆生生态</w:t>
            </w:r>
          </w:p>
          <w:p>
            <w:pPr>
              <w:bidi w:val="0"/>
              <w:rPr>
                <w:rFonts w:hint="default" w:ascii="Times New Roman" w:hAnsi="Times New Roman" w:cs="Times New Roman"/>
                <w:highlight w:val="none"/>
              </w:rPr>
            </w:pPr>
            <w:r>
              <w:rPr>
                <w:rFonts w:hint="default" w:ascii="Times New Roman" w:hAnsi="Times New Roman" w:cs="Times New Roman"/>
                <w:highlight w:val="none"/>
              </w:rPr>
              <w:t>通过调查，本项目不涉及自然保护区、地质公园、森林公园等生态环境敏感目标。</w:t>
            </w:r>
          </w:p>
          <w:p>
            <w:pPr>
              <w:jc w:val="both"/>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②水生生态</w:t>
            </w:r>
          </w:p>
          <w:p>
            <w:pPr>
              <w:pStyle w:val="24"/>
              <w:spacing w:line="360" w:lineRule="auto"/>
              <w:ind w:firstLine="480" w:firstLineChars="200"/>
              <w:rPr>
                <w:rFonts w:hint="default" w:ascii="Times New Roman" w:hAnsi="Times New Roman" w:cs="Times New Roman"/>
                <w:bCs/>
                <w:color w:val="auto"/>
                <w:highlight w:val="none"/>
                <w:lang w:eastAsia="zh-CN"/>
              </w:rPr>
            </w:pPr>
            <w:r>
              <w:rPr>
                <w:rFonts w:hint="default" w:ascii="Times New Roman" w:hAnsi="Times New Roman" w:cs="Times New Roman"/>
                <w:color w:val="auto"/>
                <w:sz w:val="24"/>
                <w:highlight w:val="none"/>
                <w:u w:val="none"/>
                <w:lang w:val="en-US" w:eastAsia="zh-CN"/>
              </w:rPr>
              <w:t>项目区胡家河、油坊沟水中以当地常见藻类、浮游生物、当地常见鱼类（草鱼、鲫鱼、鲢等）、两栖生物等为主</w:t>
            </w:r>
            <w:r>
              <w:rPr>
                <w:rFonts w:hint="default" w:ascii="Times New Roman" w:hAnsi="Times New Roman" w:cs="Times New Roman"/>
                <w:bCs/>
                <w:color w:val="auto"/>
                <w:highlight w:val="none"/>
                <w:u w:val="none"/>
                <w:lang w:val="en-US" w:eastAsia="zh-CN"/>
              </w:rPr>
              <w:t>，</w:t>
            </w:r>
            <w:r>
              <w:rPr>
                <w:rFonts w:hint="default" w:ascii="Times New Roman" w:hAnsi="Times New Roman" w:cs="Times New Roman"/>
                <w:color w:val="auto"/>
                <w:sz w:val="24"/>
                <w:highlight w:val="none"/>
                <w:u w:val="none"/>
                <w:lang w:val="en-US" w:eastAsia="zh-CN"/>
              </w:rPr>
              <w:t>项目河段胡家河为山洪沟，</w:t>
            </w:r>
            <w:r>
              <w:rPr>
                <w:rFonts w:hint="default" w:ascii="Times New Roman" w:hAnsi="Times New Roman" w:cs="Times New Roman"/>
                <w:bCs/>
                <w:color w:val="auto"/>
                <w:highlight w:val="none"/>
                <w:lang w:val="en-US" w:eastAsia="zh-CN"/>
              </w:rPr>
              <w:t>施工段</w:t>
            </w:r>
            <w:r>
              <w:rPr>
                <w:rFonts w:hint="default" w:ascii="Times New Roman" w:hAnsi="Times New Roman" w:cs="Times New Roman"/>
                <w:color w:val="auto"/>
                <w:sz w:val="24"/>
                <w:highlight w:val="none"/>
              </w:rPr>
              <w:t>不涉及“鱼类三场”</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越冬场、产卵场、索饵场</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洄游通道、珍稀频危受保护鱼类</w:t>
            </w:r>
            <w:r>
              <w:rPr>
                <w:rFonts w:hint="default" w:ascii="Times New Roman" w:hAnsi="Times New Roman" w:cs="Times New Roman"/>
                <w:color w:val="auto"/>
                <w:sz w:val="24"/>
                <w:highlight w:val="none"/>
              </w:rPr>
              <w:t>及</w:t>
            </w:r>
            <w:r>
              <w:rPr>
                <w:rFonts w:hint="default" w:ascii="Times New Roman" w:hAnsi="Times New Roman" w:cs="Times New Roman"/>
                <w:bCs/>
                <w:color w:val="auto"/>
                <w:highlight w:val="none"/>
              </w:rPr>
              <w:t>水生珍稀植物、重点保护动物等</w:t>
            </w:r>
            <w:r>
              <w:rPr>
                <w:rFonts w:hint="default" w:ascii="Times New Roman" w:hAnsi="Times New Roman" w:cs="Times New Roman"/>
                <w:bCs/>
                <w:color w:val="auto"/>
                <w:highlight w:val="none"/>
                <w:lang w:eastAsia="zh-CN"/>
              </w:rPr>
              <w:t>。</w:t>
            </w:r>
          </w:p>
          <w:p>
            <w:pPr>
              <w:bidi w:val="0"/>
              <w:rPr>
                <w:rFonts w:hint="default" w:ascii="Times New Roman" w:hAnsi="Times New Roman" w:cs="Times New Roman"/>
                <w:b/>
                <w:bCs/>
                <w:highlight w:val="none"/>
              </w:rPr>
            </w:pPr>
            <w:r>
              <w:rPr>
                <w:rFonts w:hint="default" w:ascii="Times New Roman" w:hAnsi="Times New Roman" w:cs="Times New Roman"/>
                <w:b/>
                <w:bCs/>
                <w:highlight w:val="none"/>
                <w:lang w:val="en-US" w:eastAsia="zh-CN"/>
              </w:rPr>
              <w:t>（2）</w:t>
            </w:r>
            <w:r>
              <w:rPr>
                <w:rFonts w:hint="default" w:ascii="Times New Roman" w:hAnsi="Times New Roman" w:cs="Times New Roman"/>
                <w:b/>
                <w:bCs/>
                <w:highlight w:val="none"/>
              </w:rPr>
              <w:t>水环境保护目标</w:t>
            </w:r>
          </w:p>
          <w:p>
            <w:pPr>
              <w:bidi w:val="0"/>
              <w:rPr>
                <w:rFonts w:hint="default" w:ascii="Times New Roman" w:hAnsi="Times New Roman" w:cs="Times New Roman"/>
                <w:highlight w:val="none"/>
              </w:rPr>
            </w:pPr>
            <w:r>
              <w:rPr>
                <w:rFonts w:hint="default" w:ascii="Times New Roman" w:hAnsi="Times New Roman" w:cs="Times New Roman"/>
                <w:highlight w:val="none"/>
              </w:rPr>
              <w:t>沿线水环境质量达到《地表水环境质量标准》（GB3838-2002）</w:t>
            </w:r>
            <w:r>
              <w:rPr>
                <w:rFonts w:hint="default" w:ascii="Times New Roman" w:hAnsi="Times New Roman" w:cs="Times New Roman"/>
                <w:highlight w:val="none"/>
                <w:lang w:eastAsia="zh-CN"/>
              </w:rPr>
              <w:t>Ⅲ</w:t>
            </w:r>
            <w:r>
              <w:rPr>
                <w:rFonts w:hint="default" w:ascii="Times New Roman" w:hAnsi="Times New Roman" w:cs="Times New Roman"/>
                <w:highlight w:val="none"/>
              </w:rPr>
              <w:t>类标准。项目所在区域地表水体为</w:t>
            </w:r>
            <w:r>
              <w:rPr>
                <w:rFonts w:hint="default" w:ascii="Times New Roman" w:hAnsi="Times New Roman" w:cs="Times New Roman"/>
                <w:highlight w:val="none"/>
                <w:lang w:val="en-US" w:eastAsia="zh-CN"/>
              </w:rPr>
              <w:t>胡家镇胡家河、油坊沟段</w:t>
            </w:r>
            <w:r>
              <w:rPr>
                <w:rFonts w:hint="default" w:ascii="Times New Roman" w:hAnsi="Times New Roman" w:cs="Times New Roman"/>
                <w:highlight w:val="none"/>
              </w:rPr>
              <w:t>，主要水体功能为</w:t>
            </w:r>
            <w:r>
              <w:rPr>
                <w:rFonts w:hint="default" w:ascii="Times New Roman" w:hAnsi="Times New Roman" w:cs="Times New Roman"/>
                <w:highlight w:val="none"/>
                <w:lang w:val="en-US" w:eastAsia="zh-CN"/>
              </w:rPr>
              <w:t>防洪、灌溉等功能为主</w:t>
            </w:r>
            <w:r>
              <w:rPr>
                <w:rFonts w:hint="default" w:ascii="Times New Roman" w:hAnsi="Times New Roman" w:cs="Times New Roman"/>
                <w:highlight w:val="none"/>
              </w:rPr>
              <w:t>，不涉及地表水饮用功能，亦不涉及地表水饮用水水源保护区。</w:t>
            </w:r>
          </w:p>
          <w:p>
            <w:pPr>
              <w:pStyle w:val="16"/>
              <w:bidi w:val="0"/>
              <w:rPr>
                <w:rFonts w:hint="default" w:ascii="Times New Roman" w:hAnsi="Times New Roman" w:cs="Times New Roman"/>
                <w:highlight w:val="none"/>
              </w:rPr>
            </w:pPr>
            <w:r>
              <w:rPr>
                <w:rFonts w:hint="default" w:ascii="Times New Roman" w:hAnsi="Times New Roman" w:cs="Times New Roman"/>
                <w:highlight w:val="none"/>
              </w:rPr>
              <w:t>表3-</w:t>
            </w:r>
            <w:r>
              <w:rPr>
                <w:rFonts w:hint="default" w:ascii="Times New Roman" w:hAnsi="Times New Roman" w:cs="Times New Roman"/>
                <w:highlight w:val="none"/>
                <w:lang w:val="en-US" w:eastAsia="zh-CN"/>
              </w:rPr>
              <w:t>12</w:t>
            </w:r>
            <w:r>
              <w:rPr>
                <w:rFonts w:hint="default" w:ascii="Times New Roman" w:hAnsi="Times New Roman" w:cs="Times New Roman"/>
                <w:highlight w:val="none"/>
              </w:rPr>
              <w:t xml:space="preserve">  地表水环境保护目标</w:t>
            </w:r>
          </w:p>
          <w:tbl>
            <w:tblPr>
              <w:tblStyle w:val="11"/>
              <w:tblW w:w="861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40"/>
              <w:gridCol w:w="1283"/>
              <w:gridCol w:w="1367"/>
              <w:gridCol w:w="1081"/>
              <w:gridCol w:w="1203"/>
              <w:gridCol w:w="1876"/>
              <w:gridCol w:w="126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99" w:hRule="atLeast"/>
                <w:tblHeader/>
                <w:jc w:val="center"/>
              </w:trPr>
              <w:tc>
                <w:tcPr>
                  <w:tcW w:w="540" w:type="dxa"/>
                  <w:tcBorders>
                    <w:tl2br w:val="nil"/>
                    <w:tr2bl w:val="nil"/>
                  </w:tcBorders>
                  <w:noWrap w:val="0"/>
                  <w:vAlign w:val="center"/>
                </w:tcPr>
                <w:p>
                  <w:pPr>
                    <w:pStyle w:val="15"/>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序号</w:t>
                  </w:r>
                </w:p>
              </w:tc>
              <w:tc>
                <w:tcPr>
                  <w:tcW w:w="1283" w:type="dxa"/>
                  <w:tcBorders>
                    <w:tl2br w:val="nil"/>
                    <w:tr2bl w:val="nil"/>
                  </w:tcBorders>
                  <w:noWrap w:val="0"/>
                  <w:vAlign w:val="center"/>
                </w:tcPr>
                <w:p>
                  <w:pPr>
                    <w:pStyle w:val="15"/>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方位</w:t>
                  </w:r>
                </w:p>
              </w:tc>
              <w:tc>
                <w:tcPr>
                  <w:tcW w:w="1367" w:type="dxa"/>
                  <w:tcBorders>
                    <w:tl2br w:val="nil"/>
                    <w:tr2bl w:val="nil"/>
                  </w:tcBorders>
                  <w:noWrap w:val="0"/>
                  <w:vAlign w:val="center"/>
                </w:tcPr>
                <w:p>
                  <w:pPr>
                    <w:pStyle w:val="15"/>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与</w:t>
                  </w:r>
                  <w:r>
                    <w:rPr>
                      <w:rFonts w:hint="default" w:ascii="Times New Roman" w:hAnsi="Times New Roman" w:cs="Times New Roman"/>
                      <w:b/>
                      <w:bCs/>
                      <w:color w:val="auto"/>
                      <w:highlight w:val="none"/>
                      <w:lang w:eastAsia="zh-CN"/>
                    </w:rPr>
                    <w:t>项目</w:t>
                  </w:r>
                  <w:r>
                    <w:rPr>
                      <w:rFonts w:hint="default" w:ascii="Times New Roman" w:hAnsi="Times New Roman" w:cs="Times New Roman"/>
                      <w:b/>
                      <w:bCs/>
                      <w:color w:val="auto"/>
                      <w:highlight w:val="none"/>
                    </w:rPr>
                    <w:t>位置关系</w:t>
                  </w:r>
                </w:p>
              </w:tc>
              <w:tc>
                <w:tcPr>
                  <w:tcW w:w="1081" w:type="dxa"/>
                  <w:tcBorders>
                    <w:tl2br w:val="nil"/>
                    <w:tr2bl w:val="nil"/>
                  </w:tcBorders>
                  <w:noWrap w:val="0"/>
                  <w:vAlign w:val="center"/>
                </w:tcPr>
                <w:p>
                  <w:pPr>
                    <w:pStyle w:val="15"/>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地表水</w:t>
                  </w:r>
                </w:p>
              </w:tc>
              <w:tc>
                <w:tcPr>
                  <w:tcW w:w="1203" w:type="dxa"/>
                  <w:tcBorders>
                    <w:tl2br w:val="nil"/>
                    <w:tr2bl w:val="nil"/>
                  </w:tcBorders>
                  <w:noWrap w:val="0"/>
                  <w:vAlign w:val="center"/>
                </w:tcPr>
                <w:p>
                  <w:pPr>
                    <w:pStyle w:val="15"/>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水体规模</w:t>
                  </w:r>
                </w:p>
              </w:tc>
              <w:tc>
                <w:tcPr>
                  <w:tcW w:w="1876" w:type="dxa"/>
                  <w:tcBorders>
                    <w:tl2br w:val="nil"/>
                    <w:tr2bl w:val="nil"/>
                  </w:tcBorders>
                  <w:noWrap w:val="0"/>
                  <w:vAlign w:val="center"/>
                </w:tcPr>
                <w:p>
                  <w:pPr>
                    <w:pStyle w:val="15"/>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水体功能</w:t>
                  </w:r>
                </w:p>
              </w:tc>
              <w:tc>
                <w:tcPr>
                  <w:tcW w:w="1264" w:type="dxa"/>
                  <w:tcBorders>
                    <w:tl2br w:val="nil"/>
                    <w:tr2bl w:val="nil"/>
                  </w:tcBorders>
                  <w:noWrap w:val="0"/>
                  <w:vAlign w:val="center"/>
                </w:tcPr>
                <w:p>
                  <w:pPr>
                    <w:pStyle w:val="15"/>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水体功能区划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99" w:hRule="atLeast"/>
                <w:jc w:val="center"/>
              </w:trPr>
              <w:tc>
                <w:tcPr>
                  <w:tcW w:w="540"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w:t>
                  </w:r>
                </w:p>
              </w:tc>
              <w:tc>
                <w:tcPr>
                  <w:tcW w:w="1283" w:type="dxa"/>
                  <w:tcBorders>
                    <w:tl2br w:val="nil"/>
                    <w:tr2bl w:val="nil"/>
                  </w:tcBorders>
                  <w:noWrap w:val="0"/>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西北</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东</w:t>
                  </w:r>
                  <w:r>
                    <w:rPr>
                      <w:rFonts w:hint="default" w:ascii="Times New Roman" w:hAnsi="Times New Roman" w:cs="Times New Roman"/>
                      <w:color w:val="auto"/>
                      <w:highlight w:val="none"/>
                    </w:rPr>
                    <w:t>南</w:t>
                  </w:r>
                </w:p>
              </w:tc>
              <w:tc>
                <w:tcPr>
                  <w:tcW w:w="1367" w:type="dxa"/>
                  <w:tcBorders>
                    <w:tl2br w:val="nil"/>
                    <w:tr2bl w:val="nil"/>
                  </w:tcBorders>
                  <w:noWrap w:val="0"/>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081" w:type="dxa"/>
                  <w:tcBorders>
                    <w:tl2br w:val="nil"/>
                    <w:tr2bl w:val="nil"/>
                  </w:tcBorders>
                  <w:noWrap w:val="0"/>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胡家河</w:t>
                  </w:r>
                </w:p>
              </w:tc>
              <w:tc>
                <w:tcPr>
                  <w:tcW w:w="1203" w:type="dxa"/>
                  <w:tcBorders>
                    <w:tl2br w:val="nil"/>
                    <w:tr2bl w:val="nil"/>
                  </w:tcBorders>
                  <w:noWrap w:val="0"/>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中小河</w:t>
                  </w:r>
                </w:p>
              </w:tc>
              <w:tc>
                <w:tcPr>
                  <w:tcW w:w="1876" w:type="dxa"/>
                  <w:tcBorders>
                    <w:tl2br w:val="nil"/>
                    <w:tr2bl w:val="nil"/>
                  </w:tcBorders>
                  <w:noWrap w:val="0"/>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行洪、灌溉</w:t>
                  </w:r>
                </w:p>
              </w:tc>
              <w:tc>
                <w:tcPr>
                  <w:tcW w:w="1264"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highlight w:val="none"/>
                      <w:lang w:eastAsia="zh-CN"/>
                    </w:rPr>
                    <w:t>Ⅲ</w:t>
                  </w:r>
                  <w:r>
                    <w:rPr>
                      <w:rFonts w:hint="default" w:ascii="Times New Roman" w:hAnsi="Times New Roman" w:cs="Times New Roman"/>
                      <w:color w:val="auto"/>
                      <w:highlight w:val="none"/>
                    </w:rPr>
                    <w:t>类</w:t>
                  </w:r>
                </w:p>
              </w:tc>
            </w:tr>
          </w:tbl>
          <w:p>
            <w:pPr>
              <w:bidi w:val="0"/>
              <w:rPr>
                <w:rFonts w:hint="default" w:ascii="Times New Roman" w:hAnsi="Times New Roman" w:cs="Times New Roman"/>
                <w:b/>
                <w:bCs/>
                <w:highlight w:val="none"/>
              </w:rPr>
            </w:pPr>
            <w:r>
              <w:rPr>
                <w:rFonts w:hint="default" w:ascii="Times New Roman" w:hAnsi="Times New Roman" w:cs="Times New Roman"/>
                <w:b/>
                <w:bCs/>
                <w:highlight w:val="none"/>
                <w:lang w:val="en-US" w:eastAsia="zh-CN"/>
              </w:rPr>
              <w:t>（3）</w:t>
            </w:r>
            <w:r>
              <w:rPr>
                <w:rFonts w:hint="default" w:ascii="Times New Roman" w:hAnsi="Times New Roman" w:cs="Times New Roman"/>
                <w:b/>
                <w:bCs/>
                <w:highlight w:val="none"/>
              </w:rPr>
              <w:t>声、大气环境保护目标</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本项目声环境、大气环境保护目标见下表。</w:t>
            </w:r>
          </w:p>
          <w:p>
            <w:pPr>
              <w:pStyle w:val="16"/>
              <w:bidi w:val="0"/>
              <w:rPr>
                <w:rFonts w:hint="default" w:ascii="Times New Roman" w:hAnsi="Times New Roman" w:cs="Times New Roman"/>
                <w:highlight w:val="none"/>
                <w:lang w:val="en-US" w:eastAsia="zh-CN"/>
              </w:rPr>
            </w:pPr>
            <w:r>
              <w:rPr>
                <w:rFonts w:hint="default" w:ascii="Times New Roman" w:hAnsi="Times New Roman" w:cs="Times New Roman"/>
                <w:highlight w:val="none"/>
              </w:rPr>
              <w:t>表3-</w:t>
            </w:r>
            <w:r>
              <w:rPr>
                <w:rFonts w:hint="default" w:ascii="Times New Roman" w:hAnsi="Times New Roman" w:cs="Times New Roman"/>
                <w:highlight w:val="none"/>
                <w:lang w:val="en-US" w:eastAsia="zh-CN"/>
              </w:rPr>
              <w:t>13</w:t>
            </w:r>
            <w:r>
              <w:rPr>
                <w:rFonts w:hint="default" w:ascii="Times New Roman" w:hAnsi="Times New Roman" w:cs="Times New Roman"/>
                <w:highlight w:val="none"/>
              </w:rPr>
              <w:t xml:space="preserve">  </w:t>
            </w:r>
            <w:r>
              <w:rPr>
                <w:rFonts w:hint="default" w:ascii="Times New Roman" w:hAnsi="Times New Roman" w:cs="Times New Roman"/>
                <w:highlight w:val="none"/>
                <w:lang w:val="en-US" w:eastAsia="zh-CN"/>
              </w:rPr>
              <w:t>声、大气</w:t>
            </w:r>
            <w:r>
              <w:rPr>
                <w:rFonts w:hint="default" w:ascii="Times New Roman" w:hAnsi="Times New Roman" w:cs="Times New Roman"/>
                <w:highlight w:val="none"/>
                <w:lang w:eastAsia="zh-CN"/>
              </w:rPr>
              <w:t>环境保护目标</w:t>
            </w:r>
          </w:p>
          <w:tbl>
            <w:tblPr>
              <w:tblStyle w:val="11"/>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96"/>
              <w:gridCol w:w="661"/>
              <w:gridCol w:w="455"/>
              <w:gridCol w:w="1994"/>
              <w:gridCol w:w="1042"/>
              <w:gridCol w:w="1100"/>
              <w:gridCol w:w="1024"/>
              <w:gridCol w:w="173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5" w:hRule="atLeast"/>
                <w:jc w:val="center"/>
              </w:trPr>
              <w:tc>
                <w:tcPr>
                  <w:tcW w:w="346" w:type="pct"/>
                  <w:vMerge w:val="restart"/>
                  <w:tcBorders>
                    <w:tl2br w:val="nil"/>
                    <w:tr2bl w:val="nil"/>
                  </w:tcBorders>
                  <w:noWrap w:val="0"/>
                  <w:vAlign w:val="center"/>
                </w:tcPr>
                <w:p>
                  <w:pPr>
                    <w:pStyle w:val="15"/>
                    <w:bidi w:val="0"/>
                    <w:rPr>
                      <w:rFonts w:hint="default" w:ascii="Times New Roman" w:hAnsi="Times New Roman" w:eastAsia="宋体" w:cs="Times New Roman"/>
                      <w:b/>
                      <w:bCs/>
                      <w:color w:val="auto"/>
                      <w:highlight w:val="none"/>
                      <w:lang w:val="en-US" w:eastAsia="zh-CN"/>
                    </w:rPr>
                  </w:pPr>
                  <w:r>
                    <w:rPr>
                      <w:rFonts w:hint="default" w:ascii="Times New Roman" w:hAnsi="Times New Roman" w:cs="Times New Roman"/>
                      <w:b/>
                      <w:bCs/>
                      <w:color w:val="auto"/>
                      <w:highlight w:val="none"/>
                    </w:rPr>
                    <w:t>环境</w:t>
                  </w:r>
                  <w:r>
                    <w:rPr>
                      <w:rFonts w:hint="default" w:ascii="Times New Roman" w:hAnsi="Times New Roman" w:cs="Times New Roman"/>
                      <w:b/>
                      <w:bCs/>
                      <w:color w:val="auto"/>
                      <w:highlight w:val="none"/>
                      <w:lang w:val="en-US" w:eastAsia="zh-CN"/>
                    </w:rPr>
                    <w:t>要素</w:t>
                  </w:r>
                </w:p>
              </w:tc>
              <w:tc>
                <w:tcPr>
                  <w:tcW w:w="384" w:type="pct"/>
                  <w:vMerge w:val="restart"/>
                  <w:tcBorders>
                    <w:tl2br w:val="nil"/>
                    <w:tr2bl w:val="nil"/>
                  </w:tcBorders>
                  <w:noWrap w:val="0"/>
                  <w:vAlign w:val="center"/>
                </w:tcPr>
                <w:p>
                  <w:pPr>
                    <w:pStyle w:val="15"/>
                    <w:bidi w:val="0"/>
                    <w:rPr>
                      <w:rFonts w:hint="default" w:ascii="Times New Roman" w:hAnsi="Times New Roman" w:eastAsia="宋体" w:cs="Times New Roman"/>
                      <w:b/>
                      <w:bCs/>
                      <w:color w:val="auto"/>
                      <w:highlight w:val="none"/>
                      <w:lang w:val="en-US" w:eastAsia="zh-CN"/>
                    </w:rPr>
                  </w:pPr>
                  <w:r>
                    <w:rPr>
                      <w:rFonts w:hint="default" w:ascii="Times New Roman" w:hAnsi="Times New Roman" w:cs="Times New Roman"/>
                      <w:b/>
                      <w:bCs/>
                      <w:color w:val="auto"/>
                      <w:highlight w:val="none"/>
                      <w:lang w:val="en-US" w:eastAsia="zh-CN"/>
                    </w:rPr>
                    <w:t>河段</w:t>
                  </w:r>
                </w:p>
              </w:tc>
              <w:tc>
                <w:tcPr>
                  <w:tcW w:w="1422" w:type="pct"/>
                  <w:gridSpan w:val="2"/>
                  <w:tcBorders>
                    <w:tl2br w:val="nil"/>
                    <w:tr2bl w:val="nil"/>
                  </w:tcBorders>
                  <w:noWrap w:val="0"/>
                  <w:vAlign w:val="center"/>
                </w:tcPr>
                <w:p>
                  <w:pPr>
                    <w:pStyle w:val="15"/>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环境保护目标</w:t>
                  </w:r>
                </w:p>
              </w:tc>
              <w:tc>
                <w:tcPr>
                  <w:tcW w:w="605" w:type="pct"/>
                  <w:vMerge w:val="restart"/>
                  <w:tcBorders>
                    <w:tl2br w:val="nil"/>
                    <w:tr2bl w:val="nil"/>
                  </w:tcBorders>
                  <w:noWrap w:val="0"/>
                  <w:vAlign w:val="center"/>
                </w:tcPr>
                <w:p>
                  <w:pPr>
                    <w:pStyle w:val="15"/>
                    <w:bidi w:val="0"/>
                    <w:rPr>
                      <w:rFonts w:hint="default" w:ascii="Times New Roman" w:hAnsi="Times New Roman" w:eastAsia="宋体" w:cs="Times New Roman"/>
                      <w:b/>
                      <w:bCs/>
                      <w:color w:val="auto"/>
                      <w:highlight w:val="none"/>
                      <w:lang w:eastAsia="zh-CN"/>
                    </w:rPr>
                  </w:pPr>
                  <w:r>
                    <w:rPr>
                      <w:rFonts w:hint="default" w:ascii="Times New Roman" w:hAnsi="Times New Roman" w:cs="Times New Roman"/>
                      <w:b/>
                      <w:bCs/>
                      <w:color w:val="auto"/>
                      <w:highlight w:val="none"/>
                      <w:lang w:val="en-US" w:eastAsia="zh-CN"/>
                    </w:rPr>
                    <w:t>方位</w:t>
                  </w:r>
                </w:p>
              </w:tc>
              <w:tc>
                <w:tcPr>
                  <w:tcW w:w="639" w:type="pct"/>
                  <w:vMerge w:val="restart"/>
                  <w:tcBorders>
                    <w:tl2br w:val="nil"/>
                    <w:tr2bl w:val="nil"/>
                  </w:tcBorders>
                  <w:noWrap w:val="0"/>
                  <w:vAlign w:val="center"/>
                </w:tcPr>
                <w:p>
                  <w:pPr>
                    <w:pStyle w:val="15"/>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lang w:val="en-US" w:eastAsia="zh-CN"/>
                    </w:rPr>
                    <w:t>最近</w:t>
                  </w:r>
                  <w:r>
                    <w:rPr>
                      <w:rFonts w:hint="default" w:ascii="Times New Roman" w:hAnsi="Times New Roman" w:cs="Times New Roman"/>
                      <w:b/>
                      <w:bCs/>
                      <w:color w:val="auto"/>
                      <w:highlight w:val="none"/>
                    </w:rPr>
                    <w:t>距离</w:t>
                  </w:r>
                </w:p>
              </w:tc>
              <w:tc>
                <w:tcPr>
                  <w:tcW w:w="595" w:type="pct"/>
                  <w:vMerge w:val="restart"/>
                  <w:tcBorders>
                    <w:tl2br w:val="nil"/>
                    <w:tr2bl w:val="nil"/>
                  </w:tcBorders>
                  <w:noWrap w:val="0"/>
                  <w:vAlign w:val="center"/>
                </w:tcPr>
                <w:p>
                  <w:pPr>
                    <w:pStyle w:val="15"/>
                    <w:bidi w:val="0"/>
                    <w:rPr>
                      <w:rFonts w:hint="default" w:ascii="Times New Roman" w:hAnsi="Times New Roman" w:eastAsia="宋体" w:cs="Times New Roman"/>
                      <w:b/>
                      <w:bCs/>
                      <w:color w:val="auto"/>
                      <w:highlight w:val="none"/>
                      <w:lang w:val="en-US" w:eastAsia="zh-CN"/>
                    </w:rPr>
                  </w:pPr>
                  <w:r>
                    <w:rPr>
                      <w:rFonts w:hint="default" w:ascii="Times New Roman" w:hAnsi="Times New Roman" w:cs="Times New Roman"/>
                      <w:b/>
                      <w:bCs/>
                      <w:color w:val="auto"/>
                      <w:highlight w:val="none"/>
                      <w:lang w:val="en-US" w:eastAsia="zh-CN"/>
                    </w:rPr>
                    <w:t>功能区</w:t>
                  </w:r>
                </w:p>
              </w:tc>
              <w:tc>
                <w:tcPr>
                  <w:tcW w:w="1006" w:type="pct"/>
                  <w:vMerge w:val="restart"/>
                  <w:tcBorders>
                    <w:tl2br w:val="nil"/>
                    <w:tr2bl w:val="nil"/>
                  </w:tcBorders>
                  <w:noWrap w:val="0"/>
                  <w:vAlign w:val="center"/>
                </w:tcPr>
                <w:p>
                  <w:pPr>
                    <w:pStyle w:val="15"/>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保护级别</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8" w:hRule="atLeast"/>
                <w:jc w:val="center"/>
              </w:trPr>
              <w:tc>
                <w:tcPr>
                  <w:tcW w:w="346" w:type="pct"/>
                  <w:vMerge w:val="continue"/>
                  <w:tcBorders>
                    <w:tl2br w:val="nil"/>
                    <w:tr2bl w:val="nil"/>
                  </w:tcBorders>
                  <w:noWrap w:val="0"/>
                  <w:vAlign w:val="center"/>
                </w:tcPr>
                <w:p>
                  <w:pPr>
                    <w:pStyle w:val="15"/>
                    <w:bidi w:val="0"/>
                    <w:rPr>
                      <w:rFonts w:hint="default" w:ascii="Times New Roman" w:hAnsi="Times New Roman" w:cs="Times New Roman"/>
                      <w:color w:val="auto"/>
                      <w:highlight w:val="none"/>
                    </w:rPr>
                  </w:pPr>
                </w:p>
              </w:tc>
              <w:tc>
                <w:tcPr>
                  <w:tcW w:w="384" w:type="pct"/>
                  <w:vMerge w:val="continue"/>
                  <w:tcBorders>
                    <w:tl2br w:val="nil"/>
                    <w:tr2bl w:val="nil"/>
                  </w:tcBorders>
                  <w:noWrap w:val="0"/>
                  <w:vAlign w:val="center"/>
                </w:tcPr>
                <w:p>
                  <w:pPr>
                    <w:pStyle w:val="15"/>
                    <w:bidi w:val="0"/>
                    <w:rPr>
                      <w:rFonts w:hint="default" w:ascii="Times New Roman" w:hAnsi="Times New Roman" w:cs="Times New Roman"/>
                      <w:b/>
                      <w:bCs/>
                      <w:color w:val="auto"/>
                      <w:highlight w:val="none"/>
                    </w:rPr>
                  </w:pPr>
                </w:p>
              </w:tc>
              <w:tc>
                <w:tcPr>
                  <w:tcW w:w="264" w:type="pct"/>
                  <w:tcBorders>
                    <w:tl2br w:val="nil"/>
                    <w:tr2bl w:val="nil"/>
                  </w:tcBorders>
                  <w:noWrap w:val="0"/>
                  <w:vAlign w:val="center"/>
                </w:tcPr>
                <w:p>
                  <w:pPr>
                    <w:pStyle w:val="15"/>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序号</w:t>
                  </w:r>
                </w:p>
              </w:tc>
              <w:tc>
                <w:tcPr>
                  <w:tcW w:w="1158" w:type="pct"/>
                  <w:tcBorders>
                    <w:tl2br w:val="nil"/>
                    <w:tr2bl w:val="nil"/>
                  </w:tcBorders>
                  <w:noWrap w:val="0"/>
                  <w:vAlign w:val="center"/>
                </w:tcPr>
                <w:p>
                  <w:pPr>
                    <w:pStyle w:val="15"/>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名称</w:t>
                  </w:r>
                </w:p>
              </w:tc>
              <w:tc>
                <w:tcPr>
                  <w:tcW w:w="605" w:type="pct"/>
                  <w:vMerge w:val="continue"/>
                  <w:tcBorders>
                    <w:tl2br w:val="nil"/>
                    <w:tr2bl w:val="nil"/>
                  </w:tcBorders>
                  <w:noWrap w:val="0"/>
                  <w:vAlign w:val="center"/>
                </w:tcPr>
                <w:p>
                  <w:pPr>
                    <w:pStyle w:val="15"/>
                    <w:bidi w:val="0"/>
                    <w:rPr>
                      <w:rFonts w:hint="default" w:ascii="Times New Roman" w:hAnsi="Times New Roman" w:cs="Times New Roman"/>
                      <w:color w:val="auto"/>
                      <w:highlight w:val="none"/>
                    </w:rPr>
                  </w:pPr>
                </w:p>
              </w:tc>
              <w:tc>
                <w:tcPr>
                  <w:tcW w:w="639" w:type="pct"/>
                  <w:vMerge w:val="continue"/>
                  <w:tcBorders>
                    <w:tl2br w:val="nil"/>
                    <w:tr2bl w:val="nil"/>
                  </w:tcBorders>
                  <w:noWrap w:val="0"/>
                  <w:vAlign w:val="center"/>
                </w:tcPr>
                <w:p>
                  <w:pPr>
                    <w:pStyle w:val="15"/>
                    <w:bidi w:val="0"/>
                    <w:rPr>
                      <w:rFonts w:hint="default" w:ascii="Times New Roman" w:hAnsi="Times New Roman" w:cs="Times New Roman"/>
                      <w:color w:val="auto"/>
                      <w:highlight w:val="none"/>
                    </w:rPr>
                  </w:pPr>
                </w:p>
              </w:tc>
              <w:tc>
                <w:tcPr>
                  <w:tcW w:w="595" w:type="pct"/>
                  <w:vMerge w:val="continue"/>
                  <w:tcBorders>
                    <w:tl2br w:val="nil"/>
                    <w:tr2bl w:val="nil"/>
                  </w:tcBorders>
                  <w:noWrap w:val="0"/>
                  <w:vAlign w:val="center"/>
                </w:tcPr>
                <w:p>
                  <w:pPr>
                    <w:pStyle w:val="15"/>
                    <w:bidi w:val="0"/>
                    <w:rPr>
                      <w:rFonts w:hint="default" w:ascii="Times New Roman" w:hAnsi="Times New Roman" w:cs="Times New Roman"/>
                      <w:color w:val="auto"/>
                      <w:highlight w:val="none"/>
                    </w:rPr>
                  </w:pPr>
                </w:p>
              </w:tc>
              <w:tc>
                <w:tcPr>
                  <w:tcW w:w="1006" w:type="pct"/>
                  <w:vMerge w:val="continue"/>
                  <w:tcBorders>
                    <w:tl2br w:val="nil"/>
                    <w:tr2bl w:val="nil"/>
                  </w:tcBorders>
                  <w:noWrap w:val="0"/>
                  <w:vAlign w:val="center"/>
                </w:tcPr>
                <w:p>
                  <w:pPr>
                    <w:pStyle w:val="15"/>
                    <w:bidi w:val="0"/>
                    <w:rPr>
                      <w:rFonts w:hint="default" w:ascii="Times New Roman" w:hAnsi="Times New Roman"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36" w:hRule="atLeast"/>
                <w:jc w:val="center"/>
              </w:trPr>
              <w:tc>
                <w:tcPr>
                  <w:tcW w:w="346" w:type="pct"/>
                  <w:vMerge w:val="restart"/>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声环境</w:t>
                  </w:r>
                </w:p>
              </w:tc>
              <w:tc>
                <w:tcPr>
                  <w:tcW w:w="384" w:type="pct"/>
                  <w:vMerge w:val="restart"/>
                  <w:tcBorders>
                    <w:tl2br w:val="nil"/>
                    <w:tr2bl w:val="nil"/>
                  </w:tcBorders>
                  <w:noWrap w:val="0"/>
                  <w:vAlign w:val="center"/>
                </w:tcPr>
                <w:p>
                  <w:pPr>
                    <w:pStyle w:val="15"/>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油坊沟</w:t>
                  </w:r>
                </w:p>
              </w:tc>
              <w:tc>
                <w:tcPr>
                  <w:tcW w:w="264" w:type="pct"/>
                  <w:tcBorders>
                    <w:tl2br w:val="nil"/>
                    <w:tr2bl w:val="nil"/>
                  </w:tcBorders>
                  <w:noWrap w:val="0"/>
                  <w:vAlign w:val="center"/>
                </w:tcPr>
                <w:p>
                  <w:pPr>
                    <w:pStyle w:val="15"/>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1</w:t>
                  </w:r>
                </w:p>
              </w:tc>
              <w:tc>
                <w:tcPr>
                  <w:tcW w:w="1158" w:type="pct"/>
                  <w:tcBorders>
                    <w:tl2br w:val="nil"/>
                    <w:tr2bl w:val="nil"/>
                  </w:tcBorders>
                  <w:noWrap w:val="0"/>
                  <w:vAlign w:val="center"/>
                </w:tcPr>
                <w:p>
                  <w:pPr>
                    <w:pStyle w:val="15"/>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黄家湾桥右岸散户，约11户，约33人</w:t>
                  </w:r>
                </w:p>
              </w:tc>
              <w:tc>
                <w:tcPr>
                  <w:tcW w:w="605" w:type="pct"/>
                  <w:tcBorders>
                    <w:tl2br w:val="nil"/>
                    <w:tr2bl w:val="nil"/>
                  </w:tcBorders>
                  <w:noWrap w:val="0"/>
                  <w:vAlign w:val="center"/>
                </w:tcPr>
                <w:p>
                  <w:pPr>
                    <w:pStyle w:val="15"/>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右侧</w:t>
                  </w:r>
                </w:p>
              </w:tc>
              <w:tc>
                <w:tcPr>
                  <w:tcW w:w="639" w:type="pct"/>
                  <w:tcBorders>
                    <w:tl2br w:val="nil"/>
                    <w:tr2bl w:val="nil"/>
                  </w:tcBorders>
                  <w:noWrap w:val="0"/>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26</w:t>
                  </w:r>
                </w:p>
              </w:tc>
              <w:tc>
                <w:tcPr>
                  <w:tcW w:w="595" w:type="pct"/>
                  <w:tcBorders>
                    <w:tl2br w:val="nil"/>
                    <w:tr2bl w:val="nil"/>
                  </w:tcBorders>
                  <w:noWrap w:val="0"/>
                  <w:vAlign w:val="center"/>
                </w:tcPr>
                <w:p>
                  <w:pPr>
                    <w:pStyle w:val="15"/>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居民区</w:t>
                  </w:r>
                </w:p>
              </w:tc>
              <w:tc>
                <w:tcPr>
                  <w:tcW w:w="1006" w:type="pct"/>
                  <w:vMerge w:val="restart"/>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《声环境质量标准》(GB3096-2008)2类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4" w:hRule="atLeast"/>
                <w:jc w:val="center"/>
              </w:trPr>
              <w:tc>
                <w:tcPr>
                  <w:tcW w:w="346" w:type="pct"/>
                  <w:vMerge w:val="continue"/>
                  <w:tcBorders>
                    <w:tl2br w:val="nil"/>
                    <w:tr2bl w:val="nil"/>
                  </w:tcBorders>
                  <w:noWrap w:val="0"/>
                  <w:vAlign w:val="center"/>
                </w:tcPr>
                <w:p>
                  <w:pPr>
                    <w:pStyle w:val="15"/>
                    <w:bidi w:val="0"/>
                    <w:rPr>
                      <w:rFonts w:hint="default" w:ascii="Times New Roman" w:hAnsi="Times New Roman" w:cs="Times New Roman"/>
                      <w:color w:val="auto"/>
                      <w:highlight w:val="none"/>
                    </w:rPr>
                  </w:pPr>
                </w:p>
              </w:tc>
              <w:tc>
                <w:tcPr>
                  <w:tcW w:w="384" w:type="pct"/>
                  <w:vMerge w:val="continue"/>
                  <w:tcBorders>
                    <w:tl2br w:val="nil"/>
                    <w:tr2bl w:val="nil"/>
                  </w:tcBorders>
                  <w:noWrap w:val="0"/>
                  <w:vAlign w:val="center"/>
                </w:tcPr>
                <w:p>
                  <w:pPr>
                    <w:pStyle w:val="15"/>
                    <w:bidi w:val="0"/>
                    <w:ind w:firstLine="0" w:firstLineChars="0"/>
                    <w:rPr>
                      <w:rFonts w:hint="default" w:ascii="Times New Roman" w:hAnsi="Times New Roman" w:eastAsia="宋体" w:cs="Times New Roman"/>
                      <w:color w:val="auto"/>
                      <w:highlight w:val="none"/>
                      <w:lang w:val="en-US" w:eastAsia="zh-CN"/>
                    </w:rPr>
                  </w:pPr>
                </w:p>
              </w:tc>
              <w:tc>
                <w:tcPr>
                  <w:tcW w:w="264" w:type="pct"/>
                  <w:tcBorders>
                    <w:tl2br w:val="nil"/>
                    <w:tr2bl w:val="nil"/>
                  </w:tcBorders>
                  <w:noWrap w:val="0"/>
                  <w:vAlign w:val="center"/>
                </w:tcPr>
                <w:p>
                  <w:pPr>
                    <w:pStyle w:val="15"/>
                    <w:bidi w:val="0"/>
                    <w:ind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2</w:t>
                  </w:r>
                </w:p>
              </w:tc>
              <w:tc>
                <w:tcPr>
                  <w:tcW w:w="1158" w:type="pct"/>
                  <w:tcBorders>
                    <w:tl2br w:val="nil"/>
                    <w:tr2bl w:val="nil"/>
                  </w:tcBorders>
                  <w:noWrap w:val="0"/>
                  <w:vAlign w:val="center"/>
                </w:tcPr>
                <w:p>
                  <w:pPr>
                    <w:pStyle w:val="15"/>
                    <w:bidi w:val="0"/>
                    <w:ind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黄家湾居民，约22户，约66人</w:t>
                  </w:r>
                </w:p>
              </w:tc>
              <w:tc>
                <w:tcPr>
                  <w:tcW w:w="605" w:type="pct"/>
                  <w:tcBorders>
                    <w:tl2br w:val="nil"/>
                    <w:tr2bl w:val="nil"/>
                  </w:tcBorders>
                  <w:noWrap w:val="0"/>
                  <w:vAlign w:val="center"/>
                </w:tcPr>
                <w:p>
                  <w:pPr>
                    <w:pStyle w:val="15"/>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右侧</w:t>
                  </w:r>
                </w:p>
              </w:tc>
              <w:tc>
                <w:tcPr>
                  <w:tcW w:w="639" w:type="pct"/>
                  <w:tcBorders>
                    <w:tl2br w:val="nil"/>
                    <w:tr2bl w:val="nil"/>
                  </w:tcBorders>
                  <w:noWrap w:val="0"/>
                  <w:vAlign w:val="center"/>
                </w:tcPr>
                <w:p>
                  <w:pPr>
                    <w:pStyle w:val="15"/>
                    <w:bidi w:val="0"/>
                    <w:ind w:firstLine="0" w:firstLineChars="0"/>
                    <w:rPr>
                      <w:rFonts w:hint="default" w:ascii="Times New Roman" w:hAnsi="Times New Roman" w:cs="Times New Roman"/>
                      <w:b/>
                      <w:bCs/>
                      <w:color w:val="auto"/>
                      <w:highlight w:val="none"/>
                      <w:lang w:val="en-US" w:eastAsia="zh-CN"/>
                    </w:rPr>
                  </w:pPr>
                  <w:r>
                    <w:rPr>
                      <w:rFonts w:hint="default" w:ascii="Times New Roman" w:hAnsi="Times New Roman" w:cs="Times New Roman"/>
                      <w:b w:val="0"/>
                      <w:bCs w:val="0"/>
                      <w:color w:val="auto"/>
                      <w:highlight w:val="none"/>
                      <w:lang w:val="en-US" w:eastAsia="zh-CN"/>
                    </w:rPr>
                    <w:t>15</w:t>
                  </w:r>
                </w:p>
              </w:tc>
              <w:tc>
                <w:tcPr>
                  <w:tcW w:w="595" w:type="pct"/>
                  <w:tcBorders>
                    <w:tl2br w:val="nil"/>
                    <w:tr2bl w:val="nil"/>
                  </w:tcBorders>
                  <w:noWrap w:val="0"/>
                  <w:vAlign w:val="center"/>
                </w:tcPr>
                <w:p>
                  <w:pPr>
                    <w:pStyle w:val="15"/>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居民区</w:t>
                  </w:r>
                </w:p>
              </w:tc>
              <w:tc>
                <w:tcPr>
                  <w:tcW w:w="1006" w:type="pct"/>
                  <w:vMerge w:val="continue"/>
                  <w:tcBorders>
                    <w:tl2br w:val="nil"/>
                    <w:tr2bl w:val="nil"/>
                  </w:tcBorders>
                  <w:noWrap w:val="0"/>
                  <w:vAlign w:val="center"/>
                </w:tcPr>
                <w:p>
                  <w:pPr>
                    <w:pStyle w:val="15"/>
                    <w:bidi w:val="0"/>
                    <w:rPr>
                      <w:rFonts w:hint="default" w:ascii="Times New Roman" w:hAnsi="Times New Roman"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4" w:hRule="atLeast"/>
                <w:jc w:val="center"/>
              </w:trPr>
              <w:tc>
                <w:tcPr>
                  <w:tcW w:w="346" w:type="pct"/>
                  <w:vMerge w:val="continue"/>
                  <w:tcBorders>
                    <w:tl2br w:val="nil"/>
                    <w:tr2bl w:val="nil"/>
                  </w:tcBorders>
                  <w:noWrap w:val="0"/>
                  <w:vAlign w:val="center"/>
                </w:tcPr>
                <w:p>
                  <w:pPr>
                    <w:pStyle w:val="15"/>
                    <w:bidi w:val="0"/>
                    <w:rPr>
                      <w:rFonts w:hint="default" w:ascii="Times New Roman" w:hAnsi="Times New Roman" w:cs="Times New Roman"/>
                      <w:color w:val="auto"/>
                      <w:highlight w:val="none"/>
                    </w:rPr>
                  </w:pPr>
                </w:p>
              </w:tc>
              <w:tc>
                <w:tcPr>
                  <w:tcW w:w="384" w:type="pct"/>
                  <w:vMerge w:val="continue"/>
                  <w:tcBorders>
                    <w:tl2br w:val="nil"/>
                    <w:tr2bl w:val="nil"/>
                  </w:tcBorders>
                  <w:noWrap w:val="0"/>
                  <w:vAlign w:val="center"/>
                </w:tcPr>
                <w:p>
                  <w:pPr>
                    <w:pStyle w:val="15"/>
                    <w:bidi w:val="0"/>
                    <w:ind w:firstLine="0" w:firstLineChars="0"/>
                    <w:rPr>
                      <w:rFonts w:hint="default" w:ascii="Times New Roman" w:hAnsi="Times New Roman" w:cs="Times New Roman"/>
                      <w:color w:val="auto"/>
                      <w:highlight w:val="none"/>
                      <w:lang w:val="en-US" w:eastAsia="zh-CN"/>
                    </w:rPr>
                  </w:pPr>
                </w:p>
              </w:tc>
              <w:tc>
                <w:tcPr>
                  <w:tcW w:w="264" w:type="pct"/>
                  <w:tcBorders>
                    <w:tl2br w:val="nil"/>
                    <w:tr2bl w:val="nil"/>
                  </w:tcBorders>
                  <w:noWrap w:val="0"/>
                  <w:vAlign w:val="center"/>
                </w:tcPr>
                <w:p>
                  <w:pPr>
                    <w:pStyle w:val="15"/>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w:t>
                  </w:r>
                </w:p>
              </w:tc>
              <w:tc>
                <w:tcPr>
                  <w:tcW w:w="1158" w:type="pct"/>
                  <w:tcBorders>
                    <w:tl2br w:val="nil"/>
                    <w:tr2bl w:val="nil"/>
                  </w:tcBorders>
                  <w:noWrap w:val="0"/>
                  <w:vAlign w:val="center"/>
                </w:tcPr>
                <w:p>
                  <w:pPr>
                    <w:pStyle w:val="15"/>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kern w:val="2"/>
                      <w:sz w:val="21"/>
                      <w:szCs w:val="21"/>
                      <w:highlight w:val="none"/>
                      <w:lang w:val="en-US" w:eastAsia="zh-CN" w:bidi="ar-SA"/>
                    </w:rPr>
                    <w:t>油坊沟左岸散户，约5户，约15人</w:t>
                  </w:r>
                </w:p>
              </w:tc>
              <w:tc>
                <w:tcPr>
                  <w:tcW w:w="605" w:type="pct"/>
                  <w:tcBorders>
                    <w:tl2br w:val="nil"/>
                    <w:tr2bl w:val="nil"/>
                  </w:tcBorders>
                  <w:noWrap w:val="0"/>
                  <w:vAlign w:val="center"/>
                </w:tcPr>
                <w:p>
                  <w:pPr>
                    <w:pStyle w:val="15"/>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左侧</w:t>
                  </w:r>
                </w:p>
              </w:tc>
              <w:tc>
                <w:tcPr>
                  <w:tcW w:w="639" w:type="pct"/>
                  <w:tcBorders>
                    <w:tl2br w:val="nil"/>
                    <w:tr2bl w:val="nil"/>
                  </w:tcBorders>
                  <w:noWrap w:val="0"/>
                  <w:vAlign w:val="center"/>
                </w:tcPr>
                <w:p>
                  <w:pPr>
                    <w:pStyle w:val="15"/>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32</w:t>
                  </w:r>
                </w:p>
              </w:tc>
              <w:tc>
                <w:tcPr>
                  <w:tcW w:w="595" w:type="pct"/>
                  <w:tcBorders>
                    <w:tl2br w:val="nil"/>
                    <w:tr2bl w:val="nil"/>
                  </w:tcBorders>
                  <w:noWrap w:val="0"/>
                  <w:vAlign w:val="center"/>
                </w:tcPr>
                <w:p>
                  <w:pPr>
                    <w:pStyle w:val="15"/>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居民区</w:t>
                  </w:r>
                </w:p>
              </w:tc>
              <w:tc>
                <w:tcPr>
                  <w:tcW w:w="1006" w:type="pct"/>
                  <w:vMerge w:val="continue"/>
                  <w:tcBorders>
                    <w:tl2br w:val="nil"/>
                    <w:tr2bl w:val="nil"/>
                  </w:tcBorders>
                  <w:noWrap w:val="0"/>
                  <w:vAlign w:val="center"/>
                </w:tcPr>
                <w:p>
                  <w:pPr>
                    <w:pStyle w:val="15"/>
                    <w:bidi w:val="0"/>
                    <w:rPr>
                      <w:rFonts w:hint="default" w:ascii="Times New Roman" w:hAnsi="Times New Roman"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4" w:hRule="atLeast"/>
                <w:jc w:val="center"/>
              </w:trPr>
              <w:tc>
                <w:tcPr>
                  <w:tcW w:w="346" w:type="pct"/>
                  <w:vMerge w:val="continue"/>
                  <w:tcBorders>
                    <w:tl2br w:val="nil"/>
                    <w:tr2bl w:val="nil"/>
                  </w:tcBorders>
                  <w:noWrap w:val="0"/>
                  <w:vAlign w:val="center"/>
                </w:tcPr>
                <w:p>
                  <w:pPr>
                    <w:pStyle w:val="15"/>
                    <w:bidi w:val="0"/>
                    <w:rPr>
                      <w:rFonts w:hint="default" w:ascii="Times New Roman" w:hAnsi="Times New Roman" w:cs="Times New Roman"/>
                      <w:color w:val="auto"/>
                      <w:highlight w:val="none"/>
                    </w:rPr>
                  </w:pPr>
                </w:p>
              </w:tc>
              <w:tc>
                <w:tcPr>
                  <w:tcW w:w="384" w:type="pct"/>
                  <w:vMerge w:val="continue"/>
                  <w:tcBorders>
                    <w:tl2br w:val="nil"/>
                    <w:tr2bl w:val="nil"/>
                  </w:tcBorders>
                  <w:noWrap w:val="0"/>
                  <w:vAlign w:val="center"/>
                </w:tcPr>
                <w:p>
                  <w:pPr>
                    <w:pStyle w:val="15"/>
                    <w:bidi w:val="0"/>
                    <w:ind w:firstLine="0" w:firstLineChars="0"/>
                    <w:rPr>
                      <w:rFonts w:hint="default" w:ascii="Times New Roman" w:hAnsi="Times New Roman" w:cs="Times New Roman"/>
                      <w:color w:val="auto"/>
                      <w:highlight w:val="none"/>
                      <w:lang w:val="en-US" w:eastAsia="zh-CN"/>
                    </w:rPr>
                  </w:pPr>
                </w:p>
              </w:tc>
              <w:tc>
                <w:tcPr>
                  <w:tcW w:w="264" w:type="pct"/>
                  <w:tcBorders>
                    <w:tl2br w:val="nil"/>
                    <w:tr2bl w:val="nil"/>
                  </w:tcBorders>
                  <w:noWrap w:val="0"/>
                  <w:vAlign w:val="center"/>
                </w:tcPr>
                <w:p>
                  <w:pPr>
                    <w:pStyle w:val="15"/>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w:t>
                  </w:r>
                </w:p>
              </w:tc>
              <w:tc>
                <w:tcPr>
                  <w:tcW w:w="1158" w:type="pct"/>
                  <w:tcBorders>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鲤鱼塝居民，约77户，约231人</w:t>
                  </w:r>
                </w:p>
              </w:tc>
              <w:tc>
                <w:tcPr>
                  <w:tcW w:w="605" w:type="pct"/>
                  <w:tcBorders>
                    <w:tl2br w:val="nil"/>
                    <w:tr2bl w:val="nil"/>
                  </w:tcBorders>
                  <w:noWrap w:val="0"/>
                  <w:vAlign w:val="center"/>
                </w:tcPr>
                <w:p>
                  <w:pPr>
                    <w:pStyle w:val="15"/>
                    <w:bidi w:val="0"/>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右侧</w:t>
                  </w:r>
                </w:p>
              </w:tc>
              <w:tc>
                <w:tcPr>
                  <w:tcW w:w="639" w:type="pct"/>
                  <w:tcBorders>
                    <w:tl2br w:val="nil"/>
                    <w:tr2bl w:val="nil"/>
                  </w:tcBorders>
                  <w:noWrap w:val="0"/>
                  <w:vAlign w:val="center"/>
                </w:tcPr>
                <w:p>
                  <w:pPr>
                    <w:pStyle w:val="15"/>
                    <w:bidi w:val="0"/>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21</w:t>
                  </w:r>
                </w:p>
              </w:tc>
              <w:tc>
                <w:tcPr>
                  <w:tcW w:w="595" w:type="pct"/>
                  <w:tcBorders>
                    <w:tl2br w:val="nil"/>
                    <w:tr2bl w:val="nil"/>
                  </w:tcBorders>
                  <w:noWrap w:val="0"/>
                  <w:vAlign w:val="center"/>
                </w:tcPr>
                <w:p>
                  <w:pPr>
                    <w:pStyle w:val="15"/>
                    <w:bidi w:val="0"/>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居民区</w:t>
                  </w:r>
                </w:p>
              </w:tc>
              <w:tc>
                <w:tcPr>
                  <w:tcW w:w="1006" w:type="pct"/>
                  <w:vMerge w:val="continue"/>
                  <w:tcBorders>
                    <w:tl2br w:val="nil"/>
                    <w:tr2bl w:val="nil"/>
                  </w:tcBorders>
                  <w:noWrap w:val="0"/>
                  <w:vAlign w:val="center"/>
                </w:tcPr>
                <w:p>
                  <w:pPr>
                    <w:pStyle w:val="15"/>
                    <w:bidi w:val="0"/>
                    <w:rPr>
                      <w:rFonts w:hint="default" w:ascii="Times New Roman" w:hAnsi="Times New Roman"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4" w:hRule="atLeast"/>
                <w:jc w:val="center"/>
              </w:trPr>
              <w:tc>
                <w:tcPr>
                  <w:tcW w:w="346" w:type="pct"/>
                  <w:vMerge w:val="continue"/>
                  <w:tcBorders>
                    <w:tl2br w:val="nil"/>
                    <w:tr2bl w:val="nil"/>
                  </w:tcBorders>
                  <w:noWrap w:val="0"/>
                  <w:vAlign w:val="center"/>
                </w:tcPr>
                <w:p>
                  <w:pPr>
                    <w:pStyle w:val="15"/>
                    <w:bidi w:val="0"/>
                    <w:rPr>
                      <w:rFonts w:hint="default" w:ascii="Times New Roman" w:hAnsi="Times New Roman" w:cs="Times New Roman"/>
                      <w:color w:val="auto"/>
                      <w:highlight w:val="none"/>
                    </w:rPr>
                  </w:pPr>
                </w:p>
              </w:tc>
              <w:tc>
                <w:tcPr>
                  <w:tcW w:w="384" w:type="pct"/>
                  <w:vMerge w:val="continue"/>
                  <w:tcBorders>
                    <w:tl2br w:val="nil"/>
                    <w:tr2bl w:val="nil"/>
                  </w:tcBorders>
                  <w:noWrap w:val="0"/>
                  <w:vAlign w:val="center"/>
                </w:tcPr>
                <w:p>
                  <w:pPr>
                    <w:pStyle w:val="15"/>
                    <w:bidi w:val="0"/>
                    <w:ind w:firstLine="0" w:firstLineChars="0"/>
                    <w:rPr>
                      <w:rFonts w:hint="default" w:ascii="Times New Roman" w:hAnsi="Times New Roman" w:cs="Times New Roman"/>
                      <w:color w:val="auto"/>
                      <w:highlight w:val="none"/>
                      <w:lang w:val="en-US" w:eastAsia="zh-CN"/>
                    </w:rPr>
                  </w:pPr>
                </w:p>
              </w:tc>
              <w:tc>
                <w:tcPr>
                  <w:tcW w:w="264" w:type="pct"/>
                  <w:tcBorders>
                    <w:tl2br w:val="nil"/>
                    <w:tr2bl w:val="nil"/>
                  </w:tcBorders>
                  <w:noWrap w:val="0"/>
                  <w:vAlign w:val="center"/>
                </w:tcPr>
                <w:p>
                  <w:pPr>
                    <w:pStyle w:val="15"/>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w:t>
                  </w:r>
                </w:p>
              </w:tc>
              <w:tc>
                <w:tcPr>
                  <w:tcW w:w="1158" w:type="pct"/>
                  <w:tcBorders>
                    <w:tl2br w:val="nil"/>
                    <w:tr2bl w:val="nil"/>
                  </w:tcBorders>
                  <w:noWrap w:val="0"/>
                  <w:vAlign w:val="center"/>
                </w:tcPr>
                <w:p>
                  <w:pPr>
                    <w:pStyle w:val="15"/>
                    <w:bidi w:val="0"/>
                    <w:ind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冯家坝居民，约63户，约189人</w:t>
                  </w:r>
                </w:p>
              </w:tc>
              <w:tc>
                <w:tcPr>
                  <w:tcW w:w="605" w:type="pct"/>
                  <w:tcBorders>
                    <w:tl2br w:val="nil"/>
                    <w:tr2bl w:val="nil"/>
                  </w:tcBorders>
                  <w:noWrap w:val="0"/>
                  <w:vAlign w:val="center"/>
                </w:tcPr>
                <w:p>
                  <w:pPr>
                    <w:pStyle w:val="15"/>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左侧</w:t>
                  </w:r>
                </w:p>
              </w:tc>
              <w:tc>
                <w:tcPr>
                  <w:tcW w:w="639" w:type="pct"/>
                  <w:tcBorders>
                    <w:tl2br w:val="nil"/>
                    <w:tr2bl w:val="nil"/>
                  </w:tcBorders>
                  <w:noWrap w:val="0"/>
                  <w:vAlign w:val="center"/>
                </w:tcPr>
                <w:p>
                  <w:pPr>
                    <w:pStyle w:val="15"/>
                    <w:bidi w:val="0"/>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8</w:t>
                  </w:r>
                </w:p>
              </w:tc>
              <w:tc>
                <w:tcPr>
                  <w:tcW w:w="595" w:type="pct"/>
                  <w:tcBorders>
                    <w:tl2br w:val="nil"/>
                    <w:tr2bl w:val="nil"/>
                  </w:tcBorders>
                  <w:noWrap w:val="0"/>
                  <w:vAlign w:val="center"/>
                </w:tcPr>
                <w:p>
                  <w:pPr>
                    <w:pStyle w:val="15"/>
                    <w:bidi w:val="0"/>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居民区</w:t>
                  </w:r>
                </w:p>
              </w:tc>
              <w:tc>
                <w:tcPr>
                  <w:tcW w:w="1006" w:type="pct"/>
                  <w:vMerge w:val="continue"/>
                  <w:tcBorders>
                    <w:tl2br w:val="nil"/>
                    <w:tr2bl w:val="nil"/>
                  </w:tcBorders>
                  <w:noWrap w:val="0"/>
                  <w:vAlign w:val="center"/>
                </w:tcPr>
                <w:p>
                  <w:pPr>
                    <w:pStyle w:val="15"/>
                    <w:bidi w:val="0"/>
                    <w:rPr>
                      <w:rFonts w:hint="default" w:ascii="Times New Roman" w:hAnsi="Times New Roman"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4" w:hRule="atLeast"/>
                <w:jc w:val="center"/>
              </w:trPr>
              <w:tc>
                <w:tcPr>
                  <w:tcW w:w="346" w:type="pct"/>
                  <w:vMerge w:val="continue"/>
                  <w:tcBorders>
                    <w:tl2br w:val="nil"/>
                    <w:tr2bl w:val="nil"/>
                  </w:tcBorders>
                  <w:noWrap w:val="0"/>
                  <w:vAlign w:val="center"/>
                </w:tcPr>
                <w:p>
                  <w:pPr>
                    <w:pStyle w:val="15"/>
                    <w:bidi w:val="0"/>
                    <w:rPr>
                      <w:rFonts w:hint="default" w:ascii="Times New Roman" w:hAnsi="Times New Roman" w:cs="Times New Roman"/>
                      <w:color w:val="auto"/>
                      <w:highlight w:val="none"/>
                    </w:rPr>
                  </w:pPr>
                </w:p>
              </w:tc>
              <w:tc>
                <w:tcPr>
                  <w:tcW w:w="384" w:type="pct"/>
                  <w:vMerge w:val="restart"/>
                  <w:tcBorders>
                    <w:tl2br w:val="nil"/>
                    <w:tr2bl w:val="nil"/>
                  </w:tcBorders>
                  <w:noWrap w:val="0"/>
                  <w:vAlign w:val="center"/>
                </w:tcPr>
                <w:p>
                  <w:pPr>
                    <w:pStyle w:val="15"/>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胡家河</w:t>
                  </w:r>
                </w:p>
              </w:tc>
              <w:tc>
                <w:tcPr>
                  <w:tcW w:w="264" w:type="pct"/>
                  <w:tcBorders>
                    <w:tl2br w:val="nil"/>
                    <w:tr2bl w:val="nil"/>
                  </w:tcBorders>
                  <w:noWrap w:val="0"/>
                  <w:vAlign w:val="center"/>
                </w:tcPr>
                <w:p>
                  <w:pPr>
                    <w:pStyle w:val="15"/>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w:t>
                  </w:r>
                </w:p>
              </w:tc>
              <w:tc>
                <w:tcPr>
                  <w:tcW w:w="1158" w:type="pct"/>
                  <w:tcBorders>
                    <w:tl2br w:val="nil"/>
                    <w:tr2bl w:val="nil"/>
                  </w:tcBorders>
                  <w:noWrap w:val="0"/>
                  <w:vAlign w:val="center"/>
                </w:tcPr>
                <w:p>
                  <w:pPr>
                    <w:pStyle w:val="15"/>
                    <w:bidi w:val="0"/>
                    <w:ind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花房子居民，约6户，约18人</w:t>
                  </w:r>
                </w:p>
              </w:tc>
              <w:tc>
                <w:tcPr>
                  <w:tcW w:w="605" w:type="pct"/>
                  <w:tcBorders>
                    <w:tl2br w:val="nil"/>
                    <w:tr2bl w:val="nil"/>
                  </w:tcBorders>
                  <w:noWrap w:val="0"/>
                  <w:vAlign w:val="center"/>
                </w:tcPr>
                <w:p>
                  <w:pPr>
                    <w:pStyle w:val="15"/>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左侧</w:t>
                  </w:r>
                </w:p>
              </w:tc>
              <w:tc>
                <w:tcPr>
                  <w:tcW w:w="639" w:type="pct"/>
                  <w:tcBorders>
                    <w:tl2br w:val="nil"/>
                    <w:tr2bl w:val="nil"/>
                  </w:tcBorders>
                  <w:noWrap w:val="0"/>
                  <w:vAlign w:val="center"/>
                </w:tcPr>
                <w:p>
                  <w:pPr>
                    <w:pStyle w:val="15"/>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15</w:t>
                  </w:r>
                </w:p>
              </w:tc>
              <w:tc>
                <w:tcPr>
                  <w:tcW w:w="595" w:type="pct"/>
                  <w:tcBorders>
                    <w:tl2br w:val="nil"/>
                    <w:tr2bl w:val="nil"/>
                  </w:tcBorders>
                  <w:noWrap w:val="0"/>
                  <w:vAlign w:val="center"/>
                </w:tcPr>
                <w:p>
                  <w:pPr>
                    <w:pStyle w:val="15"/>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居民区</w:t>
                  </w:r>
                </w:p>
              </w:tc>
              <w:tc>
                <w:tcPr>
                  <w:tcW w:w="1006" w:type="pct"/>
                  <w:vMerge w:val="continue"/>
                  <w:tcBorders>
                    <w:tl2br w:val="nil"/>
                    <w:tr2bl w:val="nil"/>
                  </w:tcBorders>
                  <w:noWrap w:val="0"/>
                  <w:vAlign w:val="center"/>
                </w:tcPr>
                <w:p>
                  <w:pPr>
                    <w:pStyle w:val="15"/>
                    <w:bidi w:val="0"/>
                    <w:rPr>
                      <w:rFonts w:hint="default" w:ascii="Times New Roman" w:hAnsi="Times New Roman"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4" w:hRule="atLeast"/>
                <w:jc w:val="center"/>
              </w:trPr>
              <w:tc>
                <w:tcPr>
                  <w:tcW w:w="346" w:type="pct"/>
                  <w:vMerge w:val="continue"/>
                  <w:tcBorders>
                    <w:tl2br w:val="nil"/>
                    <w:tr2bl w:val="nil"/>
                  </w:tcBorders>
                  <w:noWrap w:val="0"/>
                  <w:vAlign w:val="center"/>
                </w:tcPr>
                <w:p>
                  <w:pPr>
                    <w:pStyle w:val="15"/>
                    <w:bidi w:val="0"/>
                    <w:rPr>
                      <w:rFonts w:hint="default" w:ascii="Times New Roman" w:hAnsi="Times New Roman" w:cs="Times New Roman"/>
                      <w:color w:val="auto"/>
                      <w:highlight w:val="none"/>
                    </w:rPr>
                  </w:pPr>
                </w:p>
              </w:tc>
              <w:tc>
                <w:tcPr>
                  <w:tcW w:w="384" w:type="pct"/>
                  <w:vMerge w:val="continue"/>
                  <w:tcBorders>
                    <w:tl2br w:val="nil"/>
                    <w:tr2bl w:val="nil"/>
                  </w:tcBorders>
                  <w:noWrap w:val="0"/>
                  <w:vAlign w:val="center"/>
                </w:tcPr>
                <w:p>
                  <w:pPr>
                    <w:pStyle w:val="15"/>
                    <w:bidi w:val="0"/>
                    <w:ind w:firstLine="0" w:firstLineChars="0"/>
                    <w:rPr>
                      <w:rFonts w:hint="default" w:ascii="Times New Roman" w:hAnsi="Times New Roman" w:cs="Times New Roman"/>
                      <w:color w:val="auto"/>
                      <w:highlight w:val="none"/>
                      <w:lang w:val="en-US" w:eastAsia="zh-CN"/>
                    </w:rPr>
                  </w:pPr>
                </w:p>
              </w:tc>
              <w:tc>
                <w:tcPr>
                  <w:tcW w:w="264" w:type="pct"/>
                  <w:tcBorders>
                    <w:tl2br w:val="nil"/>
                    <w:tr2bl w:val="nil"/>
                  </w:tcBorders>
                  <w:noWrap w:val="0"/>
                  <w:vAlign w:val="center"/>
                </w:tcPr>
                <w:p>
                  <w:pPr>
                    <w:pStyle w:val="15"/>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w:t>
                  </w:r>
                </w:p>
              </w:tc>
              <w:tc>
                <w:tcPr>
                  <w:tcW w:w="1158" w:type="pct"/>
                  <w:tcBorders>
                    <w:tl2br w:val="nil"/>
                    <w:tr2bl w:val="nil"/>
                  </w:tcBorders>
                  <w:noWrap w:val="0"/>
                  <w:vAlign w:val="center"/>
                </w:tcPr>
                <w:p>
                  <w:pPr>
                    <w:pStyle w:val="15"/>
                    <w:bidi w:val="0"/>
                    <w:ind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后营坝左岸居民，约136户，约408人</w:t>
                  </w:r>
                </w:p>
              </w:tc>
              <w:tc>
                <w:tcPr>
                  <w:tcW w:w="605" w:type="pct"/>
                  <w:tcBorders>
                    <w:tl2br w:val="nil"/>
                    <w:tr2bl w:val="nil"/>
                  </w:tcBorders>
                  <w:noWrap w:val="0"/>
                  <w:vAlign w:val="center"/>
                </w:tcPr>
                <w:p>
                  <w:pPr>
                    <w:pStyle w:val="15"/>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左侧</w:t>
                  </w:r>
                </w:p>
              </w:tc>
              <w:tc>
                <w:tcPr>
                  <w:tcW w:w="639" w:type="pct"/>
                  <w:tcBorders>
                    <w:tl2br w:val="nil"/>
                    <w:tr2bl w:val="nil"/>
                  </w:tcBorders>
                  <w:noWrap w:val="0"/>
                  <w:vAlign w:val="center"/>
                </w:tcPr>
                <w:p>
                  <w:pPr>
                    <w:pStyle w:val="15"/>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35</w:t>
                  </w:r>
                </w:p>
              </w:tc>
              <w:tc>
                <w:tcPr>
                  <w:tcW w:w="595" w:type="pct"/>
                  <w:tcBorders>
                    <w:tl2br w:val="nil"/>
                    <w:tr2bl w:val="nil"/>
                  </w:tcBorders>
                  <w:noWrap w:val="0"/>
                  <w:vAlign w:val="center"/>
                </w:tcPr>
                <w:p>
                  <w:pPr>
                    <w:pStyle w:val="15"/>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居民区</w:t>
                  </w:r>
                </w:p>
              </w:tc>
              <w:tc>
                <w:tcPr>
                  <w:tcW w:w="1006" w:type="pct"/>
                  <w:vMerge w:val="continue"/>
                  <w:tcBorders>
                    <w:tl2br w:val="nil"/>
                    <w:tr2bl w:val="nil"/>
                  </w:tcBorders>
                  <w:noWrap w:val="0"/>
                  <w:vAlign w:val="center"/>
                </w:tcPr>
                <w:p>
                  <w:pPr>
                    <w:pStyle w:val="15"/>
                    <w:bidi w:val="0"/>
                    <w:rPr>
                      <w:rFonts w:hint="default" w:ascii="Times New Roman" w:hAnsi="Times New Roman"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4" w:hRule="atLeast"/>
                <w:jc w:val="center"/>
              </w:trPr>
              <w:tc>
                <w:tcPr>
                  <w:tcW w:w="346" w:type="pct"/>
                  <w:vMerge w:val="continue"/>
                  <w:tcBorders>
                    <w:tl2br w:val="nil"/>
                    <w:tr2bl w:val="nil"/>
                  </w:tcBorders>
                  <w:noWrap w:val="0"/>
                  <w:vAlign w:val="center"/>
                </w:tcPr>
                <w:p>
                  <w:pPr>
                    <w:pStyle w:val="15"/>
                    <w:bidi w:val="0"/>
                    <w:rPr>
                      <w:rFonts w:hint="default" w:ascii="Times New Roman" w:hAnsi="Times New Roman" w:cs="Times New Roman"/>
                      <w:color w:val="auto"/>
                      <w:highlight w:val="none"/>
                    </w:rPr>
                  </w:pPr>
                </w:p>
              </w:tc>
              <w:tc>
                <w:tcPr>
                  <w:tcW w:w="384" w:type="pct"/>
                  <w:vMerge w:val="continue"/>
                  <w:tcBorders>
                    <w:tl2br w:val="nil"/>
                    <w:tr2bl w:val="nil"/>
                  </w:tcBorders>
                  <w:noWrap w:val="0"/>
                  <w:vAlign w:val="center"/>
                </w:tcPr>
                <w:p>
                  <w:pPr>
                    <w:pStyle w:val="15"/>
                    <w:bidi w:val="0"/>
                    <w:ind w:firstLine="0" w:firstLineChars="0"/>
                    <w:rPr>
                      <w:rFonts w:hint="default" w:ascii="Times New Roman" w:hAnsi="Times New Roman" w:cs="Times New Roman"/>
                      <w:color w:val="auto"/>
                      <w:highlight w:val="none"/>
                      <w:lang w:val="en-US" w:eastAsia="zh-CN"/>
                    </w:rPr>
                  </w:pPr>
                </w:p>
              </w:tc>
              <w:tc>
                <w:tcPr>
                  <w:tcW w:w="264" w:type="pct"/>
                  <w:tcBorders>
                    <w:tl2br w:val="nil"/>
                    <w:tr2bl w:val="nil"/>
                  </w:tcBorders>
                  <w:noWrap w:val="0"/>
                  <w:vAlign w:val="center"/>
                </w:tcPr>
                <w:p>
                  <w:pPr>
                    <w:pStyle w:val="15"/>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8</w:t>
                  </w:r>
                </w:p>
              </w:tc>
              <w:tc>
                <w:tcPr>
                  <w:tcW w:w="1158" w:type="pct"/>
                  <w:tcBorders>
                    <w:tl2br w:val="nil"/>
                    <w:tr2bl w:val="nil"/>
                  </w:tcBorders>
                  <w:noWrap w:val="0"/>
                  <w:vAlign w:val="center"/>
                </w:tcPr>
                <w:p>
                  <w:pPr>
                    <w:pStyle w:val="15"/>
                    <w:bidi w:val="0"/>
                    <w:ind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后营坝右岸居民，约125户，约375人</w:t>
                  </w:r>
                </w:p>
              </w:tc>
              <w:tc>
                <w:tcPr>
                  <w:tcW w:w="605" w:type="pct"/>
                  <w:tcBorders>
                    <w:tl2br w:val="nil"/>
                    <w:tr2bl w:val="nil"/>
                  </w:tcBorders>
                  <w:noWrap w:val="0"/>
                  <w:vAlign w:val="center"/>
                </w:tcPr>
                <w:p>
                  <w:pPr>
                    <w:pStyle w:val="15"/>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右侧</w:t>
                  </w:r>
                </w:p>
              </w:tc>
              <w:tc>
                <w:tcPr>
                  <w:tcW w:w="639" w:type="pct"/>
                  <w:tcBorders>
                    <w:tl2br w:val="nil"/>
                    <w:tr2bl w:val="nil"/>
                  </w:tcBorders>
                  <w:noWrap w:val="0"/>
                  <w:vAlign w:val="center"/>
                </w:tcPr>
                <w:p>
                  <w:pPr>
                    <w:pStyle w:val="15"/>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10</w:t>
                  </w:r>
                </w:p>
              </w:tc>
              <w:tc>
                <w:tcPr>
                  <w:tcW w:w="595" w:type="pct"/>
                  <w:tcBorders>
                    <w:tl2br w:val="nil"/>
                    <w:tr2bl w:val="nil"/>
                  </w:tcBorders>
                  <w:noWrap w:val="0"/>
                  <w:vAlign w:val="center"/>
                </w:tcPr>
                <w:p>
                  <w:pPr>
                    <w:pStyle w:val="15"/>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居民区</w:t>
                  </w:r>
                </w:p>
              </w:tc>
              <w:tc>
                <w:tcPr>
                  <w:tcW w:w="1006" w:type="pct"/>
                  <w:vMerge w:val="continue"/>
                  <w:tcBorders>
                    <w:tl2br w:val="nil"/>
                    <w:tr2bl w:val="nil"/>
                  </w:tcBorders>
                  <w:noWrap w:val="0"/>
                  <w:vAlign w:val="center"/>
                </w:tcPr>
                <w:p>
                  <w:pPr>
                    <w:pStyle w:val="15"/>
                    <w:bidi w:val="0"/>
                    <w:rPr>
                      <w:rFonts w:hint="default" w:ascii="Times New Roman" w:hAnsi="Times New Roman"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4" w:hRule="atLeast"/>
                <w:jc w:val="center"/>
              </w:trPr>
              <w:tc>
                <w:tcPr>
                  <w:tcW w:w="346" w:type="pct"/>
                  <w:vMerge w:val="restart"/>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大气环境</w:t>
                  </w:r>
                </w:p>
              </w:tc>
              <w:tc>
                <w:tcPr>
                  <w:tcW w:w="384" w:type="pct"/>
                  <w:vMerge w:val="restart"/>
                  <w:tcBorders>
                    <w:tl2br w:val="nil"/>
                    <w:tr2bl w:val="nil"/>
                  </w:tcBorders>
                  <w:noWrap w:val="0"/>
                  <w:vAlign w:val="center"/>
                </w:tcPr>
                <w:p>
                  <w:pPr>
                    <w:pStyle w:val="15"/>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油坊沟</w:t>
                  </w:r>
                </w:p>
              </w:tc>
              <w:tc>
                <w:tcPr>
                  <w:tcW w:w="264" w:type="pct"/>
                  <w:tcBorders>
                    <w:tl2br w:val="nil"/>
                    <w:tr2bl w:val="nil"/>
                  </w:tcBorders>
                  <w:noWrap w:val="0"/>
                  <w:vAlign w:val="center"/>
                </w:tcPr>
                <w:p>
                  <w:pPr>
                    <w:pStyle w:val="15"/>
                    <w:bidi w:val="0"/>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1</w:t>
                  </w:r>
                </w:p>
              </w:tc>
              <w:tc>
                <w:tcPr>
                  <w:tcW w:w="1158" w:type="pct"/>
                  <w:tcBorders>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黄家湾桥右岸散户，约11户，约33人</w:t>
                  </w:r>
                </w:p>
              </w:tc>
              <w:tc>
                <w:tcPr>
                  <w:tcW w:w="605" w:type="pct"/>
                  <w:tcBorders>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右侧</w:t>
                  </w:r>
                </w:p>
              </w:tc>
              <w:tc>
                <w:tcPr>
                  <w:tcW w:w="639" w:type="pct"/>
                  <w:tcBorders>
                    <w:tl2br w:val="nil"/>
                    <w:tr2bl w:val="nil"/>
                  </w:tcBorders>
                  <w:noWrap w:val="0"/>
                  <w:vAlign w:val="center"/>
                </w:tcPr>
                <w:p>
                  <w:pPr>
                    <w:pStyle w:val="15"/>
                    <w:bidi w:val="0"/>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26</w:t>
                  </w:r>
                </w:p>
              </w:tc>
              <w:tc>
                <w:tcPr>
                  <w:tcW w:w="595" w:type="pct"/>
                  <w:tcBorders>
                    <w:tl2br w:val="nil"/>
                    <w:tr2bl w:val="nil"/>
                  </w:tcBorders>
                  <w:noWrap w:val="0"/>
                  <w:vAlign w:val="center"/>
                </w:tcPr>
                <w:p>
                  <w:pPr>
                    <w:pStyle w:val="15"/>
                    <w:bidi w:val="0"/>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居民区</w:t>
                  </w:r>
                </w:p>
              </w:tc>
              <w:tc>
                <w:tcPr>
                  <w:tcW w:w="1006" w:type="pct"/>
                  <w:vMerge w:val="restart"/>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《环境空气质量标准》(GB3095-2012)二级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4" w:hRule="atLeast"/>
                <w:jc w:val="center"/>
              </w:trPr>
              <w:tc>
                <w:tcPr>
                  <w:tcW w:w="346" w:type="pct"/>
                  <w:vMerge w:val="continue"/>
                  <w:tcBorders>
                    <w:tl2br w:val="nil"/>
                    <w:tr2bl w:val="nil"/>
                  </w:tcBorders>
                  <w:noWrap w:val="0"/>
                  <w:vAlign w:val="center"/>
                </w:tcPr>
                <w:p>
                  <w:pPr>
                    <w:pStyle w:val="15"/>
                    <w:bidi w:val="0"/>
                    <w:rPr>
                      <w:rFonts w:hint="default" w:ascii="Times New Roman" w:hAnsi="Times New Roman" w:cs="Times New Roman"/>
                      <w:color w:val="auto"/>
                      <w:highlight w:val="none"/>
                    </w:rPr>
                  </w:pPr>
                </w:p>
              </w:tc>
              <w:tc>
                <w:tcPr>
                  <w:tcW w:w="384" w:type="pct"/>
                  <w:vMerge w:val="continue"/>
                  <w:tcBorders>
                    <w:tl2br w:val="nil"/>
                    <w:tr2bl w:val="nil"/>
                  </w:tcBorders>
                  <w:noWrap w:val="0"/>
                  <w:vAlign w:val="center"/>
                </w:tcPr>
                <w:p>
                  <w:pPr>
                    <w:pStyle w:val="15"/>
                    <w:bidi w:val="0"/>
                    <w:ind w:firstLine="0" w:firstLineChars="0"/>
                    <w:rPr>
                      <w:rFonts w:hint="default" w:ascii="Times New Roman" w:hAnsi="Times New Roman" w:eastAsia="宋体" w:cs="Times New Roman"/>
                      <w:color w:val="auto"/>
                      <w:kern w:val="2"/>
                      <w:sz w:val="21"/>
                      <w:szCs w:val="21"/>
                      <w:highlight w:val="none"/>
                      <w:lang w:val="en-US" w:eastAsia="zh-CN" w:bidi="ar-SA"/>
                    </w:rPr>
                  </w:pPr>
                </w:p>
              </w:tc>
              <w:tc>
                <w:tcPr>
                  <w:tcW w:w="264" w:type="pct"/>
                  <w:tcBorders>
                    <w:tl2br w:val="nil"/>
                    <w:tr2bl w:val="nil"/>
                  </w:tcBorders>
                  <w:noWrap w:val="0"/>
                  <w:vAlign w:val="center"/>
                </w:tcPr>
                <w:p>
                  <w:pPr>
                    <w:pStyle w:val="15"/>
                    <w:bidi w:val="0"/>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2</w:t>
                  </w:r>
                </w:p>
              </w:tc>
              <w:tc>
                <w:tcPr>
                  <w:tcW w:w="1158" w:type="pct"/>
                  <w:tcBorders>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黄家湾居民，约22户，约66人</w:t>
                  </w:r>
                </w:p>
              </w:tc>
              <w:tc>
                <w:tcPr>
                  <w:tcW w:w="605" w:type="pct"/>
                  <w:tcBorders>
                    <w:tl2br w:val="nil"/>
                    <w:tr2bl w:val="nil"/>
                  </w:tcBorders>
                  <w:noWrap w:val="0"/>
                  <w:vAlign w:val="center"/>
                </w:tcPr>
                <w:p>
                  <w:pPr>
                    <w:pStyle w:val="15"/>
                    <w:bidi w:val="0"/>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右侧</w:t>
                  </w:r>
                </w:p>
              </w:tc>
              <w:tc>
                <w:tcPr>
                  <w:tcW w:w="639" w:type="pct"/>
                  <w:tcBorders>
                    <w:tl2br w:val="nil"/>
                    <w:tr2bl w:val="nil"/>
                  </w:tcBorders>
                  <w:noWrap w:val="0"/>
                  <w:vAlign w:val="center"/>
                </w:tcPr>
                <w:p>
                  <w:pPr>
                    <w:pStyle w:val="15"/>
                    <w:bidi w:val="0"/>
                    <w:ind w:firstLine="0" w:firstLineChars="0"/>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cs="Times New Roman"/>
                      <w:b w:val="0"/>
                      <w:bCs w:val="0"/>
                      <w:color w:val="auto"/>
                      <w:highlight w:val="none"/>
                      <w:lang w:val="en-US" w:eastAsia="zh-CN"/>
                    </w:rPr>
                    <w:t>15</w:t>
                  </w:r>
                </w:p>
              </w:tc>
              <w:tc>
                <w:tcPr>
                  <w:tcW w:w="595" w:type="pct"/>
                  <w:tcBorders>
                    <w:tl2br w:val="nil"/>
                    <w:tr2bl w:val="nil"/>
                  </w:tcBorders>
                  <w:noWrap w:val="0"/>
                  <w:vAlign w:val="center"/>
                </w:tcPr>
                <w:p>
                  <w:pPr>
                    <w:pStyle w:val="15"/>
                    <w:bidi w:val="0"/>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居民区</w:t>
                  </w:r>
                </w:p>
              </w:tc>
              <w:tc>
                <w:tcPr>
                  <w:tcW w:w="1006" w:type="pct"/>
                  <w:vMerge w:val="continue"/>
                  <w:tcBorders>
                    <w:tl2br w:val="nil"/>
                    <w:tr2bl w:val="nil"/>
                  </w:tcBorders>
                  <w:noWrap w:val="0"/>
                  <w:vAlign w:val="center"/>
                </w:tcPr>
                <w:p>
                  <w:pPr>
                    <w:pStyle w:val="15"/>
                    <w:bidi w:val="0"/>
                    <w:rPr>
                      <w:rFonts w:hint="default" w:ascii="Times New Roman" w:hAnsi="Times New Roman"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4" w:hRule="atLeast"/>
                <w:jc w:val="center"/>
              </w:trPr>
              <w:tc>
                <w:tcPr>
                  <w:tcW w:w="346" w:type="pct"/>
                  <w:vMerge w:val="continue"/>
                  <w:tcBorders>
                    <w:tl2br w:val="nil"/>
                    <w:tr2bl w:val="nil"/>
                  </w:tcBorders>
                  <w:noWrap w:val="0"/>
                  <w:vAlign w:val="center"/>
                </w:tcPr>
                <w:p>
                  <w:pPr>
                    <w:pStyle w:val="15"/>
                    <w:bidi w:val="0"/>
                    <w:rPr>
                      <w:rFonts w:hint="default" w:ascii="Times New Roman" w:hAnsi="Times New Roman" w:cs="Times New Roman"/>
                      <w:color w:val="auto"/>
                      <w:highlight w:val="none"/>
                    </w:rPr>
                  </w:pPr>
                </w:p>
              </w:tc>
              <w:tc>
                <w:tcPr>
                  <w:tcW w:w="384" w:type="pct"/>
                  <w:vMerge w:val="continue"/>
                  <w:tcBorders>
                    <w:tl2br w:val="nil"/>
                    <w:tr2bl w:val="nil"/>
                  </w:tcBorders>
                  <w:noWrap w:val="0"/>
                  <w:vAlign w:val="center"/>
                </w:tcPr>
                <w:p>
                  <w:pPr>
                    <w:pStyle w:val="15"/>
                    <w:bidi w:val="0"/>
                    <w:ind w:firstLine="0" w:firstLineChars="0"/>
                    <w:rPr>
                      <w:rFonts w:hint="default" w:ascii="Times New Roman" w:hAnsi="Times New Roman" w:eastAsia="宋体" w:cs="Times New Roman"/>
                      <w:color w:val="auto"/>
                      <w:kern w:val="2"/>
                      <w:sz w:val="21"/>
                      <w:szCs w:val="21"/>
                      <w:highlight w:val="none"/>
                      <w:lang w:val="en-US" w:eastAsia="zh-CN" w:bidi="ar-SA"/>
                    </w:rPr>
                  </w:pPr>
                </w:p>
              </w:tc>
              <w:tc>
                <w:tcPr>
                  <w:tcW w:w="264" w:type="pct"/>
                  <w:tcBorders>
                    <w:tl2br w:val="nil"/>
                    <w:tr2bl w:val="nil"/>
                  </w:tcBorders>
                  <w:noWrap w:val="0"/>
                  <w:vAlign w:val="center"/>
                </w:tcPr>
                <w:p>
                  <w:pPr>
                    <w:pStyle w:val="15"/>
                    <w:bidi w:val="0"/>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3</w:t>
                  </w:r>
                </w:p>
              </w:tc>
              <w:tc>
                <w:tcPr>
                  <w:tcW w:w="1158" w:type="pct"/>
                  <w:tcBorders>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油坊沟左岸散户，约5户，约15人</w:t>
                  </w:r>
                </w:p>
              </w:tc>
              <w:tc>
                <w:tcPr>
                  <w:tcW w:w="605" w:type="pct"/>
                  <w:tcBorders>
                    <w:tl2br w:val="nil"/>
                    <w:tr2bl w:val="nil"/>
                  </w:tcBorders>
                  <w:noWrap w:val="0"/>
                  <w:vAlign w:val="center"/>
                </w:tcPr>
                <w:p>
                  <w:pPr>
                    <w:pStyle w:val="15"/>
                    <w:bidi w:val="0"/>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左侧</w:t>
                  </w:r>
                </w:p>
              </w:tc>
              <w:tc>
                <w:tcPr>
                  <w:tcW w:w="639" w:type="pct"/>
                  <w:tcBorders>
                    <w:tl2br w:val="nil"/>
                    <w:tr2bl w:val="nil"/>
                  </w:tcBorders>
                  <w:noWrap w:val="0"/>
                  <w:vAlign w:val="center"/>
                </w:tcPr>
                <w:p>
                  <w:pPr>
                    <w:pStyle w:val="15"/>
                    <w:bidi w:val="0"/>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32</w:t>
                  </w:r>
                </w:p>
              </w:tc>
              <w:tc>
                <w:tcPr>
                  <w:tcW w:w="595" w:type="pct"/>
                  <w:tcBorders>
                    <w:tl2br w:val="nil"/>
                    <w:tr2bl w:val="nil"/>
                  </w:tcBorders>
                  <w:noWrap w:val="0"/>
                  <w:vAlign w:val="center"/>
                </w:tcPr>
                <w:p>
                  <w:pPr>
                    <w:pStyle w:val="15"/>
                    <w:bidi w:val="0"/>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居民区</w:t>
                  </w:r>
                </w:p>
              </w:tc>
              <w:tc>
                <w:tcPr>
                  <w:tcW w:w="1006" w:type="pct"/>
                  <w:vMerge w:val="continue"/>
                  <w:tcBorders>
                    <w:tl2br w:val="nil"/>
                    <w:tr2bl w:val="nil"/>
                  </w:tcBorders>
                  <w:noWrap w:val="0"/>
                  <w:vAlign w:val="center"/>
                </w:tcPr>
                <w:p>
                  <w:pPr>
                    <w:pStyle w:val="15"/>
                    <w:bidi w:val="0"/>
                    <w:rPr>
                      <w:rFonts w:hint="default" w:ascii="Times New Roman" w:hAnsi="Times New Roman"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4" w:hRule="atLeast"/>
                <w:jc w:val="center"/>
              </w:trPr>
              <w:tc>
                <w:tcPr>
                  <w:tcW w:w="346" w:type="pct"/>
                  <w:vMerge w:val="continue"/>
                  <w:tcBorders>
                    <w:tl2br w:val="nil"/>
                    <w:tr2bl w:val="nil"/>
                  </w:tcBorders>
                  <w:noWrap w:val="0"/>
                  <w:vAlign w:val="center"/>
                </w:tcPr>
                <w:p>
                  <w:pPr>
                    <w:pStyle w:val="15"/>
                    <w:bidi w:val="0"/>
                    <w:rPr>
                      <w:rFonts w:hint="default" w:ascii="Times New Roman" w:hAnsi="Times New Roman" w:cs="Times New Roman"/>
                      <w:color w:val="auto"/>
                      <w:highlight w:val="none"/>
                    </w:rPr>
                  </w:pPr>
                </w:p>
              </w:tc>
              <w:tc>
                <w:tcPr>
                  <w:tcW w:w="384" w:type="pct"/>
                  <w:vMerge w:val="continue"/>
                  <w:tcBorders>
                    <w:tl2br w:val="nil"/>
                    <w:tr2bl w:val="nil"/>
                  </w:tcBorders>
                  <w:noWrap w:val="0"/>
                  <w:vAlign w:val="center"/>
                </w:tcPr>
                <w:p>
                  <w:pPr>
                    <w:pStyle w:val="15"/>
                    <w:bidi w:val="0"/>
                    <w:ind w:firstLine="0" w:firstLineChars="0"/>
                    <w:rPr>
                      <w:rFonts w:hint="default" w:ascii="Times New Roman" w:hAnsi="Times New Roman" w:eastAsia="宋体" w:cs="Times New Roman"/>
                      <w:color w:val="auto"/>
                      <w:kern w:val="2"/>
                      <w:sz w:val="21"/>
                      <w:szCs w:val="21"/>
                      <w:highlight w:val="none"/>
                      <w:lang w:val="en-US" w:eastAsia="zh-CN" w:bidi="ar-SA"/>
                    </w:rPr>
                  </w:pPr>
                </w:p>
              </w:tc>
              <w:tc>
                <w:tcPr>
                  <w:tcW w:w="264" w:type="pct"/>
                  <w:tcBorders>
                    <w:tl2br w:val="nil"/>
                    <w:tr2bl w:val="nil"/>
                  </w:tcBorders>
                  <w:noWrap w:val="0"/>
                  <w:vAlign w:val="center"/>
                </w:tcPr>
                <w:p>
                  <w:pPr>
                    <w:pStyle w:val="15"/>
                    <w:bidi w:val="0"/>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4</w:t>
                  </w:r>
                </w:p>
              </w:tc>
              <w:tc>
                <w:tcPr>
                  <w:tcW w:w="1158" w:type="pct"/>
                  <w:tcBorders>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鲤鱼塝居民，约77户，约231人</w:t>
                  </w:r>
                </w:p>
              </w:tc>
              <w:tc>
                <w:tcPr>
                  <w:tcW w:w="605" w:type="pct"/>
                  <w:tcBorders>
                    <w:tl2br w:val="nil"/>
                    <w:tr2bl w:val="nil"/>
                  </w:tcBorders>
                  <w:noWrap w:val="0"/>
                  <w:vAlign w:val="center"/>
                </w:tcPr>
                <w:p>
                  <w:pPr>
                    <w:pStyle w:val="15"/>
                    <w:bidi w:val="0"/>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右侧</w:t>
                  </w:r>
                </w:p>
              </w:tc>
              <w:tc>
                <w:tcPr>
                  <w:tcW w:w="639" w:type="pct"/>
                  <w:tcBorders>
                    <w:tl2br w:val="nil"/>
                    <w:tr2bl w:val="nil"/>
                  </w:tcBorders>
                  <w:noWrap w:val="0"/>
                  <w:vAlign w:val="center"/>
                </w:tcPr>
                <w:p>
                  <w:pPr>
                    <w:pStyle w:val="15"/>
                    <w:bidi w:val="0"/>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21</w:t>
                  </w:r>
                </w:p>
              </w:tc>
              <w:tc>
                <w:tcPr>
                  <w:tcW w:w="595" w:type="pct"/>
                  <w:tcBorders>
                    <w:tl2br w:val="nil"/>
                    <w:tr2bl w:val="nil"/>
                  </w:tcBorders>
                  <w:noWrap w:val="0"/>
                  <w:vAlign w:val="center"/>
                </w:tcPr>
                <w:p>
                  <w:pPr>
                    <w:pStyle w:val="15"/>
                    <w:bidi w:val="0"/>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居民区</w:t>
                  </w:r>
                </w:p>
              </w:tc>
              <w:tc>
                <w:tcPr>
                  <w:tcW w:w="1006" w:type="pct"/>
                  <w:vMerge w:val="continue"/>
                  <w:tcBorders>
                    <w:tl2br w:val="nil"/>
                    <w:tr2bl w:val="nil"/>
                  </w:tcBorders>
                  <w:noWrap w:val="0"/>
                  <w:vAlign w:val="center"/>
                </w:tcPr>
                <w:p>
                  <w:pPr>
                    <w:pStyle w:val="15"/>
                    <w:bidi w:val="0"/>
                    <w:rPr>
                      <w:rFonts w:hint="default" w:ascii="Times New Roman" w:hAnsi="Times New Roman"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4" w:hRule="atLeast"/>
                <w:jc w:val="center"/>
              </w:trPr>
              <w:tc>
                <w:tcPr>
                  <w:tcW w:w="346" w:type="pct"/>
                  <w:vMerge w:val="continue"/>
                  <w:tcBorders>
                    <w:tl2br w:val="nil"/>
                    <w:tr2bl w:val="nil"/>
                  </w:tcBorders>
                  <w:noWrap w:val="0"/>
                  <w:vAlign w:val="center"/>
                </w:tcPr>
                <w:p>
                  <w:pPr>
                    <w:pStyle w:val="15"/>
                    <w:bidi w:val="0"/>
                    <w:rPr>
                      <w:rFonts w:hint="default" w:ascii="Times New Roman" w:hAnsi="Times New Roman" w:cs="Times New Roman"/>
                      <w:color w:val="auto"/>
                      <w:highlight w:val="none"/>
                    </w:rPr>
                  </w:pPr>
                </w:p>
              </w:tc>
              <w:tc>
                <w:tcPr>
                  <w:tcW w:w="384" w:type="pct"/>
                  <w:vMerge w:val="continue"/>
                  <w:tcBorders>
                    <w:tl2br w:val="nil"/>
                    <w:tr2bl w:val="nil"/>
                  </w:tcBorders>
                  <w:noWrap w:val="0"/>
                  <w:vAlign w:val="center"/>
                </w:tcPr>
                <w:p>
                  <w:pPr>
                    <w:pStyle w:val="15"/>
                    <w:bidi w:val="0"/>
                    <w:ind w:firstLine="0" w:firstLineChars="0"/>
                    <w:rPr>
                      <w:rFonts w:hint="default" w:ascii="Times New Roman" w:hAnsi="Times New Roman" w:eastAsia="宋体" w:cs="Times New Roman"/>
                      <w:color w:val="auto"/>
                      <w:kern w:val="2"/>
                      <w:sz w:val="21"/>
                      <w:szCs w:val="21"/>
                      <w:highlight w:val="none"/>
                      <w:lang w:val="en-US" w:eastAsia="zh-CN" w:bidi="ar-SA"/>
                    </w:rPr>
                  </w:pPr>
                </w:p>
              </w:tc>
              <w:tc>
                <w:tcPr>
                  <w:tcW w:w="264" w:type="pct"/>
                  <w:tcBorders>
                    <w:tl2br w:val="nil"/>
                    <w:tr2bl w:val="nil"/>
                  </w:tcBorders>
                  <w:noWrap w:val="0"/>
                  <w:vAlign w:val="center"/>
                </w:tcPr>
                <w:p>
                  <w:pPr>
                    <w:pStyle w:val="15"/>
                    <w:bidi w:val="0"/>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5</w:t>
                  </w:r>
                </w:p>
              </w:tc>
              <w:tc>
                <w:tcPr>
                  <w:tcW w:w="1158" w:type="pct"/>
                  <w:tcBorders>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冯家坝居民，约63户，约189人</w:t>
                  </w:r>
                </w:p>
              </w:tc>
              <w:tc>
                <w:tcPr>
                  <w:tcW w:w="605" w:type="pct"/>
                  <w:tcBorders>
                    <w:tl2br w:val="nil"/>
                    <w:tr2bl w:val="nil"/>
                  </w:tcBorders>
                  <w:noWrap w:val="0"/>
                  <w:vAlign w:val="center"/>
                </w:tcPr>
                <w:p>
                  <w:pPr>
                    <w:pStyle w:val="15"/>
                    <w:bidi w:val="0"/>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左侧</w:t>
                  </w:r>
                </w:p>
              </w:tc>
              <w:tc>
                <w:tcPr>
                  <w:tcW w:w="639" w:type="pct"/>
                  <w:tcBorders>
                    <w:tl2br w:val="nil"/>
                    <w:tr2bl w:val="nil"/>
                  </w:tcBorders>
                  <w:noWrap w:val="0"/>
                  <w:vAlign w:val="center"/>
                </w:tcPr>
                <w:p>
                  <w:pPr>
                    <w:pStyle w:val="15"/>
                    <w:bidi w:val="0"/>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8</w:t>
                  </w:r>
                </w:p>
              </w:tc>
              <w:tc>
                <w:tcPr>
                  <w:tcW w:w="595" w:type="pct"/>
                  <w:tcBorders>
                    <w:tl2br w:val="nil"/>
                    <w:tr2bl w:val="nil"/>
                  </w:tcBorders>
                  <w:noWrap w:val="0"/>
                  <w:vAlign w:val="center"/>
                </w:tcPr>
                <w:p>
                  <w:pPr>
                    <w:pStyle w:val="15"/>
                    <w:bidi w:val="0"/>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居民区</w:t>
                  </w:r>
                </w:p>
              </w:tc>
              <w:tc>
                <w:tcPr>
                  <w:tcW w:w="1006" w:type="pct"/>
                  <w:vMerge w:val="continue"/>
                  <w:tcBorders>
                    <w:tl2br w:val="nil"/>
                    <w:tr2bl w:val="nil"/>
                  </w:tcBorders>
                  <w:noWrap w:val="0"/>
                  <w:vAlign w:val="center"/>
                </w:tcPr>
                <w:p>
                  <w:pPr>
                    <w:pStyle w:val="15"/>
                    <w:bidi w:val="0"/>
                    <w:rPr>
                      <w:rFonts w:hint="default" w:ascii="Times New Roman" w:hAnsi="Times New Roman"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4" w:hRule="atLeast"/>
                <w:jc w:val="center"/>
              </w:trPr>
              <w:tc>
                <w:tcPr>
                  <w:tcW w:w="346" w:type="pct"/>
                  <w:vMerge w:val="continue"/>
                  <w:tcBorders>
                    <w:tl2br w:val="nil"/>
                    <w:tr2bl w:val="nil"/>
                  </w:tcBorders>
                  <w:noWrap w:val="0"/>
                  <w:vAlign w:val="center"/>
                </w:tcPr>
                <w:p>
                  <w:pPr>
                    <w:pStyle w:val="15"/>
                    <w:bidi w:val="0"/>
                    <w:rPr>
                      <w:rFonts w:hint="default" w:ascii="Times New Roman" w:hAnsi="Times New Roman" w:cs="Times New Roman"/>
                      <w:color w:val="auto"/>
                      <w:highlight w:val="none"/>
                    </w:rPr>
                  </w:pPr>
                </w:p>
              </w:tc>
              <w:tc>
                <w:tcPr>
                  <w:tcW w:w="384" w:type="pct"/>
                  <w:vMerge w:val="restart"/>
                  <w:tcBorders>
                    <w:tl2br w:val="nil"/>
                    <w:tr2bl w:val="nil"/>
                  </w:tcBorders>
                  <w:noWrap w:val="0"/>
                  <w:vAlign w:val="center"/>
                </w:tcPr>
                <w:p>
                  <w:pPr>
                    <w:pStyle w:val="15"/>
                    <w:bidi w:val="0"/>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胡家河</w:t>
                  </w:r>
                </w:p>
              </w:tc>
              <w:tc>
                <w:tcPr>
                  <w:tcW w:w="264" w:type="pct"/>
                  <w:tcBorders>
                    <w:tl2br w:val="nil"/>
                    <w:tr2bl w:val="nil"/>
                  </w:tcBorders>
                  <w:noWrap w:val="0"/>
                  <w:vAlign w:val="center"/>
                </w:tcPr>
                <w:p>
                  <w:pPr>
                    <w:pStyle w:val="15"/>
                    <w:bidi w:val="0"/>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6</w:t>
                  </w:r>
                </w:p>
              </w:tc>
              <w:tc>
                <w:tcPr>
                  <w:tcW w:w="2008" w:type="dxa"/>
                  <w:tcBorders>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花房子居民，约6户，约18人</w:t>
                  </w:r>
                </w:p>
              </w:tc>
              <w:tc>
                <w:tcPr>
                  <w:tcW w:w="605" w:type="pct"/>
                  <w:tcBorders>
                    <w:tl2br w:val="nil"/>
                    <w:tr2bl w:val="nil"/>
                  </w:tcBorders>
                  <w:noWrap w:val="0"/>
                  <w:vAlign w:val="center"/>
                </w:tcPr>
                <w:p>
                  <w:pPr>
                    <w:pStyle w:val="15"/>
                    <w:bidi w:val="0"/>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左侧</w:t>
                  </w:r>
                </w:p>
              </w:tc>
              <w:tc>
                <w:tcPr>
                  <w:tcW w:w="639" w:type="pct"/>
                  <w:tcBorders>
                    <w:tl2br w:val="nil"/>
                    <w:tr2bl w:val="nil"/>
                  </w:tcBorders>
                  <w:noWrap w:val="0"/>
                  <w:vAlign w:val="center"/>
                </w:tcPr>
                <w:p>
                  <w:pPr>
                    <w:pStyle w:val="15"/>
                    <w:bidi w:val="0"/>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15</w:t>
                  </w:r>
                </w:p>
              </w:tc>
              <w:tc>
                <w:tcPr>
                  <w:tcW w:w="595" w:type="pct"/>
                  <w:tcBorders>
                    <w:tl2br w:val="nil"/>
                    <w:tr2bl w:val="nil"/>
                  </w:tcBorders>
                  <w:noWrap w:val="0"/>
                  <w:vAlign w:val="center"/>
                </w:tcPr>
                <w:p>
                  <w:pPr>
                    <w:pStyle w:val="15"/>
                    <w:bidi w:val="0"/>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居民区</w:t>
                  </w:r>
                </w:p>
              </w:tc>
              <w:tc>
                <w:tcPr>
                  <w:tcW w:w="1006" w:type="pct"/>
                  <w:vMerge w:val="continue"/>
                  <w:tcBorders>
                    <w:tl2br w:val="nil"/>
                    <w:tr2bl w:val="nil"/>
                  </w:tcBorders>
                  <w:noWrap w:val="0"/>
                  <w:vAlign w:val="center"/>
                </w:tcPr>
                <w:p>
                  <w:pPr>
                    <w:pStyle w:val="15"/>
                    <w:bidi w:val="0"/>
                    <w:rPr>
                      <w:rFonts w:hint="default" w:ascii="Times New Roman" w:hAnsi="Times New Roman"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4" w:hRule="atLeast"/>
                <w:jc w:val="center"/>
              </w:trPr>
              <w:tc>
                <w:tcPr>
                  <w:tcW w:w="346" w:type="pct"/>
                  <w:vMerge w:val="continue"/>
                  <w:tcBorders>
                    <w:tl2br w:val="nil"/>
                    <w:tr2bl w:val="nil"/>
                  </w:tcBorders>
                  <w:noWrap w:val="0"/>
                  <w:vAlign w:val="center"/>
                </w:tcPr>
                <w:p>
                  <w:pPr>
                    <w:pStyle w:val="15"/>
                    <w:bidi w:val="0"/>
                    <w:rPr>
                      <w:rFonts w:hint="default" w:ascii="Times New Roman" w:hAnsi="Times New Roman" w:cs="Times New Roman"/>
                      <w:color w:val="auto"/>
                      <w:highlight w:val="none"/>
                    </w:rPr>
                  </w:pPr>
                </w:p>
              </w:tc>
              <w:tc>
                <w:tcPr>
                  <w:tcW w:w="384" w:type="pct"/>
                  <w:vMerge w:val="continue"/>
                  <w:tcBorders>
                    <w:tl2br w:val="nil"/>
                    <w:tr2bl w:val="nil"/>
                  </w:tcBorders>
                  <w:noWrap w:val="0"/>
                  <w:vAlign w:val="center"/>
                </w:tcPr>
                <w:p>
                  <w:pPr>
                    <w:pStyle w:val="15"/>
                    <w:bidi w:val="0"/>
                    <w:ind w:firstLine="0" w:firstLineChars="0"/>
                    <w:rPr>
                      <w:rFonts w:hint="default" w:ascii="Times New Roman" w:hAnsi="Times New Roman" w:eastAsia="宋体" w:cs="Times New Roman"/>
                      <w:color w:val="auto"/>
                      <w:kern w:val="2"/>
                      <w:sz w:val="21"/>
                      <w:szCs w:val="21"/>
                      <w:highlight w:val="none"/>
                      <w:lang w:val="en-US" w:eastAsia="zh-CN" w:bidi="ar-SA"/>
                    </w:rPr>
                  </w:pPr>
                </w:p>
              </w:tc>
              <w:tc>
                <w:tcPr>
                  <w:tcW w:w="264" w:type="pct"/>
                  <w:tcBorders>
                    <w:tl2br w:val="nil"/>
                    <w:tr2bl w:val="nil"/>
                  </w:tcBorders>
                  <w:noWrap w:val="0"/>
                  <w:vAlign w:val="center"/>
                </w:tcPr>
                <w:p>
                  <w:pPr>
                    <w:pStyle w:val="15"/>
                    <w:bidi w:val="0"/>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7</w:t>
                  </w:r>
                </w:p>
              </w:tc>
              <w:tc>
                <w:tcPr>
                  <w:tcW w:w="2008" w:type="dxa"/>
                  <w:tcBorders>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后营坝左岸居民，约136户，约408人</w:t>
                  </w:r>
                </w:p>
              </w:tc>
              <w:tc>
                <w:tcPr>
                  <w:tcW w:w="605" w:type="pct"/>
                  <w:tcBorders>
                    <w:tl2br w:val="nil"/>
                    <w:tr2bl w:val="nil"/>
                  </w:tcBorders>
                  <w:noWrap w:val="0"/>
                  <w:vAlign w:val="center"/>
                </w:tcPr>
                <w:p>
                  <w:pPr>
                    <w:pStyle w:val="15"/>
                    <w:bidi w:val="0"/>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左侧</w:t>
                  </w:r>
                </w:p>
              </w:tc>
              <w:tc>
                <w:tcPr>
                  <w:tcW w:w="639" w:type="pct"/>
                  <w:tcBorders>
                    <w:tl2br w:val="nil"/>
                    <w:tr2bl w:val="nil"/>
                  </w:tcBorders>
                  <w:noWrap w:val="0"/>
                  <w:vAlign w:val="center"/>
                </w:tcPr>
                <w:p>
                  <w:pPr>
                    <w:pStyle w:val="15"/>
                    <w:bidi w:val="0"/>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35</w:t>
                  </w:r>
                </w:p>
              </w:tc>
              <w:tc>
                <w:tcPr>
                  <w:tcW w:w="595" w:type="pct"/>
                  <w:tcBorders>
                    <w:tl2br w:val="nil"/>
                    <w:tr2bl w:val="nil"/>
                  </w:tcBorders>
                  <w:noWrap w:val="0"/>
                  <w:vAlign w:val="center"/>
                </w:tcPr>
                <w:p>
                  <w:pPr>
                    <w:pStyle w:val="15"/>
                    <w:bidi w:val="0"/>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居民区</w:t>
                  </w:r>
                </w:p>
              </w:tc>
              <w:tc>
                <w:tcPr>
                  <w:tcW w:w="1006" w:type="pct"/>
                  <w:vMerge w:val="continue"/>
                  <w:tcBorders>
                    <w:tl2br w:val="nil"/>
                    <w:tr2bl w:val="nil"/>
                  </w:tcBorders>
                  <w:noWrap w:val="0"/>
                  <w:vAlign w:val="center"/>
                </w:tcPr>
                <w:p>
                  <w:pPr>
                    <w:pStyle w:val="15"/>
                    <w:bidi w:val="0"/>
                    <w:rPr>
                      <w:rFonts w:hint="default" w:ascii="Times New Roman" w:hAnsi="Times New Roman"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4" w:hRule="atLeast"/>
                <w:jc w:val="center"/>
              </w:trPr>
              <w:tc>
                <w:tcPr>
                  <w:tcW w:w="346" w:type="pct"/>
                  <w:vMerge w:val="continue"/>
                  <w:tcBorders>
                    <w:tl2br w:val="nil"/>
                    <w:tr2bl w:val="nil"/>
                  </w:tcBorders>
                  <w:noWrap w:val="0"/>
                  <w:vAlign w:val="center"/>
                </w:tcPr>
                <w:p>
                  <w:pPr>
                    <w:pStyle w:val="15"/>
                    <w:bidi w:val="0"/>
                    <w:rPr>
                      <w:rFonts w:hint="default" w:ascii="Times New Roman" w:hAnsi="Times New Roman" w:cs="Times New Roman"/>
                      <w:color w:val="auto"/>
                      <w:highlight w:val="none"/>
                    </w:rPr>
                  </w:pPr>
                </w:p>
              </w:tc>
              <w:tc>
                <w:tcPr>
                  <w:tcW w:w="384" w:type="pct"/>
                  <w:vMerge w:val="continue"/>
                  <w:tcBorders>
                    <w:tl2br w:val="nil"/>
                    <w:tr2bl w:val="nil"/>
                  </w:tcBorders>
                  <w:noWrap w:val="0"/>
                  <w:vAlign w:val="center"/>
                </w:tcPr>
                <w:p>
                  <w:pPr>
                    <w:pStyle w:val="15"/>
                    <w:bidi w:val="0"/>
                    <w:ind w:firstLine="0" w:firstLineChars="0"/>
                    <w:rPr>
                      <w:rFonts w:hint="default" w:ascii="Times New Roman" w:hAnsi="Times New Roman" w:eastAsia="宋体" w:cs="Times New Roman"/>
                      <w:color w:val="auto"/>
                      <w:kern w:val="2"/>
                      <w:sz w:val="21"/>
                      <w:szCs w:val="21"/>
                      <w:highlight w:val="none"/>
                      <w:lang w:val="en-US" w:eastAsia="zh-CN" w:bidi="ar-SA"/>
                    </w:rPr>
                  </w:pPr>
                </w:p>
              </w:tc>
              <w:tc>
                <w:tcPr>
                  <w:tcW w:w="264" w:type="pct"/>
                  <w:tcBorders>
                    <w:tl2br w:val="nil"/>
                    <w:tr2bl w:val="nil"/>
                  </w:tcBorders>
                  <w:noWrap w:val="0"/>
                  <w:vAlign w:val="center"/>
                </w:tcPr>
                <w:p>
                  <w:pPr>
                    <w:pStyle w:val="15"/>
                    <w:bidi w:val="0"/>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8</w:t>
                  </w:r>
                </w:p>
              </w:tc>
              <w:tc>
                <w:tcPr>
                  <w:tcW w:w="2008" w:type="dxa"/>
                  <w:tcBorders>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后营坝右岸居民，约125户，约375人</w:t>
                  </w:r>
                </w:p>
              </w:tc>
              <w:tc>
                <w:tcPr>
                  <w:tcW w:w="605" w:type="pct"/>
                  <w:tcBorders>
                    <w:tl2br w:val="nil"/>
                    <w:tr2bl w:val="nil"/>
                  </w:tcBorders>
                  <w:noWrap w:val="0"/>
                  <w:vAlign w:val="center"/>
                </w:tcPr>
                <w:p>
                  <w:pPr>
                    <w:pStyle w:val="15"/>
                    <w:bidi w:val="0"/>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右侧</w:t>
                  </w:r>
                </w:p>
              </w:tc>
              <w:tc>
                <w:tcPr>
                  <w:tcW w:w="639" w:type="pct"/>
                  <w:tcBorders>
                    <w:tl2br w:val="nil"/>
                    <w:tr2bl w:val="nil"/>
                  </w:tcBorders>
                  <w:noWrap w:val="0"/>
                  <w:vAlign w:val="center"/>
                </w:tcPr>
                <w:p>
                  <w:pPr>
                    <w:pStyle w:val="15"/>
                    <w:bidi w:val="0"/>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10</w:t>
                  </w:r>
                </w:p>
              </w:tc>
              <w:tc>
                <w:tcPr>
                  <w:tcW w:w="595" w:type="pct"/>
                  <w:tcBorders>
                    <w:tl2br w:val="nil"/>
                    <w:tr2bl w:val="nil"/>
                  </w:tcBorders>
                  <w:noWrap w:val="0"/>
                  <w:vAlign w:val="center"/>
                </w:tcPr>
                <w:p>
                  <w:pPr>
                    <w:pStyle w:val="15"/>
                    <w:bidi w:val="0"/>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居民区</w:t>
                  </w:r>
                </w:p>
              </w:tc>
              <w:tc>
                <w:tcPr>
                  <w:tcW w:w="1006" w:type="pct"/>
                  <w:vMerge w:val="continue"/>
                  <w:tcBorders>
                    <w:tl2br w:val="nil"/>
                    <w:tr2bl w:val="nil"/>
                  </w:tcBorders>
                  <w:noWrap w:val="0"/>
                  <w:vAlign w:val="center"/>
                </w:tcPr>
                <w:p>
                  <w:pPr>
                    <w:pStyle w:val="15"/>
                    <w:bidi w:val="0"/>
                    <w:rPr>
                      <w:rFonts w:hint="default" w:ascii="Times New Roman" w:hAnsi="Times New Roman"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4" w:hRule="atLeast"/>
                <w:jc w:val="center"/>
              </w:trPr>
              <w:tc>
                <w:tcPr>
                  <w:tcW w:w="346" w:type="pct"/>
                  <w:vMerge w:val="continue"/>
                  <w:tcBorders>
                    <w:tl2br w:val="nil"/>
                    <w:tr2bl w:val="nil"/>
                  </w:tcBorders>
                  <w:noWrap w:val="0"/>
                  <w:vAlign w:val="center"/>
                </w:tcPr>
                <w:p>
                  <w:pPr>
                    <w:pStyle w:val="15"/>
                    <w:bidi w:val="0"/>
                    <w:rPr>
                      <w:rFonts w:hint="default" w:ascii="Times New Roman" w:hAnsi="Times New Roman" w:cs="Times New Roman"/>
                      <w:color w:val="auto"/>
                      <w:highlight w:val="none"/>
                    </w:rPr>
                  </w:pPr>
                </w:p>
              </w:tc>
              <w:tc>
                <w:tcPr>
                  <w:tcW w:w="384" w:type="pct"/>
                  <w:vMerge w:val="continue"/>
                  <w:tcBorders>
                    <w:tl2br w:val="nil"/>
                    <w:tr2bl w:val="nil"/>
                  </w:tcBorders>
                  <w:noWrap w:val="0"/>
                  <w:vAlign w:val="center"/>
                </w:tcPr>
                <w:p>
                  <w:pPr>
                    <w:pStyle w:val="15"/>
                    <w:bidi w:val="0"/>
                    <w:ind w:firstLine="0" w:firstLineChars="0"/>
                    <w:rPr>
                      <w:rFonts w:hint="default" w:ascii="Times New Roman" w:hAnsi="Times New Roman" w:eastAsia="宋体" w:cs="Times New Roman"/>
                      <w:color w:val="auto"/>
                      <w:kern w:val="2"/>
                      <w:sz w:val="21"/>
                      <w:szCs w:val="21"/>
                      <w:highlight w:val="none"/>
                      <w:lang w:val="en-US" w:eastAsia="zh-CN" w:bidi="ar-SA"/>
                    </w:rPr>
                  </w:pPr>
                </w:p>
              </w:tc>
              <w:tc>
                <w:tcPr>
                  <w:tcW w:w="264" w:type="pct"/>
                  <w:tcBorders>
                    <w:tl2br w:val="nil"/>
                    <w:tr2bl w:val="nil"/>
                  </w:tcBorders>
                  <w:noWrap w:val="0"/>
                  <w:vAlign w:val="center"/>
                </w:tcPr>
                <w:p>
                  <w:pPr>
                    <w:pStyle w:val="15"/>
                    <w:bidi w:val="0"/>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9</w:t>
                  </w:r>
                </w:p>
              </w:tc>
              <w:tc>
                <w:tcPr>
                  <w:tcW w:w="1158" w:type="pct"/>
                  <w:tcBorders>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明堂湾居民，约26户，约78人</w:t>
                  </w:r>
                </w:p>
              </w:tc>
              <w:tc>
                <w:tcPr>
                  <w:tcW w:w="605" w:type="pct"/>
                  <w:tcBorders>
                    <w:tl2br w:val="nil"/>
                    <w:tr2bl w:val="nil"/>
                  </w:tcBorders>
                  <w:noWrap w:val="0"/>
                  <w:vAlign w:val="center"/>
                </w:tcPr>
                <w:p>
                  <w:pPr>
                    <w:pStyle w:val="15"/>
                    <w:bidi w:val="0"/>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左侧</w:t>
                  </w:r>
                </w:p>
              </w:tc>
              <w:tc>
                <w:tcPr>
                  <w:tcW w:w="639" w:type="pct"/>
                  <w:tcBorders>
                    <w:tl2br w:val="nil"/>
                    <w:tr2bl w:val="nil"/>
                  </w:tcBorders>
                  <w:noWrap w:val="0"/>
                  <w:vAlign w:val="center"/>
                </w:tcPr>
                <w:p>
                  <w:pPr>
                    <w:pStyle w:val="15"/>
                    <w:bidi w:val="0"/>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80</w:t>
                  </w:r>
                </w:p>
              </w:tc>
              <w:tc>
                <w:tcPr>
                  <w:tcW w:w="595" w:type="pct"/>
                  <w:tcBorders>
                    <w:tl2br w:val="nil"/>
                    <w:tr2bl w:val="nil"/>
                  </w:tcBorders>
                  <w:noWrap w:val="0"/>
                  <w:vAlign w:val="center"/>
                </w:tcPr>
                <w:p>
                  <w:pPr>
                    <w:pStyle w:val="15"/>
                    <w:bidi w:val="0"/>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居民区</w:t>
                  </w:r>
                </w:p>
              </w:tc>
              <w:tc>
                <w:tcPr>
                  <w:tcW w:w="1006" w:type="pct"/>
                  <w:vMerge w:val="continue"/>
                  <w:tcBorders>
                    <w:tl2br w:val="nil"/>
                    <w:tr2bl w:val="nil"/>
                  </w:tcBorders>
                  <w:noWrap w:val="0"/>
                  <w:vAlign w:val="center"/>
                </w:tcPr>
                <w:p>
                  <w:pPr>
                    <w:pStyle w:val="15"/>
                    <w:bidi w:val="0"/>
                    <w:rPr>
                      <w:rFonts w:hint="default" w:ascii="Times New Roman" w:hAnsi="Times New Roman" w:cs="Times New Roman"/>
                      <w:color w:val="auto"/>
                      <w:highlight w:val="none"/>
                    </w:rPr>
                  </w:pPr>
                </w:p>
              </w:tc>
            </w:tr>
          </w:tbl>
          <w:p>
            <w:pPr>
              <w:bidi w:val="0"/>
              <w:ind w:left="0" w:leftChars="0" w:firstLine="0" w:firstLineChars="0"/>
              <w:rPr>
                <w:rFonts w:hint="default" w:ascii="Times New Roman" w:hAnsi="Times New Roman" w:cs="Times New Roman"/>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6" w:type="dxa"/>
          </w:tcPr>
          <w:p>
            <w:pPr>
              <w:ind w:left="0" w:leftChars="0" w:firstLine="0" w:firstLineChars="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评价标准</w:t>
            </w:r>
          </w:p>
        </w:tc>
        <w:tc>
          <w:tcPr>
            <w:tcW w:w="8825" w:type="dxa"/>
            <w:vAlign w:val="center"/>
          </w:tcPr>
          <w:p>
            <w:pPr>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一、环境质量标准</w:t>
            </w:r>
          </w:p>
          <w:p>
            <w:pPr>
              <w:bidi w:val="0"/>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1、大气环境</w:t>
            </w:r>
          </w:p>
          <w:p>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项目所处环境空气质量功能分区为二类区，SO</w:t>
            </w:r>
            <w:r>
              <w:rPr>
                <w:rFonts w:hint="default" w:ascii="Times New Roman" w:hAnsi="Times New Roman" w:cs="Times New Roman"/>
                <w:color w:val="auto"/>
                <w:highlight w:val="none"/>
                <w:vertAlign w:val="subscript"/>
              </w:rPr>
              <w:t>2</w:t>
            </w:r>
            <w:r>
              <w:rPr>
                <w:rFonts w:hint="default" w:ascii="Times New Roman" w:hAnsi="Times New Roman" w:cs="Times New Roman"/>
                <w:color w:val="auto"/>
                <w:highlight w:val="none"/>
              </w:rPr>
              <w:t>、NO</w:t>
            </w:r>
            <w:r>
              <w:rPr>
                <w:rFonts w:hint="default" w:ascii="Times New Roman" w:hAnsi="Times New Roman" w:cs="Times New Roman"/>
                <w:color w:val="auto"/>
                <w:highlight w:val="none"/>
                <w:vertAlign w:val="subscript"/>
              </w:rPr>
              <w:t>2</w:t>
            </w:r>
            <w:r>
              <w:rPr>
                <w:rFonts w:hint="default" w:ascii="Times New Roman" w:hAnsi="Times New Roman" w:cs="Times New Roman"/>
                <w:color w:val="auto"/>
                <w:highlight w:val="none"/>
              </w:rPr>
              <w:t>、PM</w:t>
            </w:r>
            <w:r>
              <w:rPr>
                <w:rFonts w:hint="default" w:ascii="Times New Roman" w:hAnsi="Times New Roman" w:cs="Times New Roman"/>
                <w:color w:val="auto"/>
                <w:highlight w:val="none"/>
                <w:vertAlign w:val="subscript"/>
              </w:rPr>
              <w:t>10</w:t>
            </w:r>
            <w:r>
              <w:rPr>
                <w:rFonts w:hint="default" w:ascii="Times New Roman" w:hAnsi="Times New Roman" w:cs="Times New Roman"/>
                <w:color w:val="auto"/>
                <w:highlight w:val="none"/>
              </w:rPr>
              <w:t>执行《环境空气质量标准》（GB3095-2012）的二级标准，见表3-</w:t>
            </w:r>
            <w:r>
              <w:rPr>
                <w:rFonts w:hint="default" w:ascii="Times New Roman" w:hAnsi="Times New Roman" w:cs="Times New Roman"/>
                <w:color w:val="auto"/>
                <w:highlight w:val="none"/>
                <w:lang w:val="en-US" w:eastAsia="zh-CN"/>
              </w:rPr>
              <w:t>14</w:t>
            </w:r>
            <w:r>
              <w:rPr>
                <w:rFonts w:hint="default" w:ascii="Times New Roman" w:hAnsi="Times New Roman" w:cs="Times New Roman"/>
                <w:color w:val="auto"/>
                <w:highlight w:val="none"/>
              </w:rPr>
              <w:t>。</w:t>
            </w:r>
          </w:p>
          <w:p>
            <w:pPr>
              <w:pStyle w:val="16"/>
              <w:bidi w:val="0"/>
              <w:rPr>
                <w:rFonts w:hint="default" w:ascii="Times New Roman" w:hAnsi="Times New Roman" w:cs="Times New Roman"/>
                <w:highlight w:val="none"/>
              </w:rPr>
            </w:pPr>
            <w:r>
              <w:rPr>
                <w:rFonts w:hint="default" w:ascii="Times New Roman" w:hAnsi="Times New Roman" w:cs="Times New Roman"/>
                <w:highlight w:val="none"/>
              </w:rPr>
              <w:t>表3-</w:t>
            </w:r>
            <w:r>
              <w:rPr>
                <w:rFonts w:hint="default" w:ascii="Times New Roman" w:hAnsi="Times New Roman" w:cs="Times New Roman"/>
                <w:highlight w:val="none"/>
                <w:lang w:val="en-US" w:eastAsia="zh-CN"/>
              </w:rPr>
              <w:t>14</w:t>
            </w:r>
            <w:r>
              <w:rPr>
                <w:rFonts w:hint="default" w:ascii="Times New Roman" w:hAnsi="Times New Roman" w:cs="Times New Roman"/>
                <w:highlight w:val="none"/>
              </w:rPr>
              <w:t xml:space="preserve">  环境空气质量标准   单位：mg/m</w:t>
            </w:r>
            <w:r>
              <w:rPr>
                <w:rFonts w:hint="default" w:ascii="Times New Roman" w:hAnsi="Times New Roman" w:cs="Times New Roman"/>
                <w:highlight w:val="none"/>
                <w:vertAlign w:val="superscript"/>
              </w:rPr>
              <w:t>3</w:t>
            </w:r>
          </w:p>
          <w:tbl>
            <w:tblPr>
              <w:tblStyle w:val="11"/>
              <w:tblW w:w="860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72"/>
              <w:gridCol w:w="1833"/>
              <w:gridCol w:w="1289"/>
              <w:gridCol w:w="1504"/>
              <w:gridCol w:w="1294"/>
              <w:gridCol w:w="150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3005" w:type="dxa"/>
                  <w:gridSpan w:val="2"/>
                  <w:tcBorders>
                    <w:tl2br w:val="nil"/>
                    <w:tr2bl w:val="nil"/>
                  </w:tcBorders>
                  <w:noWrap w:val="0"/>
                  <w:vAlign w:val="center"/>
                </w:tcPr>
                <w:p>
                  <w:pPr>
                    <w:pStyle w:val="15"/>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污染物名称</w:t>
                  </w:r>
                </w:p>
              </w:tc>
              <w:tc>
                <w:tcPr>
                  <w:tcW w:w="1289" w:type="dxa"/>
                  <w:tcBorders>
                    <w:tl2br w:val="nil"/>
                    <w:tr2bl w:val="nil"/>
                  </w:tcBorders>
                  <w:noWrap w:val="0"/>
                  <w:vAlign w:val="center"/>
                </w:tcPr>
                <w:p>
                  <w:pPr>
                    <w:pStyle w:val="15"/>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SO</w:t>
                  </w:r>
                  <w:r>
                    <w:rPr>
                      <w:rFonts w:hint="default" w:ascii="Times New Roman" w:hAnsi="Times New Roman" w:cs="Times New Roman"/>
                      <w:b/>
                      <w:bCs/>
                      <w:color w:val="auto"/>
                      <w:highlight w:val="none"/>
                      <w:vertAlign w:val="subscript"/>
                    </w:rPr>
                    <w:t>2</w:t>
                  </w:r>
                </w:p>
              </w:tc>
              <w:tc>
                <w:tcPr>
                  <w:tcW w:w="1504" w:type="dxa"/>
                  <w:tcBorders>
                    <w:tl2br w:val="nil"/>
                    <w:tr2bl w:val="nil"/>
                  </w:tcBorders>
                  <w:noWrap w:val="0"/>
                  <w:vAlign w:val="center"/>
                </w:tcPr>
                <w:p>
                  <w:pPr>
                    <w:pStyle w:val="15"/>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NO</w:t>
                  </w:r>
                  <w:r>
                    <w:rPr>
                      <w:rFonts w:hint="default" w:ascii="Times New Roman" w:hAnsi="Times New Roman" w:cs="Times New Roman"/>
                      <w:b/>
                      <w:bCs/>
                      <w:color w:val="auto"/>
                      <w:highlight w:val="none"/>
                      <w:vertAlign w:val="subscript"/>
                    </w:rPr>
                    <w:t>2</w:t>
                  </w:r>
                </w:p>
              </w:tc>
              <w:tc>
                <w:tcPr>
                  <w:tcW w:w="1294" w:type="dxa"/>
                  <w:tcBorders>
                    <w:tl2br w:val="nil"/>
                    <w:tr2bl w:val="nil"/>
                  </w:tcBorders>
                  <w:noWrap w:val="0"/>
                  <w:vAlign w:val="center"/>
                </w:tcPr>
                <w:p>
                  <w:pPr>
                    <w:pStyle w:val="15"/>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PM</w:t>
                  </w:r>
                  <w:r>
                    <w:rPr>
                      <w:rFonts w:hint="default" w:ascii="Times New Roman" w:hAnsi="Times New Roman" w:cs="Times New Roman"/>
                      <w:b/>
                      <w:bCs/>
                      <w:color w:val="auto"/>
                      <w:highlight w:val="none"/>
                      <w:vertAlign w:val="subscript"/>
                    </w:rPr>
                    <w:t>10</w:t>
                  </w:r>
                </w:p>
              </w:tc>
              <w:tc>
                <w:tcPr>
                  <w:tcW w:w="1508" w:type="dxa"/>
                  <w:tcBorders>
                    <w:tl2br w:val="nil"/>
                    <w:tr2bl w:val="nil"/>
                  </w:tcBorders>
                  <w:noWrap w:val="0"/>
                  <w:vAlign w:val="center"/>
                </w:tcPr>
                <w:p>
                  <w:pPr>
                    <w:pStyle w:val="15"/>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PM</w:t>
                  </w:r>
                  <w:r>
                    <w:rPr>
                      <w:rFonts w:hint="default" w:ascii="Times New Roman" w:hAnsi="Times New Roman" w:cs="Times New Roman"/>
                      <w:b/>
                      <w:bCs/>
                      <w:color w:val="auto"/>
                      <w:highlight w:val="none"/>
                      <w:vertAlign w:val="subscript"/>
                    </w:rPr>
                    <w:t>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67" w:hRule="atLeast"/>
                <w:jc w:val="center"/>
              </w:trPr>
              <w:tc>
                <w:tcPr>
                  <w:tcW w:w="1172" w:type="dxa"/>
                  <w:vMerge w:val="restart"/>
                  <w:tcBorders>
                    <w:tl2br w:val="nil"/>
                    <w:tr2bl w:val="nil"/>
                  </w:tcBorders>
                  <w:noWrap w:val="0"/>
                  <w:vAlign w:val="center"/>
                </w:tcPr>
                <w:p>
                  <w:pPr>
                    <w:pStyle w:val="15"/>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取值时间</w:t>
                  </w:r>
                </w:p>
              </w:tc>
              <w:tc>
                <w:tcPr>
                  <w:tcW w:w="1833" w:type="dxa"/>
                  <w:tcBorders>
                    <w:tl2br w:val="nil"/>
                    <w:tr2bl w:val="nil"/>
                  </w:tcBorders>
                  <w:noWrap w:val="0"/>
                  <w:vAlign w:val="center"/>
                </w:tcPr>
                <w:p>
                  <w:pPr>
                    <w:pStyle w:val="15"/>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1小时平均均值</w:t>
                  </w:r>
                </w:p>
              </w:tc>
              <w:tc>
                <w:tcPr>
                  <w:tcW w:w="1289"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0.50</w:t>
                  </w:r>
                </w:p>
              </w:tc>
              <w:tc>
                <w:tcPr>
                  <w:tcW w:w="1504"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0.20</w:t>
                  </w:r>
                </w:p>
              </w:tc>
              <w:tc>
                <w:tcPr>
                  <w:tcW w:w="1294"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1508"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67" w:hRule="atLeast"/>
                <w:jc w:val="center"/>
              </w:trPr>
              <w:tc>
                <w:tcPr>
                  <w:tcW w:w="1172" w:type="dxa"/>
                  <w:vMerge w:val="continue"/>
                  <w:tcBorders>
                    <w:tl2br w:val="nil"/>
                    <w:tr2bl w:val="nil"/>
                  </w:tcBorders>
                  <w:noWrap w:val="0"/>
                  <w:vAlign w:val="center"/>
                </w:tcPr>
                <w:p>
                  <w:pPr>
                    <w:pStyle w:val="15"/>
                    <w:bidi w:val="0"/>
                    <w:rPr>
                      <w:rFonts w:hint="default" w:ascii="Times New Roman" w:hAnsi="Times New Roman" w:cs="Times New Roman"/>
                      <w:b/>
                      <w:bCs/>
                      <w:color w:val="auto"/>
                      <w:highlight w:val="none"/>
                    </w:rPr>
                  </w:pPr>
                </w:p>
              </w:tc>
              <w:tc>
                <w:tcPr>
                  <w:tcW w:w="1833" w:type="dxa"/>
                  <w:tcBorders>
                    <w:tl2br w:val="nil"/>
                    <w:tr2bl w:val="nil"/>
                  </w:tcBorders>
                  <w:noWrap w:val="0"/>
                  <w:vAlign w:val="center"/>
                </w:tcPr>
                <w:p>
                  <w:pPr>
                    <w:pStyle w:val="15"/>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日平均值</w:t>
                  </w:r>
                </w:p>
              </w:tc>
              <w:tc>
                <w:tcPr>
                  <w:tcW w:w="1289"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0.15</w:t>
                  </w:r>
                </w:p>
              </w:tc>
              <w:tc>
                <w:tcPr>
                  <w:tcW w:w="1504"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0.08</w:t>
                  </w:r>
                </w:p>
              </w:tc>
              <w:tc>
                <w:tcPr>
                  <w:tcW w:w="1294"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0.15</w:t>
                  </w:r>
                </w:p>
              </w:tc>
              <w:tc>
                <w:tcPr>
                  <w:tcW w:w="1508"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0.075</w:t>
                  </w:r>
                </w:p>
              </w:tc>
            </w:tr>
          </w:tbl>
          <w:p>
            <w:pPr>
              <w:numPr>
                <w:ilvl w:val="0"/>
                <w:numId w:val="7"/>
              </w:numPr>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地表水环境：</w:t>
            </w:r>
          </w:p>
          <w:p>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项目地表水执行《地表水环境质量标准》(GB3838-2002)</w:t>
            </w:r>
            <w:r>
              <w:rPr>
                <w:rFonts w:hint="default" w:ascii="Times New Roman" w:hAnsi="Times New Roman" w:cs="Times New Roman"/>
                <w:highlight w:val="none"/>
                <w:lang w:eastAsia="zh-CN"/>
              </w:rPr>
              <w:t>Ⅲ</w:t>
            </w:r>
            <w:r>
              <w:rPr>
                <w:rFonts w:hint="default" w:ascii="Times New Roman" w:hAnsi="Times New Roman" w:cs="Times New Roman"/>
                <w:color w:val="auto"/>
                <w:highlight w:val="none"/>
              </w:rPr>
              <w:t>类水域水质标准，具体标准值详见下表3-</w:t>
            </w:r>
            <w:r>
              <w:rPr>
                <w:rFonts w:hint="default" w:ascii="Times New Roman" w:hAnsi="Times New Roman" w:cs="Times New Roman"/>
                <w:color w:val="auto"/>
                <w:highlight w:val="none"/>
                <w:lang w:val="en-US" w:eastAsia="zh-CN"/>
              </w:rPr>
              <w:t>15</w:t>
            </w:r>
            <w:r>
              <w:rPr>
                <w:rFonts w:hint="default" w:ascii="Times New Roman" w:hAnsi="Times New Roman" w:cs="Times New Roman"/>
                <w:color w:val="auto"/>
                <w:highlight w:val="none"/>
              </w:rPr>
              <w:t>。</w:t>
            </w:r>
          </w:p>
          <w:p>
            <w:pPr>
              <w:pStyle w:val="16"/>
              <w:bidi w:val="0"/>
              <w:rPr>
                <w:rFonts w:hint="default" w:ascii="Times New Roman" w:hAnsi="Times New Roman" w:cs="Times New Roman"/>
                <w:highlight w:val="none"/>
              </w:rPr>
            </w:pPr>
          </w:p>
          <w:p>
            <w:pPr>
              <w:pStyle w:val="16"/>
              <w:bidi w:val="0"/>
              <w:rPr>
                <w:rFonts w:hint="default" w:ascii="Times New Roman" w:hAnsi="Times New Roman" w:cs="Times New Roman"/>
                <w:highlight w:val="none"/>
              </w:rPr>
            </w:pPr>
            <w:r>
              <w:rPr>
                <w:rFonts w:hint="default" w:ascii="Times New Roman" w:hAnsi="Times New Roman" w:cs="Times New Roman"/>
                <w:highlight w:val="none"/>
              </w:rPr>
              <w:t>表3-</w:t>
            </w:r>
            <w:r>
              <w:rPr>
                <w:rFonts w:hint="default" w:ascii="Times New Roman" w:hAnsi="Times New Roman" w:cs="Times New Roman"/>
                <w:highlight w:val="none"/>
                <w:lang w:val="en-US" w:eastAsia="zh-CN"/>
              </w:rPr>
              <w:t>15</w:t>
            </w:r>
            <w:r>
              <w:rPr>
                <w:rFonts w:hint="default" w:ascii="Times New Roman" w:hAnsi="Times New Roman" w:cs="Times New Roman"/>
                <w:highlight w:val="none"/>
              </w:rPr>
              <w:t xml:space="preserve">  地表水环境评价标准  单位：mg/L</w:t>
            </w:r>
          </w:p>
          <w:tbl>
            <w:tblPr>
              <w:tblStyle w:val="11"/>
              <w:tblW w:w="859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65"/>
              <w:gridCol w:w="1002"/>
              <w:gridCol w:w="1127"/>
              <w:gridCol w:w="1062"/>
              <w:gridCol w:w="1062"/>
              <w:gridCol w:w="1062"/>
              <w:gridCol w:w="1062"/>
              <w:gridCol w:w="115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16" w:hRule="atLeast"/>
                <w:jc w:val="center"/>
              </w:trPr>
              <w:tc>
                <w:tcPr>
                  <w:tcW w:w="1065" w:type="dxa"/>
                  <w:tcBorders>
                    <w:tl2br w:val="nil"/>
                    <w:tr2bl w:val="nil"/>
                  </w:tcBorders>
                  <w:noWrap w:val="0"/>
                  <w:vAlign w:val="center"/>
                </w:tcPr>
                <w:p>
                  <w:pPr>
                    <w:pStyle w:val="15"/>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指标</w:t>
                  </w:r>
                </w:p>
              </w:tc>
              <w:tc>
                <w:tcPr>
                  <w:tcW w:w="1002" w:type="dxa"/>
                  <w:tcBorders>
                    <w:tl2br w:val="nil"/>
                    <w:tr2bl w:val="nil"/>
                  </w:tcBorders>
                  <w:noWrap w:val="0"/>
                  <w:vAlign w:val="center"/>
                </w:tcPr>
                <w:p>
                  <w:pPr>
                    <w:pStyle w:val="15"/>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pH</w:t>
                  </w:r>
                </w:p>
              </w:tc>
              <w:tc>
                <w:tcPr>
                  <w:tcW w:w="1127" w:type="dxa"/>
                  <w:tcBorders>
                    <w:tl2br w:val="nil"/>
                    <w:tr2bl w:val="nil"/>
                  </w:tcBorders>
                  <w:noWrap w:val="0"/>
                  <w:vAlign w:val="center"/>
                </w:tcPr>
                <w:p>
                  <w:pPr>
                    <w:pStyle w:val="15"/>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COD</w:t>
                  </w:r>
                </w:p>
              </w:tc>
              <w:tc>
                <w:tcPr>
                  <w:tcW w:w="1062" w:type="dxa"/>
                  <w:tcBorders>
                    <w:tl2br w:val="nil"/>
                    <w:tr2bl w:val="nil"/>
                  </w:tcBorders>
                  <w:noWrap w:val="0"/>
                  <w:vAlign w:val="center"/>
                </w:tcPr>
                <w:p>
                  <w:pPr>
                    <w:pStyle w:val="15"/>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BOD</w:t>
                  </w:r>
                  <w:r>
                    <w:rPr>
                      <w:rFonts w:hint="default" w:ascii="Times New Roman" w:hAnsi="Times New Roman" w:cs="Times New Roman"/>
                      <w:b/>
                      <w:bCs/>
                      <w:color w:val="auto"/>
                      <w:highlight w:val="none"/>
                      <w:vertAlign w:val="subscript"/>
                    </w:rPr>
                    <w:t>5</w:t>
                  </w:r>
                </w:p>
              </w:tc>
              <w:tc>
                <w:tcPr>
                  <w:tcW w:w="1062" w:type="dxa"/>
                  <w:tcBorders>
                    <w:tl2br w:val="nil"/>
                    <w:tr2bl w:val="nil"/>
                  </w:tcBorders>
                  <w:noWrap w:val="0"/>
                  <w:vAlign w:val="center"/>
                </w:tcPr>
                <w:p>
                  <w:pPr>
                    <w:pStyle w:val="15"/>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石油类</w:t>
                  </w:r>
                </w:p>
              </w:tc>
              <w:tc>
                <w:tcPr>
                  <w:tcW w:w="1062" w:type="dxa"/>
                  <w:tcBorders>
                    <w:tl2br w:val="nil"/>
                    <w:tr2bl w:val="nil"/>
                  </w:tcBorders>
                  <w:noWrap w:val="0"/>
                  <w:vAlign w:val="center"/>
                </w:tcPr>
                <w:p>
                  <w:pPr>
                    <w:pStyle w:val="15"/>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氨氮</w:t>
                  </w:r>
                </w:p>
              </w:tc>
              <w:tc>
                <w:tcPr>
                  <w:tcW w:w="1062" w:type="dxa"/>
                  <w:tcBorders>
                    <w:tl2br w:val="nil"/>
                    <w:tr2bl w:val="nil"/>
                  </w:tcBorders>
                  <w:noWrap w:val="0"/>
                  <w:vAlign w:val="center"/>
                </w:tcPr>
                <w:p>
                  <w:pPr>
                    <w:pStyle w:val="15"/>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悬浮物</w:t>
                  </w:r>
                </w:p>
              </w:tc>
              <w:tc>
                <w:tcPr>
                  <w:tcW w:w="1154" w:type="dxa"/>
                  <w:tcBorders>
                    <w:tl2br w:val="nil"/>
                    <w:tr2bl w:val="nil"/>
                  </w:tcBorders>
                  <w:noWrap w:val="0"/>
                  <w:vAlign w:val="center"/>
                </w:tcPr>
                <w:p>
                  <w:pPr>
                    <w:pStyle w:val="15"/>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总磷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65"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b/>
                      <w:bCs/>
                      <w:color w:val="auto"/>
                      <w:highlight w:val="none"/>
                    </w:rPr>
                    <w:t>标准值</w:t>
                  </w:r>
                </w:p>
              </w:tc>
              <w:tc>
                <w:tcPr>
                  <w:tcW w:w="1002"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6～9</w:t>
                  </w:r>
                </w:p>
              </w:tc>
              <w:tc>
                <w:tcPr>
                  <w:tcW w:w="1127" w:type="dxa"/>
                  <w:tcBorders>
                    <w:tl2br w:val="nil"/>
                    <w:tr2bl w:val="nil"/>
                  </w:tcBorders>
                  <w:noWrap w:val="0"/>
                  <w:vAlign w:val="center"/>
                </w:tcPr>
                <w:p>
                  <w:pPr>
                    <w:pStyle w:val="15"/>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20</w:t>
                  </w:r>
                </w:p>
              </w:tc>
              <w:tc>
                <w:tcPr>
                  <w:tcW w:w="1062" w:type="dxa"/>
                  <w:tcBorders>
                    <w:tl2br w:val="nil"/>
                    <w:tr2bl w:val="nil"/>
                  </w:tcBorders>
                  <w:noWrap w:val="0"/>
                  <w:vAlign w:val="center"/>
                </w:tcPr>
                <w:p>
                  <w:pPr>
                    <w:pStyle w:val="15"/>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4</w:t>
                  </w:r>
                </w:p>
              </w:tc>
              <w:tc>
                <w:tcPr>
                  <w:tcW w:w="1062"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≤0.05</w:t>
                  </w:r>
                </w:p>
              </w:tc>
              <w:tc>
                <w:tcPr>
                  <w:tcW w:w="1062" w:type="dxa"/>
                  <w:tcBorders>
                    <w:tl2br w:val="nil"/>
                    <w:tr2bl w:val="nil"/>
                  </w:tcBorders>
                  <w:noWrap w:val="0"/>
                  <w:vAlign w:val="center"/>
                </w:tcPr>
                <w:p>
                  <w:pPr>
                    <w:pStyle w:val="15"/>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1.0</w:t>
                  </w:r>
                </w:p>
              </w:tc>
              <w:tc>
                <w:tcPr>
                  <w:tcW w:w="1062"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1154" w:type="dxa"/>
                  <w:tcBorders>
                    <w:tl2br w:val="nil"/>
                    <w:tr2bl w:val="nil"/>
                  </w:tcBorders>
                  <w:noWrap w:val="0"/>
                  <w:vAlign w:val="center"/>
                </w:tcPr>
                <w:p>
                  <w:pPr>
                    <w:pStyle w:val="15"/>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≤0.</w:t>
                  </w:r>
                  <w:r>
                    <w:rPr>
                      <w:rFonts w:hint="default" w:ascii="Times New Roman" w:hAnsi="Times New Roman" w:cs="Times New Roman"/>
                      <w:color w:val="auto"/>
                      <w:highlight w:val="none"/>
                      <w:lang w:val="en-US" w:eastAsia="zh-CN"/>
                    </w:rPr>
                    <w:t>2</w:t>
                  </w:r>
                </w:p>
              </w:tc>
            </w:tr>
          </w:tbl>
          <w:p>
            <w:pPr>
              <w:numPr>
                <w:ilvl w:val="0"/>
                <w:numId w:val="7"/>
              </w:numPr>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声环境：</w:t>
            </w:r>
          </w:p>
          <w:p>
            <w:pPr>
              <w:bidi w:val="0"/>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区域环境噪声执行《声环境质量标准》（GB3096-2008）2类标准</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具体标准值详见下表3-</w:t>
            </w:r>
            <w:r>
              <w:rPr>
                <w:rFonts w:hint="default" w:ascii="Times New Roman" w:hAnsi="Times New Roman" w:cs="Times New Roman"/>
                <w:color w:val="auto"/>
                <w:highlight w:val="none"/>
                <w:lang w:val="en-US" w:eastAsia="zh-CN"/>
              </w:rPr>
              <w:t>16</w:t>
            </w:r>
            <w:r>
              <w:rPr>
                <w:rFonts w:hint="default" w:ascii="Times New Roman" w:hAnsi="Times New Roman" w:cs="Times New Roman"/>
                <w:color w:val="auto"/>
                <w:highlight w:val="none"/>
              </w:rPr>
              <w:t>。</w:t>
            </w:r>
          </w:p>
          <w:p>
            <w:pPr>
              <w:pStyle w:val="16"/>
              <w:bidi w:val="0"/>
              <w:rPr>
                <w:rFonts w:hint="default" w:ascii="Times New Roman" w:hAnsi="Times New Roman" w:cs="Times New Roman"/>
                <w:highlight w:val="none"/>
              </w:rPr>
            </w:pPr>
            <w:r>
              <w:rPr>
                <w:rFonts w:hint="default" w:ascii="Times New Roman" w:hAnsi="Times New Roman" w:cs="Times New Roman"/>
                <w:highlight w:val="none"/>
              </w:rPr>
              <w:t>表3-</w:t>
            </w:r>
            <w:r>
              <w:rPr>
                <w:rFonts w:hint="default" w:ascii="Times New Roman" w:hAnsi="Times New Roman" w:cs="Times New Roman"/>
                <w:highlight w:val="none"/>
                <w:lang w:val="en-US" w:eastAsia="zh-CN"/>
              </w:rPr>
              <w:t>16</w:t>
            </w:r>
            <w:r>
              <w:rPr>
                <w:rFonts w:hint="default" w:ascii="Times New Roman" w:hAnsi="Times New Roman" w:cs="Times New Roman"/>
                <w:highlight w:val="none"/>
              </w:rPr>
              <w:t xml:space="preserve">  环境噪声标准值表    等效声级 LAeq：dB</w:t>
            </w:r>
          </w:p>
          <w:tbl>
            <w:tblPr>
              <w:tblStyle w:val="11"/>
              <w:tblW w:w="8600" w:type="dxa"/>
              <w:jc w:val="center"/>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3287"/>
              <w:gridCol w:w="2617"/>
              <w:gridCol w:w="2696"/>
            </w:tblGrid>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2" w:hRule="atLeast"/>
                <w:jc w:val="center"/>
              </w:trPr>
              <w:tc>
                <w:tcPr>
                  <w:tcW w:w="3287" w:type="dxa"/>
                  <w:tcBorders>
                    <w:tl2br w:val="nil"/>
                    <w:tr2bl w:val="nil"/>
                  </w:tcBorders>
                  <w:noWrap w:val="0"/>
                  <w:tcMar>
                    <w:top w:w="0" w:type="dxa"/>
                    <w:left w:w="28" w:type="dxa"/>
                    <w:bottom w:w="0" w:type="dxa"/>
                    <w:right w:w="28" w:type="dxa"/>
                  </w:tcMar>
                  <w:vAlign w:val="center"/>
                </w:tcPr>
                <w:p>
                  <w:pPr>
                    <w:pStyle w:val="15"/>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类别</w:t>
                  </w:r>
                </w:p>
              </w:tc>
              <w:tc>
                <w:tcPr>
                  <w:tcW w:w="2617" w:type="dxa"/>
                  <w:tcBorders>
                    <w:tl2br w:val="nil"/>
                    <w:tr2bl w:val="nil"/>
                  </w:tcBorders>
                  <w:noWrap w:val="0"/>
                  <w:tcMar>
                    <w:top w:w="0" w:type="dxa"/>
                    <w:left w:w="28" w:type="dxa"/>
                    <w:bottom w:w="0" w:type="dxa"/>
                    <w:right w:w="28" w:type="dxa"/>
                  </w:tcMar>
                  <w:vAlign w:val="center"/>
                </w:tcPr>
                <w:p>
                  <w:pPr>
                    <w:pStyle w:val="15"/>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昼间</w:t>
                  </w:r>
                </w:p>
              </w:tc>
              <w:tc>
                <w:tcPr>
                  <w:tcW w:w="2696" w:type="dxa"/>
                  <w:tcBorders>
                    <w:tl2br w:val="nil"/>
                    <w:tr2bl w:val="nil"/>
                  </w:tcBorders>
                  <w:noWrap w:val="0"/>
                  <w:tcMar>
                    <w:top w:w="0" w:type="dxa"/>
                    <w:left w:w="28" w:type="dxa"/>
                    <w:bottom w:w="0" w:type="dxa"/>
                    <w:right w:w="28" w:type="dxa"/>
                  </w:tcMar>
                  <w:vAlign w:val="center"/>
                </w:tcPr>
                <w:p>
                  <w:pPr>
                    <w:pStyle w:val="15"/>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夜间</w:t>
                  </w: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2" w:hRule="atLeast"/>
                <w:jc w:val="center"/>
              </w:trPr>
              <w:tc>
                <w:tcPr>
                  <w:tcW w:w="3287" w:type="dxa"/>
                  <w:tcBorders>
                    <w:tl2br w:val="nil"/>
                    <w:tr2bl w:val="nil"/>
                  </w:tcBorders>
                  <w:noWrap w:val="0"/>
                  <w:tcMar>
                    <w:top w:w="0" w:type="dxa"/>
                    <w:left w:w="28" w:type="dxa"/>
                    <w:bottom w:w="0" w:type="dxa"/>
                    <w:right w:w="28" w:type="dxa"/>
                  </w:tcMar>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b/>
                      <w:bCs/>
                      <w:color w:val="auto"/>
                      <w:highlight w:val="none"/>
                    </w:rPr>
                    <w:t>2类标准</w:t>
                  </w:r>
                </w:p>
              </w:tc>
              <w:tc>
                <w:tcPr>
                  <w:tcW w:w="2617" w:type="dxa"/>
                  <w:tcBorders>
                    <w:tl2br w:val="nil"/>
                    <w:tr2bl w:val="nil"/>
                  </w:tcBorders>
                  <w:noWrap w:val="0"/>
                  <w:tcMar>
                    <w:top w:w="0" w:type="dxa"/>
                    <w:left w:w="28" w:type="dxa"/>
                    <w:bottom w:w="0" w:type="dxa"/>
                    <w:right w:w="28" w:type="dxa"/>
                  </w:tcMar>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60</w:t>
                  </w:r>
                </w:p>
              </w:tc>
              <w:tc>
                <w:tcPr>
                  <w:tcW w:w="2696" w:type="dxa"/>
                  <w:tcBorders>
                    <w:tl2br w:val="nil"/>
                    <w:tr2bl w:val="nil"/>
                  </w:tcBorders>
                  <w:noWrap w:val="0"/>
                  <w:tcMar>
                    <w:top w:w="0" w:type="dxa"/>
                    <w:left w:w="28" w:type="dxa"/>
                    <w:bottom w:w="0" w:type="dxa"/>
                    <w:right w:w="28" w:type="dxa"/>
                  </w:tcMar>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50</w:t>
                  </w:r>
                </w:p>
              </w:tc>
            </w:tr>
          </w:tbl>
          <w:p>
            <w:pPr>
              <w:bidi w:val="0"/>
              <w:rPr>
                <w:rFonts w:hint="default" w:ascii="Times New Roman" w:hAnsi="Times New Roman" w:cs="Times New Roman"/>
                <w:color w:val="auto"/>
                <w:highlight w:val="none"/>
                <w:lang w:eastAsia="zh-CN"/>
              </w:rPr>
            </w:pPr>
            <w:r>
              <w:rPr>
                <w:rFonts w:hint="default" w:ascii="Times New Roman" w:hAnsi="Times New Roman" w:cs="Times New Roman"/>
                <w:b/>
                <w:bCs/>
                <w:color w:val="auto"/>
                <w:highlight w:val="none"/>
                <w:lang w:val="en-US" w:eastAsia="zh-CN"/>
              </w:rPr>
              <w:t>4、</w:t>
            </w:r>
            <w:r>
              <w:rPr>
                <w:rFonts w:hint="default" w:ascii="Times New Roman" w:hAnsi="Times New Roman" w:cs="Times New Roman"/>
                <w:b/>
                <w:bCs/>
                <w:color w:val="auto"/>
                <w:highlight w:val="none"/>
              </w:rPr>
              <w:t>底泥</w:t>
            </w:r>
            <w:r>
              <w:rPr>
                <w:rFonts w:hint="default" w:ascii="Times New Roman" w:hAnsi="Times New Roman" w:cs="Times New Roman"/>
                <w:b/>
                <w:bCs/>
                <w:color w:val="auto"/>
                <w:highlight w:val="none"/>
                <w:lang w:eastAsia="zh-CN"/>
              </w:rPr>
              <w:t>：</w:t>
            </w:r>
          </w:p>
          <w:p>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底泥执行《土壤环境质量 农用地土壤污染风险管控标准（试行）》（GB15618-2018）的要求，详见表</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17</w:t>
            </w:r>
            <w:r>
              <w:rPr>
                <w:rFonts w:hint="default" w:ascii="Times New Roman" w:hAnsi="Times New Roman" w:cs="Times New Roman"/>
                <w:color w:val="auto"/>
                <w:highlight w:val="none"/>
              </w:rPr>
              <w:t>所示。</w:t>
            </w:r>
          </w:p>
          <w:p>
            <w:pPr>
              <w:pStyle w:val="16"/>
              <w:bidi w:val="0"/>
              <w:rPr>
                <w:rFonts w:hint="default" w:ascii="Times New Roman" w:hAnsi="Times New Roman" w:cs="Times New Roman"/>
                <w:color w:val="auto"/>
                <w:highlight w:val="none"/>
              </w:rPr>
            </w:pPr>
            <w:r>
              <w:rPr>
                <w:rFonts w:hint="default" w:ascii="Times New Roman" w:hAnsi="Times New Roman" w:cs="Times New Roman"/>
                <w:highlight w:val="none"/>
              </w:rPr>
              <w:t>表</w:t>
            </w:r>
            <w:r>
              <w:rPr>
                <w:rFonts w:hint="default" w:ascii="Times New Roman" w:hAnsi="Times New Roman" w:cs="Times New Roman"/>
                <w:highlight w:val="none"/>
                <w:lang w:val="en-US" w:eastAsia="zh-CN"/>
              </w:rPr>
              <w:t>3</w:t>
            </w:r>
            <w:r>
              <w:rPr>
                <w:rFonts w:hint="default" w:ascii="Times New Roman" w:hAnsi="Times New Roman" w:cs="Times New Roman"/>
                <w:highlight w:val="none"/>
              </w:rPr>
              <w:t>-</w:t>
            </w:r>
            <w:r>
              <w:rPr>
                <w:rFonts w:hint="default" w:ascii="Times New Roman" w:hAnsi="Times New Roman" w:cs="Times New Roman"/>
                <w:highlight w:val="none"/>
                <w:lang w:val="en-US" w:eastAsia="zh-CN"/>
              </w:rPr>
              <w:t>17</w:t>
            </w:r>
            <w:r>
              <w:rPr>
                <w:rFonts w:hint="default" w:ascii="Times New Roman" w:hAnsi="Times New Roman" w:cs="Times New Roman"/>
                <w:highlight w:val="none"/>
              </w:rPr>
              <w:t xml:space="preserve">  土壤环境质量 农用地土壤污染风险管控标准（试行）</w:t>
            </w:r>
          </w:p>
          <w:tbl>
            <w:tblPr>
              <w:tblStyle w:val="11"/>
              <w:tblW w:w="860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12"/>
              <w:gridCol w:w="540"/>
              <w:gridCol w:w="950"/>
              <w:gridCol w:w="1354"/>
              <w:gridCol w:w="1624"/>
              <w:gridCol w:w="1624"/>
              <w:gridCol w:w="169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12" w:type="dxa"/>
                  <w:vMerge w:val="restart"/>
                  <w:tcBorders>
                    <w:tl2br w:val="nil"/>
                    <w:tr2bl w:val="nil"/>
                  </w:tcBorders>
                  <w:noWrap w:val="0"/>
                  <w:vAlign w:val="center"/>
                </w:tcPr>
                <w:p>
                  <w:pPr>
                    <w:pStyle w:val="15"/>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序号</w:t>
                  </w:r>
                </w:p>
              </w:tc>
              <w:tc>
                <w:tcPr>
                  <w:tcW w:w="1490" w:type="dxa"/>
                  <w:gridSpan w:val="2"/>
                  <w:vMerge w:val="restart"/>
                  <w:tcBorders>
                    <w:tl2br w:val="nil"/>
                    <w:tr2bl w:val="nil"/>
                  </w:tcBorders>
                  <w:noWrap w:val="0"/>
                  <w:vAlign w:val="center"/>
                </w:tcPr>
                <w:p>
                  <w:pPr>
                    <w:pStyle w:val="15"/>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污染物项目</w:t>
                  </w:r>
                </w:p>
              </w:tc>
              <w:tc>
                <w:tcPr>
                  <w:tcW w:w="6298" w:type="dxa"/>
                  <w:gridSpan w:val="4"/>
                  <w:tcBorders>
                    <w:tl2br w:val="nil"/>
                    <w:tr2bl w:val="nil"/>
                  </w:tcBorders>
                  <w:noWrap w:val="0"/>
                  <w:vAlign w:val="center"/>
                </w:tcPr>
                <w:p>
                  <w:pPr>
                    <w:pStyle w:val="15"/>
                    <w:bidi w:val="0"/>
                    <w:rPr>
                      <w:rFonts w:hint="default" w:ascii="Times New Roman" w:hAnsi="Times New Roman" w:eastAsia="宋体" w:cs="Times New Roman"/>
                      <w:b/>
                      <w:bCs w:val="0"/>
                      <w:color w:val="auto"/>
                      <w:highlight w:val="none"/>
                      <w:lang w:eastAsia="zh-CN"/>
                    </w:rPr>
                  </w:pPr>
                  <w:r>
                    <w:rPr>
                      <w:rFonts w:hint="default" w:ascii="Times New Roman" w:hAnsi="Times New Roman" w:cs="Times New Roman"/>
                      <w:b/>
                      <w:bCs w:val="0"/>
                      <w:color w:val="auto"/>
                      <w:highlight w:val="none"/>
                    </w:rPr>
                    <w:t>风险筛选值</w:t>
                  </w:r>
                  <w:r>
                    <w:rPr>
                      <w:rFonts w:hint="default" w:ascii="Times New Roman" w:hAnsi="Times New Roman" w:cs="Times New Roman"/>
                      <w:b/>
                      <w:bCs w:val="0"/>
                      <w:color w:val="auto"/>
                      <w:highlight w:val="none"/>
                      <w:lang w:eastAsia="zh-CN"/>
                    </w:rPr>
                    <w:t>（</w:t>
                  </w:r>
                  <w:r>
                    <w:rPr>
                      <w:rFonts w:hint="default" w:ascii="Times New Roman" w:hAnsi="Times New Roman" w:eastAsia="宋体" w:cs="Times New Roman"/>
                      <w:b/>
                      <w:bCs w:val="0"/>
                      <w:color w:val="auto"/>
                      <w:sz w:val="21"/>
                      <w:szCs w:val="21"/>
                      <w:highlight w:val="none"/>
                    </w:rPr>
                    <w:t>mg/kg</w:t>
                  </w:r>
                  <w:r>
                    <w:rPr>
                      <w:rFonts w:hint="default" w:ascii="Times New Roman" w:hAnsi="Times New Roman" w:cs="Times New Roman"/>
                      <w:b/>
                      <w:bCs w:val="0"/>
                      <w:color w:val="auto"/>
                      <w:highlight w:val="no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12" w:type="dxa"/>
                  <w:vMerge w:val="continue"/>
                  <w:tcBorders>
                    <w:tl2br w:val="nil"/>
                    <w:tr2bl w:val="nil"/>
                  </w:tcBorders>
                  <w:noWrap w:val="0"/>
                  <w:vAlign w:val="center"/>
                </w:tcPr>
                <w:p>
                  <w:pPr>
                    <w:pStyle w:val="15"/>
                    <w:bidi w:val="0"/>
                    <w:rPr>
                      <w:rFonts w:hint="default" w:ascii="Times New Roman" w:hAnsi="Times New Roman" w:cs="Times New Roman"/>
                      <w:b/>
                      <w:bCs/>
                      <w:color w:val="auto"/>
                      <w:highlight w:val="none"/>
                    </w:rPr>
                  </w:pPr>
                </w:p>
              </w:tc>
              <w:tc>
                <w:tcPr>
                  <w:tcW w:w="1490" w:type="dxa"/>
                  <w:gridSpan w:val="2"/>
                  <w:vMerge w:val="continue"/>
                  <w:tcBorders>
                    <w:tl2br w:val="nil"/>
                    <w:tr2bl w:val="nil"/>
                  </w:tcBorders>
                  <w:noWrap w:val="0"/>
                  <w:vAlign w:val="center"/>
                </w:tcPr>
                <w:p>
                  <w:pPr>
                    <w:pStyle w:val="15"/>
                    <w:bidi w:val="0"/>
                    <w:rPr>
                      <w:rFonts w:hint="default" w:ascii="Times New Roman" w:hAnsi="Times New Roman" w:cs="Times New Roman"/>
                      <w:b/>
                      <w:bCs/>
                      <w:color w:val="auto"/>
                      <w:highlight w:val="none"/>
                    </w:rPr>
                  </w:pPr>
                </w:p>
              </w:tc>
              <w:tc>
                <w:tcPr>
                  <w:tcW w:w="1354" w:type="dxa"/>
                  <w:tcBorders>
                    <w:tl2br w:val="nil"/>
                    <w:tr2bl w:val="nil"/>
                  </w:tcBorders>
                  <w:noWrap w:val="0"/>
                  <w:vAlign w:val="center"/>
                </w:tcPr>
                <w:p>
                  <w:pPr>
                    <w:pStyle w:val="15"/>
                    <w:bidi w:val="0"/>
                    <w:rPr>
                      <w:rFonts w:hint="default" w:ascii="Times New Roman" w:hAnsi="Times New Roman" w:cs="Times New Roman"/>
                      <w:b/>
                      <w:bCs w:val="0"/>
                      <w:color w:val="auto"/>
                      <w:highlight w:val="none"/>
                    </w:rPr>
                  </w:pPr>
                  <w:r>
                    <w:rPr>
                      <w:rFonts w:hint="default" w:ascii="Times New Roman" w:hAnsi="Times New Roman" w:cs="Times New Roman"/>
                      <w:b/>
                      <w:bCs w:val="0"/>
                      <w:color w:val="auto"/>
                      <w:highlight w:val="none"/>
                    </w:rPr>
                    <w:t>pH≤5.5</w:t>
                  </w:r>
                </w:p>
              </w:tc>
              <w:tc>
                <w:tcPr>
                  <w:tcW w:w="1624" w:type="dxa"/>
                  <w:tcBorders>
                    <w:tl2br w:val="nil"/>
                    <w:tr2bl w:val="nil"/>
                  </w:tcBorders>
                  <w:noWrap w:val="0"/>
                  <w:vAlign w:val="center"/>
                </w:tcPr>
                <w:p>
                  <w:pPr>
                    <w:pStyle w:val="15"/>
                    <w:bidi w:val="0"/>
                    <w:rPr>
                      <w:rFonts w:hint="default" w:ascii="Times New Roman" w:hAnsi="Times New Roman" w:cs="Times New Roman"/>
                      <w:b/>
                      <w:bCs w:val="0"/>
                      <w:color w:val="auto"/>
                      <w:highlight w:val="none"/>
                    </w:rPr>
                  </w:pPr>
                  <w:r>
                    <w:rPr>
                      <w:rFonts w:hint="default" w:ascii="Times New Roman" w:hAnsi="Times New Roman" w:eastAsia="宋体" w:cs="Times New Roman"/>
                      <w:b/>
                      <w:bCs w:val="0"/>
                      <w:color w:val="auto"/>
                      <w:sz w:val="21"/>
                      <w:szCs w:val="21"/>
                      <w:highlight w:val="none"/>
                    </w:rPr>
                    <w:t>5.5＜pH≤6.5</w:t>
                  </w:r>
                </w:p>
              </w:tc>
              <w:tc>
                <w:tcPr>
                  <w:tcW w:w="1624" w:type="dxa"/>
                  <w:tcBorders>
                    <w:tl2br w:val="nil"/>
                    <w:tr2bl w:val="nil"/>
                  </w:tcBorders>
                  <w:noWrap w:val="0"/>
                  <w:vAlign w:val="center"/>
                </w:tcPr>
                <w:p>
                  <w:pPr>
                    <w:pStyle w:val="15"/>
                    <w:bidi w:val="0"/>
                    <w:rPr>
                      <w:rFonts w:hint="default" w:ascii="Times New Roman" w:hAnsi="Times New Roman" w:cs="Times New Roman"/>
                      <w:b/>
                      <w:bCs w:val="0"/>
                      <w:color w:val="auto"/>
                      <w:highlight w:val="none"/>
                    </w:rPr>
                  </w:pPr>
                  <w:r>
                    <w:rPr>
                      <w:rFonts w:hint="default" w:ascii="Times New Roman" w:hAnsi="Times New Roman" w:cs="Times New Roman"/>
                      <w:b/>
                      <w:bCs w:val="0"/>
                      <w:color w:val="auto"/>
                      <w:highlight w:val="none"/>
                    </w:rPr>
                    <w:t>6.5</w:t>
                  </w:r>
                  <w:r>
                    <w:rPr>
                      <w:rFonts w:hint="default" w:ascii="Times New Roman" w:hAnsi="Times New Roman" w:eastAsia="宋体" w:cs="Times New Roman"/>
                      <w:b/>
                      <w:bCs w:val="0"/>
                      <w:color w:val="auto"/>
                      <w:sz w:val="21"/>
                      <w:szCs w:val="21"/>
                      <w:highlight w:val="none"/>
                    </w:rPr>
                    <w:t>＜</w:t>
                  </w:r>
                  <w:r>
                    <w:rPr>
                      <w:rFonts w:hint="default" w:ascii="Times New Roman" w:hAnsi="Times New Roman" w:cs="Times New Roman"/>
                      <w:b/>
                      <w:bCs w:val="0"/>
                      <w:color w:val="auto"/>
                      <w:highlight w:val="none"/>
                    </w:rPr>
                    <w:t>pH≤7.5</w:t>
                  </w:r>
                </w:p>
              </w:tc>
              <w:tc>
                <w:tcPr>
                  <w:tcW w:w="1696" w:type="dxa"/>
                  <w:tcBorders>
                    <w:tl2br w:val="nil"/>
                    <w:tr2bl w:val="nil"/>
                  </w:tcBorders>
                  <w:noWrap w:val="0"/>
                  <w:vAlign w:val="center"/>
                </w:tcPr>
                <w:p>
                  <w:pPr>
                    <w:pStyle w:val="15"/>
                    <w:bidi w:val="0"/>
                    <w:rPr>
                      <w:rFonts w:hint="default" w:ascii="Times New Roman" w:hAnsi="Times New Roman" w:cs="Times New Roman"/>
                      <w:b/>
                      <w:bCs w:val="0"/>
                      <w:color w:val="auto"/>
                      <w:highlight w:val="none"/>
                    </w:rPr>
                  </w:pPr>
                  <w:r>
                    <w:rPr>
                      <w:rFonts w:hint="default" w:ascii="Times New Roman" w:hAnsi="Times New Roman" w:cs="Times New Roman"/>
                      <w:b/>
                      <w:bCs w:val="0"/>
                      <w:color w:val="auto"/>
                      <w:highlight w:val="none"/>
                    </w:rPr>
                    <w:t>pH＞7.5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12" w:type="dxa"/>
                  <w:vMerge w:val="restart"/>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w:t>
                  </w:r>
                </w:p>
              </w:tc>
              <w:tc>
                <w:tcPr>
                  <w:tcW w:w="540" w:type="dxa"/>
                  <w:vMerge w:val="restart"/>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镉</w:t>
                  </w:r>
                </w:p>
              </w:tc>
              <w:tc>
                <w:tcPr>
                  <w:tcW w:w="950"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水田</w:t>
                  </w:r>
                </w:p>
              </w:tc>
              <w:tc>
                <w:tcPr>
                  <w:tcW w:w="1354"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0.3</w:t>
                  </w:r>
                </w:p>
              </w:tc>
              <w:tc>
                <w:tcPr>
                  <w:tcW w:w="1624"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0.4</w:t>
                  </w:r>
                </w:p>
              </w:tc>
              <w:tc>
                <w:tcPr>
                  <w:tcW w:w="1624"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0.6</w:t>
                  </w:r>
                </w:p>
              </w:tc>
              <w:tc>
                <w:tcPr>
                  <w:tcW w:w="1696"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12" w:type="dxa"/>
                  <w:vMerge w:val="continue"/>
                  <w:tcBorders>
                    <w:tl2br w:val="nil"/>
                    <w:tr2bl w:val="nil"/>
                  </w:tcBorders>
                  <w:noWrap w:val="0"/>
                  <w:vAlign w:val="center"/>
                </w:tcPr>
                <w:p>
                  <w:pPr>
                    <w:pStyle w:val="15"/>
                    <w:bidi w:val="0"/>
                    <w:rPr>
                      <w:rFonts w:hint="default" w:ascii="Times New Roman" w:hAnsi="Times New Roman" w:cs="Times New Roman"/>
                      <w:color w:val="auto"/>
                      <w:highlight w:val="none"/>
                    </w:rPr>
                  </w:pPr>
                </w:p>
              </w:tc>
              <w:tc>
                <w:tcPr>
                  <w:tcW w:w="540" w:type="dxa"/>
                  <w:vMerge w:val="continue"/>
                  <w:tcBorders>
                    <w:tl2br w:val="nil"/>
                    <w:tr2bl w:val="nil"/>
                  </w:tcBorders>
                  <w:noWrap w:val="0"/>
                  <w:vAlign w:val="center"/>
                </w:tcPr>
                <w:p>
                  <w:pPr>
                    <w:pStyle w:val="15"/>
                    <w:bidi w:val="0"/>
                    <w:rPr>
                      <w:rFonts w:hint="default" w:ascii="Times New Roman" w:hAnsi="Times New Roman" w:cs="Times New Roman"/>
                      <w:color w:val="auto"/>
                      <w:highlight w:val="none"/>
                    </w:rPr>
                  </w:pPr>
                </w:p>
              </w:tc>
              <w:tc>
                <w:tcPr>
                  <w:tcW w:w="950"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其他</w:t>
                  </w:r>
                </w:p>
              </w:tc>
              <w:tc>
                <w:tcPr>
                  <w:tcW w:w="1354"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0.3</w:t>
                  </w:r>
                </w:p>
              </w:tc>
              <w:tc>
                <w:tcPr>
                  <w:tcW w:w="1624"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0.3</w:t>
                  </w:r>
                </w:p>
              </w:tc>
              <w:tc>
                <w:tcPr>
                  <w:tcW w:w="1624"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0.3</w:t>
                  </w:r>
                </w:p>
              </w:tc>
              <w:tc>
                <w:tcPr>
                  <w:tcW w:w="1696"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12" w:type="dxa"/>
                  <w:vMerge w:val="restart"/>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w:t>
                  </w:r>
                </w:p>
              </w:tc>
              <w:tc>
                <w:tcPr>
                  <w:tcW w:w="540" w:type="dxa"/>
                  <w:vMerge w:val="restart"/>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汞</w:t>
                  </w:r>
                </w:p>
              </w:tc>
              <w:tc>
                <w:tcPr>
                  <w:tcW w:w="950"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水田</w:t>
                  </w:r>
                </w:p>
              </w:tc>
              <w:tc>
                <w:tcPr>
                  <w:tcW w:w="1354"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0.5</w:t>
                  </w:r>
                </w:p>
              </w:tc>
              <w:tc>
                <w:tcPr>
                  <w:tcW w:w="1624"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0.5</w:t>
                  </w:r>
                </w:p>
              </w:tc>
              <w:tc>
                <w:tcPr>
                  <w:tcW w:w="1624"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0.6</w:t>
                  </w:r>
                </w:p>
              </w:tc>
              <w:tc>
                <w:tcPr>
                  <w:tcW w:w="1696"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12" w:type="dxa"/>
                  <w:vMerge w:val="continue"/>
                  <w:tcBorders>
                    <w:tl2br w:val="nil"/>
                    <w:tr2bl w:val="nil"/>
                  </w:tcBorders>
                  <w:noWrap w:val="0"/>
                  <w:vAlign w:val="center"/>
                </w:tcPr>
                <w:p>
                  <w:pPr>
                    <w:pStyle w:val="15"/>
                    <w:bidi w:val="0"/>
                    <w:rPr>
                      <w:rFonts w:hint="default" w:ascii="Times New Roman" w:hAnsi="Times New Roman" w:cs="Times New Roman"/>
                      <w:color w:val="auto"/>
                      <w:highlight w:val="none"/>
                    </w:rPr>
                  </w:pPr>
                </w:p>
              </w:tc>
              <w:tc>
                <w:tcPr>
                  <w:tcW w:w="540" w:type="dxa"/>
                  <w:vMerge w:val="continue"/>
                  <w:tcBorders>
                    <w:tl2br w:val="nil"/>
                    <w:tr2bl w:val="nil"/>
                  </w:tcBorders>
                  <w:noWrap w:val="0"/>
                  <w:vAlign w:val="center"/>
                </w:tcPr>
                <w:p>
                  <w:pPr>
                    <w:pStyle w:val="15"/>
                    <w:bidi w:val="0"/>
                    <w:rPr>
                      <w:rFonts w:hint="default" w:ascii="Times New Roman" w:hAnsi="Times New Roman" w:cs="Times New Roman"/>
                      <w:color w:val="auto"/>
                      <w:highlight w:val="none"/>
                    </w:rPr>
                  </w:pPr>
                </w:p>
              </w:tc>
              <w:tc>
                <w:tcPr>
                  <w:tcW w:w="950"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其他</w:t>
                  </w:r>
                </w:p>
              </w:tc>
              <w:tc>
                <w:tcPr>
                  <w:tcW w:w="1354"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1.3</w:t>
                  </w:r>
                </w:p>
              </w:tc>
              <w:tc>
                <w:tcPr>
                  <w:tcW w:w="1624"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1.8</w:t>
                  </w:r>
                </w:p>
              </w:tc>
              <w:tc>
                <w:tcPr>
                  <w:tcW w:w="1624"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2.4</w:t>
                  </w:r>
                </w:p>
              </w:tc>
              <w:tc>
                <w:tcPr>
                  <w:tcW w:w="1696"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12" w:type="dxa"/>
                  <w:vMerge w:val="restart"/>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w:t>
                  </w:r>
                </w:p>
              </w:tc>
              <w:tc>
                <w:tcPr>
                  <w:tcW w:w="540" w:type="dxa"/>
                  <w:vMerge w:val="restart"/>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砷</w:t>
                  </w:r>
                </w:p>
              </w:tc>
              <w:tc>
                <w:tcPr>
                  <w:tcW w:w="950"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水田</w:t>
                  </w:r>
                </w:p>
              </w:tc>
              <w:tc>
                <w:tcPr>
                  <w:tcW w:w="1354"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30</w:t>
                  </w:r>
                </w:p>
              </w:tc>
              <w:tc>
                <w:tcPr>
                  <w:tcW w:w="1624"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30</w:t>
                  </w:r>
                </w:p>
              </w:tc>
              <w:tc>
                <w:tcPr>
                  <w:tcW w:w="1624"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25</w:t>
                  </w:r>
                </w:p>
              </w:tc>
              <w:tc>
                <w:tcPr>
                  <w:tcW w:w="1696"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12" w:type="dxa"/>
                  <w:vMerge w:val="continue"/>
                  <w:tcBorders>
                    <w:tl2br w:val="nil"/>
                    <w:tr2bl w:val="nil"/>
                  </w:tcBorders>
                  <w:noWrap w:val="0"/>
                  <w:vAlign w:val="center"/>
                </w:tcPr>
                <w:p>
                  <w:pPr>
                    <w:pStyle w:val="15"/>
                    <w:bidi w:val="0"/>
                    <w:rPr>
                      <w:rFonts w:hint="default" w:ascii="Times New Roman" w:hAnsi="Times New Roman" w:cs="Times New Roman"/>
                      <w:color w:val="auto"/>
                      <w:highlight w:val="none"/>
                    </w:rPr>
                  </w:pPr>
                </w:p>
              </w:tc>
              <w:tc>
                <w:tcPr>
                  <w:tcW w:w="540" w:type="dxa"/>
                  <w:vMerge w:val="continue"/>
                  <w:tcBorders>
                    <w:tl2br w:val="nil"/>
                    <w:tr2bl w:val="nil"/>
                  </w:tcBorders>
                  <w:noWrap w:val="0"/>
                  <w:vAlign w:val="center"/>
                </w:tcPr>
                <w:p>
                  <w:pPr>
                    <w:pStyle w:val="15"/>
                    <w:bidi w:val="0"/>
                    <w:rPr>
                      <w:rFonts w:hint="default" w:ascii="Times New Roman" w:hAnsi="Times New Roman" w:cs="Times New Roman"/>
                      <w:color w:val="auto"/>
                      <w:highlight w:val="none"/>
                    </w:rPr>
                  </w:pPr>
                </w:p>
              </w:tc>
              <w:tc>
                <w:tcPr>
                  <w:tcW w:w="950"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其他</w:t>
                  </w:r>
                </w:p>
              </w:tc>
              <w:tc>
                <w:tcPr>
                  <w:tcW w:w="1354"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40</w:t>
                  </w:r>
                </w:p>
              </w:tc>
              <w:tc>
                <w:tcPr>
                  <w:tcW w:w="1624"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40</w:t>
                  </w:r>
                </w:p>
              </w:tc>
              <w:tc>
                <w:tcPr>
                  <w:tcW w:w="1624"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30</w:t>
                  </w:r>
                </w:p>
              </w:tc>
              <w:tc>
                <w:tcPr>
                  <w:tcW w:w="1696"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12" w:type="dxa"/>
                  <w:vMerge w:val="restart"/>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w:t>
                  </w:r>
                </w:p>
              </w:tc>
              <w:tc>
                <w:tcPr>
                  <w:tcW w:w="540" w:type="dxa"/>
                  <w:vMerge w:val="restart"/>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铅</w:t>
                  </w:r>
                </w:p>
              </w:tc>
              <w:tc>
                <w:tcPr>
                  <w:tcW w:w="950"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水田</w:t>
                  </w:r>
                </w:p>
              </w:tc>
              <w:tc>
                <w:tcPr>
                  <w:tcW w:w="1354"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80</w:t>
                  </w:r>
                </w:p>
              </w:tc>
              <w:tc>
                <w:tcPr>
                  <w:tcW w:w="1624"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100</w:t>
                  </w:r>
                </w:p>
              </w:tc>
              <w:tc>
                <w:tcPr>
                  <w:tcW w:w="1624"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140</w:t>
                  </w:r>
                </w:p>
              </w:tc>
              <w:tc>
                <w:tcPr>
                  <w:tcW w:w="1696"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12" w:type="dxa"/>
                  <w:vMerge w:val="continue"/>
                  <w:tcBorders>
                    <w:tl2br w:val="nil"/>
                    <w:tr2bl w:val="nil"/>
                  </w:tcBorders>
                  <w:noWrap w:val="0"/>
                  <w:vAlign w:val="center"/>
                </w:tcPr>
                <w:p>
                  <w:pPr>
                    <w:pStyle w:val="15"/>
                    <w:bidi w:val="0"/>
                    <w:rPr>
                      <w:rFonts w:hint="default" w:ascii="Times New Roman" w:hAnsi="Times New Roman" w:cs="Times New Roman"/>
                      <w:color w:val="auto"/>
                      <w:highlight w:val="none"/>
                    </w:rPr>
                  </w:pPr>
                </w:p>
              </w:tc>
              <w:tc>
                <w:tcPr>
                  <w:tcW w:w="540" w:type="dxa"/>
                  <w:vMerge w:val="continue"/>
                  <w:tcBorders>
                    <w:tl2br w:val="nil"/>
                    <w:tr2bl w:val="nil"/>
                  </w:tcBorders>
                  <w:noWrap w:val="0"/>
                  <w:vAlign w:val="center"/>
                </w:tcPr>
                <w:p>
                  <w:pPr>
                    <w:pStyle w:val="15"/>
                    <w:bidi w:val="0"/>
                    <w:rPr>
                      <w:rFonts w:hint="default" w:ascii="Times New Roman" w:hAnsi="Times New Roman" w:cs="Times New Roman"/>
                      <w:color w:val="auto"/>
                      <w:highlight w:val="none"/>
                    </w:rPr>
                  </w:pPr>
                </w:p>
              </w:tc>
              <w:tc>
                <w:tcPr>
                  <w:tcW w:w="950"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其他</w:t>
                  </w:r>
                </w:p>
              </w:tc>
              <w:tc>
                <w:tcPr>
                  <w:tcW w:w="1354"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70</w:t>
                  </w:r>
                </w:p>
              </w:tc>
              <w:tc>
                <w:tcPr>
                  <w:tcW w:w="1624"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90</w:t>
                  </w:r>
                </w:p>
              </w:tc>
              <w:tc>
                <w:tcPr>
                  <w:tcW w:w="1624"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120</w:t>
                  </w:r>
                </w:p>
              </w:tc>
              <w:tc>
                <w:tcPr>
                  <w:tcW w:w="1696"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12" w:type="dxa"/>
                  <w:vMerge w:val="restart"/>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w:t>
                  </w:r>
                </w:p>
              </w:tc>
              <w:tc>
                <w:tcPr>
                  <w:tcW w:w="540" w:type="dxa"/>
                  <w:vMerge w:val="restart"/>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铬</w:t>
                  </w:r>
                </w:p>
              </w:tc>
              <w:tc>
                <w:tcPr>
                  <w:tcW w:w="950"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水田</w:t>
                  </w:r>
                </w:p>
              </w:tc>
              <w:tc>
                <w:tcPr>
                  <w:tcW w:w="1354"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250</w:t>
                  </w:r>
                </w:p>
              </w:tc>
              <w:tc>
                <w:tcPr>
                  <w:tcW w:w="1624"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250</w:t>
                  </w:r>
                </w:p>
              </w:tc>
              <w:tc>
                <w:tcPr>
                  <w:tcW w:w="1624"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300</w:t>
                  </w:r>
                </w:p>
              </w:tc>
              <w:tc>
                <w:tcPr>
                  <w:tcW w:w="1696"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12" w:type="dxa"/>
                  <w:vMerge w:val="continue"/>
                  <w:tcBorders>
                    <w:tl2br w:val="nil"/>
                    <w:tr2bl w:val="nil"/>
                  </w:tcBorders>
                  <w:noWrap w:val="0"/>
                  <w:vAlign w:val="center"/>
                </w:tcPr>
                <w:p>
                  <w:pPr>
                    <w:pStyle w:val="15"/>
                    <w:bidi w:val="0"/>
                    <w:rPr>
                      <w:rFonts w:hint="default" w:ascii="Times New Roman" w:hAnsi="Times New Roman" w:cs="Times New Roman"/>
                      <w:color w:val="auto"/>
                      <w:highlight w:val="none"/>
                    </w:rPr>
                  </w:pPr>
                </w:p>
              </w:tc>
              <w:tc>
                <w:tcPr>
                  <w:tcW w:w="540" w:type="dxa"/>
                  <w:vMerge w:val="continue"/>
                  <w:tcBorders>
                    <w:tl2br w:val="nil"/>
                    <w:tr2bl w:val="nil"/>
                  </w:tcBorders>
                  <w:noWrap w:val="0"/>
                  <w:vAlign w:val="center"/>
                </w:tcPr>
                <w:p>
                  <w:pPr>
                    <w:pStyle w:val="15"/>
                    <w:bidi w:val="0"/>
                    <w:rPr>
                      <w:rFonts w:hint="default" w:ascii="Times New Roman" w:hAnsi="Times New Roman" w:cs="Times New Roman"/>
                      <w:color w:val="auto"/>
                      <w:highlight w:val="none"/>
                    </w:rPr>
                  </w:pPr>
                </w:p>
              </w:tc>
              <w:tc>
                <w:tcPr>
                  <w:tcW w:w="950"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其他</w:t>
                  </w:r>
                </w:p>
              </w:tc>
              <w:tc>
                <w:tcPr>
                  <w:tcW w:w="1354"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150</w:t>
                  </w:r>
                </w:p>
              </w:tc>
              <w:tc>
                <w:tcPr>
                  <w:tcW w:w="1624"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150</w:t>
                  </w:r>
                </w:p>
              </w:tc>
              <w:tc>
                <w:tcPr>
                  <w:tcW w:w="1624"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200</w:t>
                  </w:r>
                </w:p>
              </w:tc>
              <w:tc>
                <w:tcPr>
                  <w:tcW w:w="1696"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12" w:type="dxa"/>
                  <w:vMerge w:val="restart"/>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6</w:t>
                  </w:r>
                </w:p>
              </w:tc>
              <w:tc>
                <w:tcPr>
                  <w:tcW w:w="540" w:type="dxa"/>
                  <w:vMerge w:val="restart"/>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铜</w:t>
                  </w:r>
                </w:p>
              </w:tc>
              <w:tc>
                <w:tcPr>
                  <w:tcW w:w="950"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水田</w:t>
                  </w:r>
                </w:p>
              </w:tc>
              <w:tc>
                <w:tcPr>
                  <w:tcW w:w="1354"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150</w:t>
                  </w:r>
                </w:p>
              </w:tc>
              <w:tc>
                <w:tcPr>
                  <w:tcW w:w="1624"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150</w:t>
                  </w:r>
                </w:p>
              </w:tc>
              <w:tc>
                <w:tcPr>
                  <w:tcW w:w="1624"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200</w:t>
                  </w:r>
                </w:p>
              </w:tc>
              <w:tc>
                <w:tcPr>
                  <w:tcW w:w="1696"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12" w:type="dxa"/>
                  <w:vMerge w:val="continue"/>
                  <w:tcBorders>
                    <w:tl2br w:val="nil"/>
                    <w:tr2bl w:val="nil"/>
                  </w:tcBorders>
                  <w:noWrap w:val="0"/>
                  <w:vAlign w:val="center"/>
                </w:tcPr>
                <w:p>
                  <w:pPr>
                    <w:pStyle w:val="15"/>
                    <w:bidi w:val="0"/>
                    <w:rPr>
                      <w:rFonts w:hint="default" w:ascii="Times New Roman" w:hAnsi="Times New Roman" w:cs="Times New Roman"/>
                      <w:color w:val="auto"/>
                      <w:highlight w:val="none"/>
                    </w:rPr>
                  </w:pPr>
                </w:p>
              </w:tc>
              <w:tc>
                <w:tcPr>
                  <w:tcW w:w="540" w:type="dxa"/>
                  <w:vMerge w:val="continue"/>
                  <w:tcBorders>
                    <w:tl2br w:val="nil"/>
                    <w:tr2bl w:val="nil"/>
                  </w:tcBorders>
                  <w:noWrap w:val="0"/>
                  <w:vAlign w:val="center"/>
                </w:tcPr>
                <w:p>
                  <w:pPr>
                    <w:pStyle w:val="15"/>
                    <w:bidi w:val="0"/>
                    <w:rPr>
                      <w:rFonts w:hint="default" w:ascii="Times New Roman" w:hAnsi="Times New Roman" w:cs="Times New Roman"/>
                      <w:color w:val="auto"/>
                      <w:highlight w:val="none"/>
                    </w:rPr>
                  </w:pPr>
                </w:p>
              </w:tc>
              <w:tc>
                <w:tcPr>
                  <w:tcW w:w="950"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其他</w:t>
                  </w:r>
                </w:p>
              </w:tc>
              <w:tc>
                <w:tcPr>
                  <w:tcW w:w="1354"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50</w:t>
                  </w:r>
                </w:p>
              </w:tc>
              <w:tc>
                <w:tcPr>
                  <w:tcW w:w="1624"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50</w:t>
                  </w:r>
                </w:p>
              </w:tc>
              <w:tc>
                <w:tcPr>
                  <w:tcW w:w="1624"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100</w:t>
                  </w:r>
                </w:p>
              </w:tc>
              <w:tc>
                <w:tcPr>
                  <w:tcW w:w="1696"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12"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7</w:t>
                  </w:r>
                </w:p>
              </w:tc>
              <w:tc>
                <w:tcPr>
                  <w:tcW w:w="540"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镍</w:t>
                  </w:r>
                </w:p>
              </w:tc>
              <w:tc>
                <w:tcPr>
                  <w:tcW w:w="950"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水田</w:t>
                  </w:r>
                </w:p>
              </w:tc>
              <w:tc>
                <w:tcPr>
                  <w:tcW w:w="1354"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60</w:t>
                  </w:r>
                </w:p>
              </w:tc>
              <w:tc>
                <w:tcPr>
                  <w:tcW w:w="1624"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70</w:t>
                  </w:r>
                </w:p>
              </w:tc>
              <w:tc>
                <w:tcPr>
                  <w:tcW w:w="1624"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100</w:t>
                  </w:r>
                </w:p>
              </w:tc>
              <w:tc>
                <w:tcPr>
                  <w:tcW w:w="1696"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190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12"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8</w:t>
                  </w:r>
                </w:p>
              </w:tc>
              <w:tc>
                <w:tcPr>
                  <w:tcW w:w="540"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锌</w:t>
                  </w:r>
                </w:p>
              </w:tc>
              <w:tc>
                <w:tcPr>
                  <w:tcW w:w="950"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其他</w:t>
                  </w:r>
                </w:p>
              </w:tc>
              <w:tc>
                <w:tcPr>
                  <w:tcW w:w="1354"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200</w:t>
                  </w:r>
                </w:p>
              </w:tc>
              <w:tc>
                <w:tcPr>
                  <w:tcW w:w="1624"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200</w:t>
                  </w:r>
                </w:p>
              </w:tc>
              <w:tc>
                <w:tcPr>
                  <w:tcW w:w="1624"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250</w:t>
                  </w:r>
                </w:p>
              </w:tc>
              <w:tc>
                <w:tcPr>
                  <w:tcW w:w="1696"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300</w:t>
                  </w:r>
                </w:p>
              </w:tc>
            </w:tr>
          </w:tbl>
          <w:p>
            <w:pPr>
              <w:numPr>
                <w:ilvl w:val="0"/>
                <w:numId w:val="7"/>
              </w:numPr>
              <w:bidi w:val="0"/>
              <w:ind w:left="0" w:leftChars="0" w:firstLine="482" w:firstLineChars="20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生态环境：</w:t>
            </w:r>
          </w:p>
          <w:p>
            <w:pPr>
              <w:bidi w:val="0"/>
              <w:rPr>
                <w:rFonts w:hint="default" w:ascii="Times New Roman" w:hAnsi="Times New Roman" w:cs="Times New Roman"/>
                <w:highlight w:val="none"/>
              </w:rPr>
            </w:pPr>
            <w:r>
              <w:rPr>
                <w:rFonts w:hint="default" w:ascii="Times New Roman" w:hAnsi="Times New Roman" w:cs="Times New Roman"/>
                <w:highlight w:val="none"/>
              </w:rPr>
              <w:t>以不影响区域</w:t>
            </w:r>
            <w:r>
              <w:rPr>
                <w:rFonts w:hint="default" w:ascii="Times New Roman" w:hAnsi="Times New Roman" w:cs="Times New Roman"/>
                <w:highlight w:val="none"/>
                <w:lang w:eastAsia="zh-CN"/>
              </w:rPr>
              <w:t>水生生态环境、</w:t>
            </w:r>
            <w:r>
              <w:rPr>
                <w:rFonts w:hint="default" w:ascii="Times New Roman" w:hAnsi="Times New Roman" w:cs="Times New Roman"/>
                <w:highlight w:val="none"/>
              </w:rPr>
              <w:t>动植物生境和不破坏生态系统完整性、稳定性为标准。</w:t>
            </w:r>
          </w:p>
          <w:p>
            <w:pPr>
              <w:bidi w:val="0"/>
              <w:rPr>
                <w:rFonts w:hint="default" w:ascii="Times New Roman" w:hAnsi="Times New Roman" w:cs="Times New Roman"/>
                <w:b/>
                <w:bCs/>
                <w:highlight w:val="none"/>
              </w:rPr>
            </w:pPr>
            <w:r>
              <w:rPr>
                <w:rFonts w:hint="default" w:ascii="Times New Roman" w:hAnsi="Times New Roman" w:cs="Times New Roman"/>
                <w:b/>
                <w:bCs/>
                <w:highlight w:val="none"/>
              </w:rPr>
              <w:t>二、污染物排放控制标准</w:t>
            </w:r>
          </w:p>
          <w:p>
            <w:pPr>
              <w:bidi w:val="0"/>
              <w:rPr>
                <w:rFonts w:hint="default" w:ascii="Times New Roman" w:hAnsi="Times New Roman" w:cs="Times New Roman"/>
                <w:b/>
                <w:bCs/>
                <w:highlight w:val="none"/>
              </w:rPr>
            </w:pPr>
            <w:r>
              <w:rPr>
                <w:rFonts w:hint="default" w:ascii="Times New Roman" w:hAnsi="Times New Roman" w:cs="Times New Roman"/>
                <w:b/>
                <w:bCs/>
                <w:highlight w:val="none"/>
              </w:rPr>
              <w:t>1、</w:t>
            </w:r>
            <w:r>
              <w:rPr>
                <w:rFonts w:hint="default" w:ascii="Times New Roman" w:hAnsi="Times New Roman" w:cs="Times New Roman"/>
                <w:b/>
                <w:bCs/>
                <w:highlight w:val="none"/>
                <w:lang w:eastAsia="zh-CN"/>
              </w:rPr>
              <w:t>施工期</w:t>
            </w:r>
            <w:r>
              <w:rPr>
                <w:rFonts w:hint="default" w:ascii="Times New Roman" w:hAnsi="Times New Roman" w:cs="Times New Roman"/>
                <w:b/>
                <w:bCs/>
                <w:highlight w:val="none"/>
              </w:rPr>
              <w:t>废水：</w:t>
            </w:r>
          </w:p>
          <w:p>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项目施工期生活污水依托周边民宅既有设施收集处理；施工废水经施工区隔油沉淀池处理后回用于施工及洒水降尘，不外排。故本项目施工期不设废水排放标准。</w:t>
            </w:r>
          </w:p>
          <w:p>
            <w:pPr>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lang w:val="en-US" w:eastAsia="zh-CN"/>
              </w:rPr>
              <w:t>2、</w:t>
            </w:r>
            <w:r>
              <w:rPr>
                <w:rFonts w:hint="default" w:ascii="Times New Roman" w:hAnsi="Times New Roman" w:cs="Times New Roman"/>
                <w:b/>
                <w:bCs/>
                <w:color w:val="auto"/>
                <w:highlight w:val="none"/>
              </w:rPr>
              <w:t>废气：</w:t>
            </w:r>
          </w:p>
          <w:p>
            <w:pPr>
              <w:bidi w:val="0"/>
              <w:rPr>
                <w:rFonts w:hint="default" w:ascii="Times New Roman" w:hAnsi="Times New Roman" w:cs="Times New Roman"/>
                <w:color w:val="auto"/>
                <w:highlight w:val="none"/>
                <w:lang w:val="zh-CN"/>
              </w:rPr>
            </w:pPr>
            <w:r>
              <w:rPr>
                <w:rFonts w:hint="default" w:ascii="Times New Roman" w:hAnsi="Times New Roman" w:cs="Times New Roman"/>
                <w:color w:val="auto"/>
                <w:highlight w:val="none"/>
              </w:rPr>
              <w:t>施工期扬尘排放执行《四川省施工场地扬尘排放标准》（DB51/2682-2020）中表1规定的浓度限值。具体标准值分别见表3-1</w:t>
            </w:r>
            <w:r>
              <w:rPr>
                <w:rFonts w:hint="default" w:ascii="Times New Roman" w:hAnsi="Times New Roman" w:cs="Times New Roman"/>
                <w:color w:val="auto"/>
                <w:highlight w:val="none"/>
                <w:lang w:val="en-US" w:eastAsia="zh-CN"/>
              </w:rPr>
              <w:t>8</w:t>
            </w:r>
            <w:r>
              <w:rPr>
                <w:rFonts w:hint="default" w:ascii="Times New Roman" w:hAnsi="Times New Roman" w:cs="Times New Roman"/>
                <w:color w:val="auto"/>
                <w:highlight w:val="none"/>
              </w:rPr>
              <w:t>。</w:t>
            </w:r>
          </w:p>
          <w:p>
            <w:pPr>
              <w:pStyle w:val="16"/>
              <w:bidi w:val="0"/>
              <w:rPr>
                <w:rFonts w:hint="default" w:ascii="Times New Roman" w:hAnsi="Times New Roman" w:cs="Times New Roman"/>
                <w:highlight w:val="none"/>
                <w:lang w:val="zh-CN"/>
              </w:rPr>
            </w:pPr>
            <w:r>
              <w:rPr>
                <w:rFonts w:hint="default" w:ascii="Times New Roman" w:hAnsi="Times New Roman" w:cs="Times New Roman"/>
                <w:highlight w:val="none"/>
                <w:lang w:val="zh-CN"/>
              </w:rPr>
              <w:t>表3-1</w:t>
            </w:r>
            <w:r>
              <w:rPr>
                <w:rFonts w:hint="default" w:ascii="Times New Roman" w:hAnsi="Times New Roman" w:cs="Times New Roman"/>
                <w:highlight w:val="none"/>
                <w:lang w:val="zh-CN" w:eastAsia="zh-CN"/>
              </w:rPr>
              <w:t>8</w:t>
            </w:r>
            <w:r>
              <w:rPr>
                <w:rFonts w:hint="default" w:ascii="Times New Roman" w:hAnsi="Times New Roman" w:cs="Times New Roman"/>
                <w:highlight w:val="none"/>
                <w:lang w:val="zh-CN"/>
              </w:rPr>
              <w:t xml:space="preserve">  四川省施工场地扬尘排放限值（摘录）   单位：mg/m³</w:t>
            </w:r>
          </w:p>
          <w:tbl>
            <w:tblPr>
              <w:tblStyle w:val="11"/>
              <w:tblW w:w="849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149"/>
              <w:gridCol w:w="2149"/>
              <w:gridCol w:w="2151"/>
              <w:gridCol w:w="204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1" w:hRule="atLeast"/>
                <w:jc w:val="center"/>
              </w:trPr>
              <w:tc>
                <w:tcPr>
                  <w:tcW w:w="2149" w:type="dxa"/>
                  <w:tcBorders>
                    <w:tl2br w:val="nil"/>
                    <w:tr2bl w:val="nil"/>
                  </w:tcBorders>
                  <w:noWrap w:val="0"/>
                  <w:vAlign w:val="center"/>
                </w:tcPr>
                <w:p>
                  <w:pPr>
                    <w:pStyle w:val="15"/>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监测项目</w:t>
                  </w:r>
                </w:p>
              </w:tc>
              <w:tc>
                <w:tcPr>
                  <w:tcW w:w="2149" w:type="dxa"/>
                  <w:tcBorders>
                    <w:tl2br w:val="nil"/>
                    <w:tr2bl w:val="nil"/>
                  </w:tcBorders>
                  <w:noWrap w:val="0"/>
                  <w:vAlign w:val="center"/>
                </w:tcPr>
                <w:p>
                  <w:pPr>
                    <w:pStyle w:val="15"/>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施工阶段</w:t>
                  </w:r>
                </w:p>
              </w:tc>
              <w:tc>
                <w:tcPr>
                  <w:tcW w:w="2151" w:type="dxa"/>
                  <w:tcBorders>
                    <w:tl2br w:val="nil"/>
                    <w:tr2bl w:val="nil"/>
                  </w:tcBorders>
                  <w:noWrap w:val="0"/>
                  <w:vAlign w:val="center"/>
                </w:tcPr>
                <w:p>
                  <w:pPr>
                    <w:pStyle w:val="15"/>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监测点排放限值（μg/m</w:t>
                  </w:r>
                  <w:r>
                    <w:rPr>
                      <w:rFonts w:hint="default" w:ascii="Times New Roman" w:hAnsi="Times New Roman" w:cs="Times New Roman"/>
                      <w:b/>
                      <w:bCs/>
                      <w:color w:val="auto"/>
                      <w:highlight w:val="none"/>
                      <w:vertAlign w:val="superscript"/>
                    </w:rPr>
                    <w:t>3</w:t>
                  </w:r>
                  <w:r>
                    <w:rPr>
                      <w:rFonts w:hint="default" w:ascii="Times New Roman" w:hAnsi="Times New Roman" w:cs="Times New Roman"/>
                      <w:b/>
                      <w:bCs/>
                      <w:color w:val="auto"/>
                      <w:highlight w:val="none"/>
                    </w:rPr>
                    <w:t>）</w:t>
                  </w:r>
                </w:p>
              </w:tc>
              <w:tc>
                <w:tcPr>
                  <w:tcW w:w="2041" w:type="dxa"/>
                  <w:tcBorders>
                    <w:tl2br w:val="nil"/>
                    <w:tr2bl w:val="nil"/>
                  </w:tcBorders>
                  <w:noWrap w:val="0"/>
                  <w:vAlign w:val="center"/>
                </w:tcPr>
                <w:p>
                  <w:pPr>
                    <w:pStyle w:val="15"/>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监测时间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1" w:hRule="atLeast"/>
                <w:jc w:val="center"/>
              </w:trPr>
              <w:tc>
                <w:tcPr>
                  <w:tcW w:w="2149" w:type="dxa"/>
                  <w:vMerge w:val="restart"/>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总悬浮颗粒物（TSP）</w:t>
                  </w:r>
                </w:p>
              </w:tc>
              <w:tc>
                <w:tcPr>
                  <w:tcW w:w="2149"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拆除工程/土方开挖/土方回填阶段</w:t>
                  </w:r>
                </w:p>
              </w:tc>
              <w:tc>
                <w:tcPr>
                  <w:tcW w:w="2151"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600</w:t>
                  </w:r>
                </w:p>
              </w:tc>
              <w:tc>
                <w:tcPr>
                  <w:tcW w:w="2041" w:type="dxa"/>
                  <w:vMerge w:val="restart"/>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自监测起持续15分钟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2149" w:type="dxa"/>
                  <w:vMerge w:val="continue"/>
                  <w:tcBorders>
                    <w:tl2br w:val="nil"/>
                    <w:tr2bl w:val="nil"/>
                  </w:tcBorders>
                  <w:noWrap w:val="0"/>
                  <w:vAlign w:val="center"/>
                </w:tcPr>
                <w:p>
                  <w:pPr>
                    <w:pStyle w:val="15"/>
                    <w:bidi w:val="0"/>
                    <w:rPr>
                      <w:rFonts w:hint="default" w:ascii="Times New Roman" w:hAnsi="Times New Roman" w:cs="Times New Roman"/>
                      <w:color w:val="auto"/>
                      <w:highlight w:val="none"/>
                    </w:rPr>
                  </w:pPr>
                </w:p>
              </w:tc>
              <w:tc>
                <w:tcPr>
                  <w:tcW w:w="2149"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其他工程阶段</w:t>
                  </w:r>
                </w:p>
              </w:tc>
              <w:tc>
                <w:tcPr>
                  <w:tcW w:w="2151"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250</w:t>
                  </w:r>
                </w:p>
              </w:tc>
              <w:tc>
                <w:tcPr>
                  <w:tcW w:w="2041" w:type="dxa"/>
                  <w:vMerge w:val="continue"/>
                  <w:tcBorders>
                    <w:tl2br w:val="nil"/>
                    <w:tr2bl w:val="nil"/>
                  </w:tcBorders>
                  <w:noWrap w:val="0"/>
                  <w:vAlign w:val="center"/>
                </w:tcPr>
                <w:p>
                  <w:pPr>
                    <w:pStyle w:val="15"/>
                    <w:bidi w:val="0"/>
                    <w:rPr>
                      <w:rFonts w:hint="default" w:ascii="Times New Roman" w:hAnsi="Times New Roman" w:cs="Times New Roman"/>
                      <w:color w:val="auto"/>
                      <w:highlight w:val="none"/>
                    </w:rPr>
                  </w:pPr>
                </w:p>
              </w:tc>
            </w:tr>
          </w:tbl>
          <w:p>
            <w:pPr>
              <w:bidi w:val="0"/>
              <w:rPr>
                <w:rFonts w:hint="default" w:ascii="Times New Roman" w:hAnsi="Times New Roman" w:cs="Times New Roman"/>
                <w:b/>
                <w:bCs/>
                <w:highlight w:val="none"/>
              </w:rPr>
            </w:pPr>
            <w:r>
              <w:rPr>
                <w:rFonts w:hint="default" w:ascii="Times New Roman" w:hAnsi="Times New Roman" w:cs="Times New Roman"/>
                <w:b/>
                <w:bCs/>
                <w:highlight w:val="none"/>
                <w:lang w:val="en-US" w:eastAsia="zh-CN"/>
              </w:rPr>
              <w:t>3、</w:t>
            </w:r>
            <w:r>
              <w:rPr>
                <w:rFonts w:hint="default" w:ascii="Times New Roman" w:hAnsi="Times New Roman" w:cs="Times New Roman"/>
                <w:b/>
                <w:bCs/>
                <w:highlight w:val="none"/>
              </w:rPr>
              <w:t>噪声</w:t>
            </w:r>
          </w:p>
          <w:p>
            <w:pPr>
              <w:bidi w:val="0"/>
              <w:rPr>
                <w:rFonts w:hint="default" w:ascii="Times New Roman" w:hAnsi="Times New Roman" w:cs="Times New Roman"/>
                <w:highlight w:val="none"/>
              </w:rPr>
            </w:pPr>
            <w:r>
              <w:rPr>
                <w:rFonts w:hint="default" w:ascii="Times New Roman" w:hAnsi="Times New Roman" w:cs="Times New Roman"/>
                <w:highlight w:val="none"/>
                <w:lang w:val="en-US" w:eastAsia="zh-CN"/>
              </w:rPr>
              <w:t>项目</w:t>
            </w:r>
            <w:r>
              <w:rPr>
                <w:rFonts w:hint="default" w:ascii="Times New Roman" w:hAnsi="Times New Roman" w:cs="Times New Roman"/>
                <w:highlight w:val="none"/>
              </w:rPr>
              <w:t>施工期</w:t>
            </w:r>
            <w:r>
              <w:rPr>
                <w:rFonts w:hint="default" w:ascii="Times New Roman" w:hAnsi="Times New Roman" w:cs="Times New Roman"/>
                <w:highlight w:val="none"/>
                <w:lang w:val="en-US" w:eastAsia="zh-CN"/>
              </w:rPr>
              <w:t>噪声</w:t>
            </w:r>
            <w:r>
              <w:rPr>
                <w:rFonts w:hint="default" w:ascii="Times New Roman" w:hAnsi="Times New Roman" w:cs="Times New Roman"/>
                <w:highlight w:val="none"/>
              </w:rPr>
              <w:t>执行《建筑施工场界环境噪声排放标准》（GB12523-2011）。</w:t>
            </w:r>
          </w:p>
          <w:p>
            <w:pPr>
              <w:pStyle w:val="16"/>
              <w:bidi w:val="0"/>
              <w:rPr>
                <w:rFonts w:hint="default" w:ascii="Times New Roman" w:hAnsi="Times New Roman" w:cs="Times New Roman"/>
                <w:highlight w:val="none"/>
                <w:lang w:val="zh-CN"/>
              </w:rPr>
            </w:pPr>
            <w:r>
              <w:rPr>
                <w:rFonts w:hint="default" w:ascii="Times New Roman" w:hAnsi="Times New Roman" w:cs="Times New Roman"/>
                <w:highlight w:val="none"/>
                <w:lang w:val="zh-CN"/>
              </w:rPr>
              <w:t>表3-1</w:t>
            </w:r>
            <w:r>
              <w:rPr>
                <w:rFonts w:hint="default" w:ascii="Times New Roman" w:hAnsi="Times New Roman" w:cs="Times New Roman"/>
                <w:highlight w:val="none"/>
                <w:lang w:val="en-US" w:eastAsia="zh-CN"/>
              </w:rPr>
              <w:t>9</w:t>
            </w:r>
            <w:r>
              <w:rPr>
                <w:rFonts w:hint="default" w:ascii="Times New Roman" w:hAnsi="Times New Roman" w:cs="Times New Roman"/>
                <w:highlight w:val="none"/>
                <w:lang w:val="zh-CN"/>
              </w:rPr>
              <w:t xml:space="preserve">  环境噪声标准值表</w:t>
            </w:r>
          </w:p>
          <w:tbl>
            <w:tblPr>
              <w:tblStyle w:val="11"/>
              <w:tblW w:w="853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029"/>
              <w:gridCol w:w="2786"/>
              <w:gridCol w:w="272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0" w:hRule="atLeast"/>
                <w:jc w:val="center"/>
              </w:trPr>
              <w:tc>
                <w:tcPr>
                  <w:tcW w:w="3029" w:type="dxa"/>
                  <w:tcBorders>
                    <w:tl2br w:val="nil"/>
                    <w:tr2bl w:val="nil"/>
                  </w:tcBorders>
                  <w:noWrap w:val="0"/>
                  <w:vAlign w:val="center"/>
                </w:tcPr>
                <w:p>
                  <w:pPr>
                    <w:pStyle w:val="15"/>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项目</w:t>
                  </w:r>
                </w:p>
              </w:tc>
              <w:tc>
                <w:tcPr>
                  <w:tcW w:w="2786" w:type="dxa"/>
                  <w:tcBorders>
                    <w:tl2br w:val="nil"/>
                    <w:tr2bl w:val="nil"/>
                  </w:tcBorders>
                  <w:noWrap w:val="0"/>
                  <w:vAlign w:val="center"/>
                </w:tcPr>
                <w:p>
                  <w:pPr>
                    <w:pStyle w:val="15"/>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昼间</w:t>
                  </w:r>
                </w:p>
              </w:tc>
              <w:tc>
                <w:tcPr>
                  <w:tcW w:w="2721" w:type="dxa"/>
                  <w:tcBorders>
                    <w:tl2br w:val="nil"/>
                    <w:tr2bl w:val="nil"/>
                  </w:tcBorders>
                  <w:noWrap w:val="0"/>
                  <w:vAlign w:val="center"/>
                </w:tcPr>
                <w:p>
                  <w:pPr>
                    <w:pStyle w:val="15"/>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3029"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施工期排放标准[dB（A）]</w:t>
                  </w:r>
                </w:p>
              </w:tc>
              <w:tc>
                <w:tcPr>
                  <w:tcW w:w="2786"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70</w:t>
                  </w:r>
                </w:p>
              </w:tc>
              <w:tc>
                <w:tcPr>
                  <w:tcW w:w="2721"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55</w:t>
                  </w:r>
                </w:p>
              </w:tc>
            </w:tr>
          </w:tbl>
          <w:p>
            <w:pPr>
              <w:bidi w:val="0"/>
              <w:rPr>
                <w:rFonts w:hint="default" w:ascii="Times New Roman" w:hAnsi="Times New Roman" w:eastAsia="宋体" w:cs="Times New Roman"/>
                <w:b/>
                <w:bCs/>
                <w:color w:val="auto"/>
                <w:highlight w:val="none"/>
                <w:lang w:val="en-US" w:eastAsia="zh-CN"/>
              </w:rPr>
            </w:pPr>
            <w:r>
              <w:rPr>
                <w:rFonts w:hint="default" w:ascii="Times New Roman" w:hAnsi="Times New Roman" w:cs="Times New Roman"/>
                <w:b/>
                <w:bCs/>
                <w:color w:val="auto"/>
                <w:highlight w:val="none"/>
              </w:rPr>
              <w:t>4、</w:t>
            </w:r>
            <w:r>
              <w:rPr>
                <w:rFonts w:hint="default" w:ascii="Times New Roman" w:hAnsi="Times New Roman" w:cs="Times New Roman"/>
                <w:b/>
                <w:bCs/>
                <w:color w:val="auto"/>
                <w:highlight w:val="none"/>
                <w:lang w:val="en-US" w:eastAsia="zh-CN"/>
              </w:rPr>
              <w:t>固体废物</w:t>
            </w:r>
          </w:p>
          <w:p>
            <w:pPr>
              <w:bidi w:val="0"/>
              <w:rPr>
                <w:rFonts w:hint="default" w:ascii="Times New Roman" w:hAnsi="Times New Roman" w:cs="Times New Roman"/>
                <w:highlight w:val="none"/>
                <w:lang w:val="en-US" w:eastAsia="zh-CN"/>
              </w:rPr>
            </w:pPr>
            <w:r>
              <w:rPr>
                <w:rFonts w:hint="default" w:ascii="Times New Roman" w:hAnsi="Times New Roman" w:cs="Times New Roman"/>
                <w:color w:val="auto"/>
                <w:highlight w:val="none"/>
              </w:rPr>
              <w:t>执行《一般工业固体废物贮存和填埋污染控制标准》(GB18599-2020)相关规定。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6" w:type="dxa"/>
            <w:vAlign w:val="center"/>
          </w:tcPr>
          <w:p>
            <w:pPr>
              <w:ind w:left="0" w:leftChars="0" w:firstLine="0" w:firstLineChars="0"/>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其他</w:t>
            </w:r>
          </w:p>
        </w:tc>
        <w:tc>
          <w:tcPr>
            <w:tcW w:w="8825" w:type="dxa"/>
            <w:vAlign w:val="center"/>
          </w:tcPr>
          <w:p>
            <w:pPr>
              <w:bidi w:val="0"/>
              <w:jc w:val="left"/>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rPr>
              <w:t>本项目</w:t>
            </w:r>
            <w:r>
              <w:rPr>
                <w:rFonts w:hint="default" w:ascii="Times New Roman" w:hAnsi="Times New Roman" w:cs="Times New Roman"/>
                <w:color w:val="auto"/>
                <w:highlight w:val="none"/>
                <w:lang w:val="en-US" w:eastAsia="zh-CN"/>
              </w:rPr>
              <w:t>为防洪治理工程，</w:t>
            </w:r>
            <w:r>
              <w:rPr>
                <w:rFonts w:hint="default" w:ascii="Times New Roman" w:hAnsi="Times New Roman" w:cs="Times New Roman"/>
                <w:color w:val="auto"/>
                <w:highlight w:val="none"/>
              </w:rPr>
              <w:t>营运期不涉及总量控制污染物排放，不设总量控制指标</w:t>
            </w:r>
            <w:r>
              <w:rPr>
                <w:rFonts w:hint="default" w:ascii="Times New Roman" w:hAnsi="Times New Roman" w:cs="Times New Roman"/>
                <w:color w:val="auto"/>
                <w:highlight w:val="none"/>
                <w:lang w:eastAsia="zh-CN"/>
              </w:rPr>
              <w:t>。</w:t>
            </w:r>
          </w:p>
          <w:p>
            <w:pPr>
              <w:bidi w:val="0"/>
              <w:jc w:val="left"/>
              <w:rPr>
                <w:rFonts w:hint="default" w:ascii="Times New Roman" w:hAnsi="Times New Roman" w:cs="Times New Roman"/>
                <w:color w:val="auto"/>
                <w:highlight w:val="none"/>
                <w:lang w:eastAsia="zh-CN"/>
              </w:rPr>
            </w:pPr>
          </w:p>
          <w:p>
            <w:pPr>
              <w:bidi w:val="0"/>
              <w:jc w:val="left"/>
              <w:rPr>
                <w:rFonts w:hint="default" w:ascii="Times New Roman" w:hAnsi="Times New Roman" w:cs="Times New Roman"/>
                <w:color w:val="auto"/>
                <w:highlight w:val="none"/>
                <w:lang w:eastAsia="zh-CN"/>
              </w:rPr>
            </w:pPr>
          </w:p>
          <w:p>
            <w:pPr>
              <w:bidi w:val="0"/>
              <w:jc w:val="left"/>
              <w:rPr>
                <w:rFonts w:hint="default" w:ascii="Times New Roman" w:hAnsi="Times New Roman" w:cs="Times New Roman"/>
                <w:color w:val="auto"/>
                <w:highlight w:val="none"/>
                <w:lang w:eastAsia="zh-CN"/>
              </w:rPr>
            </w:pPr>
          </w:p>
          <w:p>
            <w:pPr>
              <w:bidi w:val="0"/>
              <w:jc w:val="left"/>
              <w:rPr>
                <w:rFonts w:hint="default" w:ascii="Times New Roman" w:hAnsi="Times New Roman" w:cs="Times New Roman"/>
                <w:color w:val="auto"/>
                <w:highlight w:val="none"/>
                <w:lang w:eastAsia="zh-CN"/>
              </w:rPr>
            </w:pPr>
          </w:p>
          <w:p>
            <w:pPr>
              <w:bidi w:val="0"/>
              <w:jc w:val="left"/>
              <w:rPr>
                <w:rFonts w:hint="default" w:ascii="Times New Roman" w:hAnsi="Times New Roman" w:cs="Times New Roman"/>
                <w:color w:val="auto"/>
                <w:highlight w:val="none"/>
                <w:lang w:eastAsia="zh-CN"/>
              </w:rPr>
            </w:pPr>
          </w:p>
          <w:p>
            <w:pPr>
              <w:bidi w:val="0"/>
              <w:jc w:val="left"/>
              <w:rPr>
                <w:rFonts w:hint="default" w:ascii="Times New Roman" w:hAnsi="Times New Roman" w:cs="Times New Roman"/>
                <w:color w:val="auto"/>
                <w:highlight w:val="none"/>
                <w:lang w:eastAsia="zh-CN"/>
              </w:rPr>
            </w:pPr>
          </w:p>
          <w:p>
            <w:pPr>
              <w:bidi w:val="0"/>
              <w:jc w:val="left"/>
              <w:rPr>
                <w:rFonts w:hint="default" w:ascii="Times New Roman" w:hAnsi="Times New Roman" w:cs="Times New Roman"/>
                <w:color w:val="auto"/>
                <w:highlight w:val="none"/>
                <w:lang w:eastAsia="zh-CN"/>
              </w:rPr>
            </w:pPr>
          </w:p>
          <w:p>
            <w:pPr>
              <w:bidi w:val="0"/>
              <w:jc w:val="left"/>
              <w:rPr>
                <w:rFonts w:hint="default" w:ascii="Times New Roman" w:hAnsi="Times New Roman" w:cs="Times New Roman"/>
                <w:color w:val="auto"/>
                <w:highlight w:val="none"/>
                <w:lang w:eastAsia="zh-CN"/>
              </w:rPr>
            </w:pPr>
          </w:p>
          <w:p>
            <w:pPr>
              <w:bidi w:val="0"/>
              <w:jc w:val="left"/>
              <w:rPr>
                <w:rFonts w:hint="default" w:ascii="Times New Roman" w:hAnsi="Times New Roman" w:cs="Times New Roman"/>
                <w:color w:val="auto"/>
                <w:highlight w:val="none"/>
                <w:lang w:eastAsia="zh-CN"/>
              </w:rPr>
            </w:pPr>
          </w:p>
          <w:p>
            <w:pPr>
              <w:bidi w:val="0"/>
              <w:jc w:val="left"/>
              <w:rPr>
                <w:rFonts w:hint="default" w:ascii="Times New Roman" w:hAnsi="Times New Roman" w:cs="Times New Roman"/>
                <w:color w:val="auto"/>
                <w:highlight w:val="none"/>
                <w:lang w:eastAsia="zh-CN"/>
              </w:rPr>
            </w:pPr>
          </w:p>
          <w:p>
            <w:pPr>
              <w:bidi w:val="0"/>
              <w:ind w:left="0" w:leftChars="0" w:firstLine="0" w:firstLineChars="0"/>
              <w:jc w:val="left"/>
              <w:rPr>
                <w:rFonts w:hint="default" w:ascii="Times New Roman" w:hAnsi="Times New Roman" w:cs="Times New Roman"/>
                <w:color w:val="auto"/>
                <w:highlight w:val="none"/>
                <w:lang w:eastAsia="zh-CN"/>
              </w:rPr>
            </w:pPr>
          </w:p>
        </w:tc>
      </w:tr>
    </w:tbl>
    <w:p>
      <w:pPr>
        <w:rPr>
          <w:rFonts w:hint="default" w:ascii="宋体" w:hAnsi="宋体" w:eastAsia="宋体"/>
          <w:b w:val="0"/>
          <w:bCs w:val="0"/>
          <w:sz w:val="28"/>
          <w:szCs w:val="28"/>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2"/>
        <w:bidi w:val="0"/>
        <w:rPr>
          <w:color w:val="auto"/>
        </w:rPr>
      </w:pPr>
      <w:bookmarkStart w:id="61" w:name="_Toc26157"/>
      <w:bookmarkStart w:id="62" w:name="_Toc9240"/>
      <w:bookmarkStart w:id="63" w:name="_Toc4653"/>
      <w:bookmarkStart w:id="64" w:name="_Toc8971"/>
      <w:bookmarkStart w:id="65" w:name="_Toc23317"/>
      <w:bookmarkStart w:id="66" w:name="_Toc2926"/>
      <w:bookmarkStart w:id="67" w:name="_Toc13579"/>
      <w:bookmarkStart w:id="68" w:name="_Toc9034"/>
      <w:r>
        <w:rPr>
          <w:rFonts w:hint="eastAsia"/>
          <w:color w:val="auto"/>
          <w:lang w:val="en-US" w:eastAsia="zh-CN"/>
        </w:rPr>
        <w:t>四、</w:t>
      </w:r>
      <w:r>
        <w:rPr>
          <w:color w:val="auto"/>
        </w:rPr>
        <w:t>生态环境影响分析</w:t>
      </w:r>
      <w:bookmarkEnd w:id="61"/>
      <w:bookmarkEnd w:id="62"/>
      <w:bookmarkEnd w:id="63"/>
      <w:bookmarkEnd w:id="64"/>
      <w:bookmarkEnd w:id="65"/>
      <w:bookmarkEnd w:id="66"/>
      <w:bookmarkEnd w:id="67"/>
      <w:bookmarkEnd w:id="68"/>
    </w:p>
    <w:tbl>
      <w:tblPr>
        <w:tblStyle w:val="12"/>
        <w:tblW w:w="9189" w:type="dxa"/>
        <w:tblInd w:w="-274"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76"/>
        <w:gridCol w:w="871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75" w:type="dxa"/>
            <w:tcBorders>
              <w:tl2br w:val="nil"/>
              <w:tr2bl w:val="nil"/>
            </w:tcBorders>
            <w:vAlign w:val="center"/>
          </w:tcPr>
          <w:p>
            <w:pPr>
              <w:ind w:left="0" w:leftChars="0" w:firstLine="0" w:firstLineChars="0"/>
              <w:jc w:val="both"/>
              <w:rPr>
                <w:rFonts w:hint="default" w:ascii="Times New Roman" w:hAnsi="Times New Roman" w:eastAsia="宋体" w:cs="Times New Roman"/>
                <w:b w:val="0"/>
                <w:bCs w:val="0"/>
                <w:color w:val="auto"/>
                <w:sz w:val="28"/>
                <w:szCs w:val="28"/>
                <w:highlight w:val="none"/>
                <w:vertAlign w:val="baseline"/>
                <w:lang w:val="en-US" w:eastAsia="zh-CN"/>
              </w:rPr>
            </w:pPr>
            <w:r>
              <w:rPr>
                <w:rFonts w:hint="default" w:ascii="Times New Roman" w:hAnsi="Times New Roman" w:cs="Times New Roman"/>
                <w:bCs/>
                <w:color w:val="auto"/>
                <w:spacing w:val="10"/>
                <w:kern w:val="2"/>
                <w:sz w:val="21"/>
                <w:szCs w:val="21"/>
                <w:highlight w:val="none"/>
              </w:rPr>
              <w:t>施工期生态环境影响分析</w:t>
            </w:r>
          </w:p>
        </w:tc>
        <w:tc>
          <w:tcPr>
            <w:tcW w:w="8714" w:type="dxa"/>
            <w:tcBorders>
              <w:tl2br w:val="nil"/>
              <w:tr2bl w:val="nil"/>
            </w:tcBorders>
          </w:tcPr>
          <w:p>
            <w:pPr>
              <w:numPr>
                <w:ilvl w:val="0"/>
                <w:numId w:val="0"/>
              </w:numPr>
              <w:bidi w:val="0"/>
              <w:ind w:leftChars="200"/>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一、施工期环境影响识别</w:t>
            </w:r>
          </w:p>
          <w:p>
            <w:pPr>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本项目工程施工期的主要影响要素识别如下：</w:t>
            </w:r>
          </w:p>
          <w:p>
            <w:pPr>
              <w:pStyle w:val="1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表4-1  施工期主要环境影响识别表</w:t>
            </w:r>
          </w:p>
          <w:tbl>
            <w:tblPr>
              <w:tblStyle w:val="12"/>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31"/>
              <w:gridCol w:w="1727"/>
              <w:gridCol w:w="1543"/>
              <w:gridCol w:w="1809"/>
              <w:gridCol w:w="1421"/>
              <w:gridCol w:w="126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30" w:type="pct"/>
                  <w:tcBorders>
                    <w:bottom w:val="single" w:color="auto" w:sz="4" w:space="0"/>
                  </w:tcBorders>
                  <w:vAlign w:val="center"/>
                </w:tcPr>
                <w:p>
                  <w:pPr>
                    <w:pStyle w:val="15"/>
                    <w:rPr>
                      <w:rFonts w:hint="default" w:ascii="Times New Roman" w:hAnsi="Times New Roman" w:cs="Times New Roman"/>
                      <w:b/>
                      <w:bCs/>
                      <w:color w:val="auto"/>
                      <w:highlight w:val="none"/>
                      <w:u w:val="none"/>
                      <w:lang w:val="en-US" w:eastAsia="zh-CN"/>
                    </w:rPr>
                  </w:pPr>
                  <w:r>
                    <w:rPr>
                      <w:rFonts w:hint="default" w:ascii="Times New Roman" w:hAnsi="Times New Roman" w:cs="Times New Roman"/>
                      <w:b/>
                      <w:bCs/>
                      <w:color w:val="auto"/>
                      <w:highlight w:val="none"/>
                      <w:u w:val="none"/>
                      <w:lang w:val="en-US" w:eastAsia="zh-CN"/>
                    </w:rPr>
                    <w:t>工程活动</w:t>
                  </w:r>
                </w:p>
              </w:tc>
              <w:tc>
                <w:tcPr>
                  <w:tcW w:w="1016" w:type="pct"/>
                  <w:tcBorders>
                    <w:bottom w:val="single" w:color="auto" w:sz="4" w:space="0"/>
                  </w:tcBorders>
                  <w:vAlign w:val="center"/>
                </w:tcPr>
                <w:p>
                  <w:pPr>
                    <w:pStyle w:val="15"/>
                    <w:rPr>
                      <w:rFonts w:hint="default" w:ascii="Times New Roman" w:hAnsi="Times New Roman" w:cs="Times New Roman"/>
                      <w:b/>
                      <w:bCs/>
                      <w:color w:val="auto"/>
                      <w:highlight w:val="none"/>
                      <w:u w:val="none"/>
                      <w:lang w:val="en-US" w:eastAsia="zh-CN"/>
                    </w:rPr>
                  </w:pPr>
                  <w:r>
                    <w:rPr>
                      <w:rFonts w:hint="default" w:ascii="Times New Roman" w:hAnsi="Times New Roman" w:cs="Times New Roman"/>
                      <w:b/>
                      <w:bCs/>
                      <w:color w:val="auto"/>
                      <w:highlight w:val="none"/>
                      <w:u w:val="none"/>
                      <w:lang w:val="en-US" w:eastAsia="zh-CN"/>
                    </w:rPr>
                    <w:t>影响类别</w:t>
                  </w:r>
                </w:p>
              </w:tc>
              <w:tc>
                <w:tcPr>
                  <w:tcW w:w="908" w:type="pct"/>
                  <w:tcBorders>
                    <w:tl2br w:val="nil"/>
                    <w:tr2bl w:val="nil"/>
                  </w:tcBorders>
                  <w:vAlign w:val="center"/>
                </w:tcPr>
                <w:p>
                  <w:pPr>
                    <w:pStyle w:val="15"/>
                    <w:rPr>
                      <w:rFonts w:hint="default" w:ascii="Times New Roman" w:hAnsi="Times New Roman" w:cs="Times New Roman"/>
                      <w:b/>
                      <w:bCs/>
                      <w:color w:val="auto"/>
                      <w:highlight w:val="none"/>
                      <w:u w:val="none"/>
                      <w:lang w:val="en-US" w:eastAsia="zh-CN"/>
                    </w:rPr>
                  </w:pPr>
                  <w:r>
                    <w:rPr>
                      <w:rFonts w:hint="default" w:ascii="Times New Roman" w:hAnsi="Times New Roman" w:cs="Times New Roman"/>
                      <w:b/>
                      <w:bCs/>
                      <w:color w:val="auto"/>
                      <w:highlight w:val="none"/>
                      <w:u w:val="none"/>
                      <w:lang w:val="en-US" w:eastAsia="zh-CN"/>
                    </w:rPr>
                    <w:t>影响对象</w:t>
                  </w:r>
                </w:p>
              </w:tc>
              <w:tc>
                <w:tcPr>
                  <w:tcW w:w="1064" w:type="pct"/>
                  <w:tcBorders>
                    <w:tl2br w:val="nil"/>
                    <w:tr2bl w:val="nil"/>
                  </w:tcBorders>
                  <w:vAlign w:val="center"/>
                </w:tcPr>
                <w:p>
                  <w:pPr>
                    <w:pStyle w:val="15"/>
                    <w:rPr>
                      <w:rFonts w:hint="default" w:ascii="Times New Roman" w:hAnsi="Times New Roman" w:cs="Times New Roman"/>
                      <w:b/>
                      <w:bCs/>
                      <w:color w:val="auto"/>
                      <w:highlight w:val="none"/>
                      <w:u w:val="none"/>
                      <w:lang w:val="en-US" w:eastAsia="zh-CN"/>
                    </w:rPr>
                  </w:pPr>
                  <w:r>
                    <w:rPr>
                      <w:rFonts w:hint="default" w:ascii="Times New Roman" w:hAnsi="Times New Roman" w:cs="Times New Roman"/>
                      <w:b/>
                      <w:bCs/>
                      <w:color w:val="auto"/>
                      <w:highlight w:val="none"/>
                      <w:u w:val="none"/>
                      <w:lang w:val="en-US" w:eastAsia="zh-CN"/>
                    </w:rPr>
                    <w:t>污染物</w:t>
                  </w:r>
                </w:p>
              </w:tc>
              <w:tc>
                <w:tcPr>
                  <w:tcW w:w="836" w:type="pct"/>
                  <w:tcBorders>
                    <w:tl2br w:val="nil"/>
                    <w:tr2bl w:val="nil"/>
                  </w:tcBorders>
                  <w:vAlign w:val="center"/>
                </w:tcPr>
                <w:p>
                  <w:pPr>
                    <w:pStyle w:val="15"/>
                    <w:rPr>
                      <w:rFonts w:hint="default" w:ascii="Times New Roman" w:hAnsi="Times New Roman" w:cs="Times New Roman"/>
                      <w:b/>
                      <w:bCs/>
                      <w:color w:val="auto"/>
                      <w:highlight w:val="none"/>
                      <w:u w:val="none"/>
                      <w:lang w:val="en-US" w:eastAsia="zh-CN"/>
                    </w:rPr>
                  </w:pPr>
                  <w:r>
                    <w:rPr>
                      <w:rFonts w:hint="default" w:ascii="Times New Roman" w:hAnsi="Times New Roman" w:cs="Times New Roman"/>
                      <w:b/>
                      <w:bCs/>
                      <w:color w:val="auto"/>
                      <w:highlight w:val="none"/>
                      <w:u w:val="none"/>
                      <w:lang w:val="en-US" w:eastAsia="zh-CN"/>
                    </w:rPr>
                    <w:t>影响途径</w:t>
                  </w:r>
                </w:p>
              </w:tc>
              <w:tc>
                <w:tcPr>
                  <w:tcW w:w="743" w:type="pct"/>
                  <w:tcBorders>
                    <w:tl2br w:val="nil"/>
                    <w:tr2bl w:val="nil"/>
                  </w:tcBorders>
                  <w:vAlign w:val="center"/>
                </w:tcPr>
                <w:p>
                  <w:pPr>
                    <w:pStyle w:val="15"/>
                    <w:rPr>
                      <w:rFonts w:hint="default" w:ascii="Times New Roman" w:hAnsi="Times New Roman" w:cs="Times New Roman"/>
                      <w:b/>
                      <w:bCs/>
                      <w:color w:val="auto"/>
                      <w:highlight w:val="none"/>
                      <w:u w:val="none"/>
                      <w:lang w:val="en-US" w:eastAsia="zh-CN"/>
                    </w:rPr>
                  </w:pPr>
                  <w:r>
                    <w:rPr>
                      <w:rFonts w:hint="default" w:ascii="Times New Roman" w:hAnsi="Times New Roman" w:cs="Times New Roman"/>
                      <w:b/>
                      <w:bCs/>
                      <w:color w:val="auto"/>
                      <w:highlight w:val="none"/>
                      <w:u w:val="none"/>
                      <w:lang w:val="en-US" w:eastAsia="zh-CN"/>
                    </w:rPr>
                    <w:t>影响性质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30" w:type="pct"/>
                  <w:vMerge w:val="restart"/>
                  <w:tcBorders>
                    <w:tl2br w:val="nil"/>
                    <w:tr2bl w:val="nil"/>
                  </w:tcBorders>
                  <w:vAlign w:val="center"/>
                </w:tcPr>
                <w:p>
                  <w:pPr>
                    <w:pStyle w:val="15"/>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堤防工程</w:t>
                  </w:r>
                </w:p>
              </w:tc>
              <w:tc>
                <w:tcPr>
                  <w:tcW w:w="1016" w:type="pct"/>
                  <w:tcBorders>
                    <w:tl2br w:val="nil"/>
                    <w:tr2bl w:val="nil"/>
                  </w:tcBorders>
                  <w:vAlign w:val="center"/>
                </w:tcPr>
                <w:p>
                  <w:pPr>
                    <w:pStyle w:val="15"/>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生态环境影响</w:t>
                  </w:r>
                </w:p>
              </w:tc>
              <w:tc>
                <w:tcPr>
                  <w:tcW w:w="908" w:type="pct"/>
                  <w:tcBorders>
                    <w:tl2br w:val="nil"/>
                    <w:tr2bl w:val="nil"/>
                  </w:tcBorders>
                  <w:vAlign w:val="center"/>
                </w:tcPr>
                <w:p>
                  <w:pPr>
                    <w:pStyle w:val="15"/>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周边水生、陆生生态、水土流失</w:t>
                  </w:r>
                </w:p>
              </w:tc>
              <w:tc>
                <w:tcPr>
                  <w:tcW w:w="1064" w:type="pct"/>
                  <w:tcBorders>
                    <w:tl2br w:val="nil"/>
                    <w:tr2bl w:val="nil"/>
                  </w:tcBorders>
                  <w:vAlign w:val="center"/>
                </w:tcPr>
                <w:p>
                  <w:pPr>
                    <w:pStyle w:val="15"/>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w:t>
                  </w:r>
                </w:p>
              </w:tc>
              <w:tc>
                <w:tcPr>
                  <w:tcW w:w="836" w:type="pct"/>
                  <w:tcBorders>
                    <w:tl2br w:val="nil"/>
                    <w:tr2bl w:val="nil"/>
                  </w:tcBorders>
                  <w:vAlign w:val="center"/>
                </w:tcPr>
                <w:p>
                  <w:pPr>
                    <w:pStyle w:val="15"/>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基础开挖、围堰施工、土石方开挖、生态护坡</w:t>
                  </w:r>
                </w:p>
              </w:tc>
              <w:tc>
                <w:tcPr>
                  <w:tcW w:w="743" w:type="pct"/>
                  <w:tcBorders>
                    <w:tl2br w:val="nil"/>
                    <w:tr2bl w:val="nil"/>
                  </w:tcBorders>
                  <w:vAlign w:val="center"/>
                </w:tcPr>
                <w:p>
                  <w:pPr>
                    <w:pStyle w:val="15"/>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短期影响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30" w:type="pct"/>
                  <w:vMerge w:val="continue"/>
                  <w:tcBorders>
                    <w:tl2br w:val="nil"/>
                    <w:tr2bl w:val="nil"/>
                  </w:tcBorders>
                  <w:vAlign w:val="center"/>
                </w:tcPr>
                <w:p>
                  <w:pPr>
                    <w:pStyle w:val="15"/>
                    <w:rPr>
                      <w:rFonts w:hint="default" w:ascii="Times New Roman" w:hAnsi="Times New Roman" w:cs="Times New Roman"/>
                      <w:color w:val="auto"/>
                      <w:highlight w:val="none"/>
                      <w:u w:val="none"/>
                      <w:lang w:val="en-US" w:eastAsia="zh-CN"/>
                    </w:rPr>
                  </w:pPr>
                </w:p>
              </w:tc>
              <w:tc>
                <w:tcPr>
                  <w:tcW w:w="1016" w:type="pct"/>
                  <w:tcBorders>
                    <w:tl2br w:val="nil"/>
                    <w:tr2bl w:val="nil"/>
                  </w:tcBorders>
                  <w:vAlign w:val="center"/>
                </w:tcPr>
                <w:p>
                  <w:pPr>
                    <w:pStyle w:val="15"/>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水环境影响</w:t>
                  </w:r>
                </w:p>
              </w:tc>
              <w:tc>
                <w:tcPr>
                  <w:tcW w:w="908" w:type="pct"/>
                  <w:tcBorders>
                    <w:tl2br w:val="nil"/>
                    <w:tr2bl w:val="nil"/>
                  </w:tcBorders>
                  <w:vAlign w:val="center"/>
                </w:tcPr>
                <w:p>
                  <w:pPr>
                    <w:pStyle w:val="15"/>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沿线住户、企业、学校等</w:t>
                  </w:r>
                </w:p>
              </w:tc>
              <w:tc>
                <w:tcPr>
                  <w:tcW w:w="1064" w:type="pct"/>
                  <w:tcBorders>
                    <w:tl2br w:val="nil"/>
                    <w:tr2bl w:val="nil"/>
                  </w:tcBorders>
                  <w:vAlign w:val="center"/>
                </w:tcPr>
                <w:p>
                  <w:pPr>
                    <w:pStyle w:val="15"/>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砂石骨料冲洗及</w:t>
                  </w:r>
                  <w:r>
                    <w:rPr>
                      <w:rFonts w:hint="default" w:ascii="Times New Roman" w:hAnsi="Times New Roman" w:cs="Times New Roman"/>
                      <w:color w:val="auto"/>
                      <w:highlight w:val="none"/>
                      <w:u w:val="none"/>
                    </w:rPr>
                    <w:t>砼浇筑废水</w:t>
                  </w:r>
                  <w:r>
                    <w:rPr>
                      <w:rFonts w:hint="default" w:ascii="Times New Roman" w:hAnsi="Times New Roman" w:cs="Times New Roman"/>
                      <w:color w:val="auto"/>
                      <w:highlight w:val="none"/>
                      <w:u w:val="none"/>
                      <w:lang w:eastAsia="zh-CN"/>
                    </w:rPr>
                    <w:t>、</w:t>
                  </w:r>
                  <w:r>
                    <w:rPr>
                      <w:rFonts w:hint="default" w:ascii="Times New Roman" w:hAnsi="Times New Roman" w:cs="Times New Roman"/>
                      <w:color w:val="auto"/>
                      <w:highlight w:val="none"/>
                      <w:u w:val="none"/>
                      <w:lang w:val="en-US" w:eastAsia="zh-CN"/>
                    </w:rPr>
                    <w:t>施工围堰废水、</w:t>
                  </w:r>
                  <w:r>
                    <w:rPr>
                      <w:rFonts w:hint="default" w:ascii="Times New Roman" w:hAnsi="Times New Roman" w:cs="Times New Roman"/>
                      <w:b w:val="0"/>
                      <w:bCs w:val="0"/>
                      <w:color w:val="auto"/>
                      <w:highlight w:val="none"/>
                      <w:u w:val="none"/>
                      <w:lang w:val="en-US" w:eastAsia="zh-CN"/>
                    </w:rPr>
                    <w:t>防洪堤</w:t>
                  </w:r>
                  <w:r>
                    <w:rPr>
                      <w:rFonts w:hint="default" w:ascii="Times New Roman" w:hAnsi="Times New Roman" w:cs="Times New Roman"/>
                      <w:color w:val="auto"/>
                      <w:highlight w:val="none"/>
                      <w:u w:val="none"/>
                      <w:lang w:val="en-US" w:eastAsia="zh-CN"/>
                    </w:rPr>
                    <w:t>基坑废水、车辆冲洗废水</w:t>
                  </w:r>
                </w:p>
              </w:tc>
              <w:tc>
                <w:tcPr>
                  <w:tcW w:w="836" w:type="pct"/>
                  <w:tcBorders>
                    <w:tl2br w:val="nil"/>
                    <w:tr2bl w:val="nil"/>
                  </w:tcBorders>
                  <w:vAlign w:val="center"/>
                </w:tcPr>
                <w:p>
                  <w:pPr>
                    <w:pStyle w:val="15"/>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u w:val="none"/>
                    </w:rPr>
                    <w:t>砼浇筑</w:t>
                  </w:r>
                  <w:r>
                    <w:rPr>
                      <w:rFonts w:hint="default" w:ascii="Times New Roman" w:hAnsi="Times New Roman" w:cs="Times New Roman"/>
                      <w:color w:val="auto"/>
                      <w:highlight w:val="none"/>
                      <w:u w:val="none"/>
                      <w:lang w:eastAsia="zh-CN"/>
                    </w:rPr>
                    <w:t>、</w:t>
                  </w:r>
                  <w:r>
                    <w:rPr>
                      <w:rFonts w:hint="default" w:ascii="Times New Roman" w:hAnsi="Times New Roman" w:cs="Times New Roman"/>
                      <w:color w:val="auto"/>
                      <w:highlight w:val="none"/>
                      <w:u w:val="none"/>
                      <w:lang w:val="en-US" w:eastAsia="zh-CN"/>
                    </w:rPr>
                    <w:t>混凝土拌和</w:t>
                  </w:r>
                  <w:r>
                    <w:rPr>
                      <w:rFonts w:hint="default" w:ascii="Times New Roman" w:hAnsi="Times New Roman" w:cs="Times New Roman"/>
                      <w:color w:val="auto"/>
                      <w:highlight w:val="none"/>
                      <w:u w:val="none"/>
                      <w:lang w:eastAsia="zh-CN"/>
                    </w:rPr>
                    <w:t>、</w:t>
                  </w:r>
                  <w:r>
                    <w:rPr>
                      <w:rFonts w:hint="default" w:ascii="Times New Roman" w:hAnsi="Times New Roman" w:cs="Times New Roman"/>
                      <w:color w:val="auto"/>
                      <w:highlight w:val="none"/>
                      <w:u w:val="none"/>
                      <w:lang w:val="en-US" w:eastAsia="zh-CN"/>
                    </w:rPr>
                    <w:t>围堰施工、</w:t>
                  </w:r>
                  <w:r>
                    <w:rPr>
                      <w:rFonts w:hint="default" w:ascii="Times New Roman" w:hAnsi="Times New Roman" w:cs="Times New Roman"/>
                      <w:b w:val="0"/>
                      <w:bCs w:val="0"/>
                      <w:color w:val="auto"/>
                      <w:highlight w:val="none"/>
                      <w:u w:val="none"/>
                      <w:lang w:val="en-US" w:eastAsia="zh-CN"/>
                    </w:rPr>
                    <w:t>防洪堤</w:t>
                  </w:r>
                  <w:r>
                    <w:rPr>
                      <w:rFonts w:hint="default" w:ascii="Times New Roman" w:hAnsi="Times New Roman" w:cs="Times New Roman"/>
                      <w:color w:val="auto"/>
                      <w:highlight w:val="none"/>
                      <w:u w:val="none"/>
                      <w:lang w:val="en-US" w:eastAsia="zh-CN"/>
                    </w:rPr>
                    <w:t>基坑排水、车辆冲洗</w:t>
                  </w:r>
                </w:p>
              </w:tc>
              <w:tc>
                <w:tcPr>
                  <w:tcW w:w="743" w:type="pct"/>
                  <w:tcBorders>
                    <w:tl2br w:val="nil"/>
                    <w:tr2bl w:val="nil"/>
                  </w:tcBorders>
                  <w:vAlign w:val="center"/>
                </w:tcPr>
                <w:p>
                  <w:pPr>
                    <w:pStyle w:val="15"/>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短期影响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30" w:type="pct"/>
                  <w:vMerge w:val="continue"/>
                  <w:tcBorders>
                    <w:tl2br w:val="nil"/>
                    <w:tr2bl w:val="nil"/>
                  </w:tcBorders>
                  <w:vAlign w:val="center"/>
                </w:tcPr>
                <w:p>
                  <w:pPr>
                    <w:pStyle w:val="15"/>
                    <w:rPr>
                      <w:rFonts w:hint="default" w:ascii="Times New Roman" w:hAnsi="Times New Roman" w:cs="Times New Roman"/>
                      <w:color w:val="auto"/>
                      <w:highlight w:val="none"/>
                      <w:u w:val="none"/>
                      <w:lang w:val="en-US" w:eastAsia="zh-CN"/>
                    </w:rPr>
                  </w:pPr>
                </w:p>
              </w:tc>
              <w:tc>
                <w:tcPr>
                  <w:tcW w:w="1016" w:type="pct"/>
                  <w:tcBorders>
                    <w:tl2br w:val="nil"/>
                    <w:tr2bl w:val="nil"/>
                  </w:tcBorders>
                  <w:vAlign w:val="center"/>
                </w:tcPr>
                <w:p>
                  <w:pPr>
                    <w:pStyle w:val="15"/>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环境空气影响</w:t>
                  </w:r>
                </w:p>
              </w:tc>
              <w:tc>
                <w:tcPr>
                  <w:tcW w:w="908" w:type="pct"/>
                  <w:tcBorders>
                    <w:tl2br w:val="nil"/>
                    <w:tr2bl w:val="nil"/>
                  </w:tcBorders>
                  <w:vAlign w:val="center"/>
                </w:tcPr>
                <w:p>
                  <w:pPr>
                    <w:pStyle w:val="15"/>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沿线住户、企业、学校等</w:t>
                  </w:r>
                </w:p>
              </w:tc>
              <w:tc>
                <w:tcPr>
                  <w:tcW w:w="1064" w:type="pct"/>
                  <w:tcBorders>
                    <w:tl2br w:val="nil"/>
                    <w:tr2bl w:val="nil"/>
                  </w:tcBorders>
                  <w:vAlign w:val="center"/>
                </w:tcPr>
                <w:p>
                  <w:pPr>
                    <w:pStyle w:val="15"/>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施工扬尘、道路运输扬尘、动力燃油废气、柴油发电机废气、</w:t>
                  </w:r>
                </w:p>
              </w:tc>
              <w:tc>
                <w:tcPr>
                  <w:tcW w:w="836" w:type="pct"/>
                  <w:tcBorders>
                    <w:tl2br w:val="nil"/>
                    <w:tr2bl w:val="nil"/>
                  </w:tcBorders>
                  <w:vAlign w:val="center"/>
                </w:tcPr>
                <w:p>
                  <w:pPr>
                    <w:pStyle w:val="15"/>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u w:val="none"/>
                    </w:rPr>
                    <w:t>基础开挖、物料运输、</w:t>
                  </w:r>
                  <w:r>
                    <w:rPr>
                      <w:rFonts w:hint="default" w:ascii="Times New Roman" w:hAnsi="Times New Roman" w:cs="Times New Roman"/>
                      <w:color w:val="auto"/>
                      <w:highlight w:val="none"/>
                      <w:u w:val="none"/>
                      <w:lang w:val="en-US" w:eastAsia="zh-CN"/>
                    </w:rPr>
                    <w:t>土石方开挖</w:t>
                  </w:r>
                  <w:r>
                    <w:rPr>
                      <w:rFonts w:hint="default" w:ascii="Times New Roman" w:hAnsi="Times New Roman" w:cs="Times New Roman"/>
                      <w:color w:val="auto"/>
                      <w:highlight w:val="none"/>
                      <w:u w:val="none"/>
                    </w:rPr>
                    <w:t>、施工机械及运输车辆</w:t>
                  </w:r>
                </w:p>
              </w:tc>
              <w:tc>
                <w:tcPr>
                  <w:tcW w:w="743" w:type="pct"/>
                  <w:tcBorders>
                    <w:tl2br w:val="nil"/>
                    <w:tr2bl w:val="nil"/>
                  </w:tcBorders>
                  <w:vAlign w:val="center"/>
                </w:tcPr>
                <w:p>
                  <w:pPr>
                    <w:pStyle w:val="15"/>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短期影响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30" w:type="pct"/>
                  <w:vMerge w:val="continue"/>
                  <w:tcBorders>
                    <w:tl2br w:val="nil"/>
                    <w:tr2bl w:val="nil"/>
                  </w:tcBorders>
                  <w:vAlign w:val="center"/>
                </w:tcPr>
                <w:p>
                  <w:pPr>
                    <w:pStyle w:val="15"/>
                    <w:rPr>
                      <w:rFonts w:hint="default" w:ascii="Times New Roman" w:hAnsi="Times New Roman" w:cs="Times New Roman"/>
                      <w:color w:val="auto"/>
                      <w:highlight w:val="none"/>
                      <w:u w:val="none"/>
                      <w:lang w:val="en-US" w:eastAsia="zh-CN"/>
                    </w:rPr>
                  </w:pPr>
                </w:p>
              </w:tc>
              <w:tc>
                <w:tcPr>
                  <w:tcW w:w="1016" w:type="pct"/>
                  <w:tcBorders>
                    <w:tl2br w:val="nil"/>
                    <w:tr2bl w:val="nil"/>
                  </w:tcBorders>
                  <w:vAlign w:val="center"/>
                </w:tcPr>
                <w:p>
                  <w:pPr>
                    <w:pStyle w:val="15"/>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环境噪声影响</w:t>
                  </w:r>
                </w:p>
              </w:tc>
              <w:tc>
                <w:tcPr>
                  <w:tcW w:w="908" w:type="pct"/>
                  <w:tcBorders>
                    <w:tl2br w:val="nil"/>
                    <w:tr2bl w:val="nil"/>
                  </w:tcBorders>
                  <w:vAlign w:val="center"/>
                </w:tcPr>
                <w:p>
                  <w:pPr>
                    <w:pStyle w:val="15"/>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沿线住户、企业、学校等</w:t>
                  </w:r>
                </w:p>
              </w:tc>
              <w:tc>
                <w:tcPr>
                  <w:tcW w:w="1064" w:type="pct"/>
                  <w:tcBorders>
                    <w:tl2br w:val="nil"/>
                    <w:tr2bl w:val="nil"/>
                  </w:tcBorders>
                  <w:vAlign w:val="center"/>
                </w:tcPr>
                <w:p>
                  <w:pPr>
                    <w:pStyle w:val="15"/>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噪声</w:t>
                  </w:r>
                </w:p>
              </w:tc>
              <w:tc>
                <w:tcPr>
                  <w:tcW w:w="836" w:type="pct"/>
                  <w:tcBorders>
                    <w:tl2br w:val="nil"/>
                    <w:tr2bl w:val="nil"/>
                  </w:tcBorders>
                  <w:vAlign w:val="center"/>
                </w:tcPr>
                <w:p>
                  <w:pPr>
                    <w:pStyle w:val="15"/>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机械施工、车辆运输</w:t>
                  </w:r>
                </w:p>
              </w:tc>
              <w:tc>
                <w:tcPr>
                  <w:tcW w:w="743" w:type="pct"/>
                  <w:tcBorders>
                    <w:tl2br w:val="nil"/>
                    <w:tr2bl w:val="nil"/>
                  </w:tcBorders>
                  <w:vAlign w:val="center"/>
                </w:tcPr>
                <w:p>
                  <w:pPr>
                    <w:pStyle w:val="15"/>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短期影响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30" w:type="pct"/>
                  <w:vMerge w:val="continue"/>
                  <w:tcBorders>
                    <w:tl2br w:val="nil"/>
                    <w:tr2bl w:val="nil"/>
                  </w:tcBorders>
                  <w:vAlign w:val="center"/>
                </w:tcPr>
                <w:p>
                  <w:pPr>
                    <w:pStyle w:val="15"/>
                    <w:rPr>
                      <w:rFonts w:hint="default" w:ascii="Times New Roman" w:hAnsi="Times New Roman" w:cs="Times New Roman"/>
                      <w:color w:val="auto"/>
                      <w:highlight w:val="none"/>
                      <w:u w:val="none"/>
                      <w:lang w:val="en-US" w:eastAsia="zh-CN"/>
                    </w:rPr>
                  </w:pPr>
                </w:p>
              </w:tc>
              <w:tc>
                <w:tcPr>
                  <w:tcW w:w="1016" w:type="pct"/>
                  <w:tcBorders>
                    <w:tl2br w:val="nil"/>
                    <w:tr2bl w:val="nil"/>
                  </w:tcBorders>
                  <w:vAlign w:val="center"/>
                </w:tcPr>
                <w:p>
                  <w:pPr>
                    <w:pStyle w:val="15"/>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固体废弃物影响</w:t>
                  </w:r>
                </w:p>
              </w:tc>
              <w:tc>
                <w:tcPr>
                  <w:tcW w:w="908" w:type="pct"/>
                  <w:tcBorders>
                    <w:tl2br w:val="nil"/>
                    <w:tr2bl w:val="nil"/>
                  </w:tcBorders>
                  <w:vAlign w:val="center"/>
                </w:tcPr>
                <w:p>
                  <w:pPr>
                    <w:pStyle w:val="15"/>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施工区附近自然环境</w:t>
                  </w:r>
                </w:p>
              </w:tc>
              <w:tc>
                <w:tcPr>
                  <w:tcW w:w="1064" w:type="pct"/>
                  <w:tcBorders>
                    <w:tl2br w:val="nil"/>
                    <w:tr2bl w:val="nil"/>
                  </w:tcBorders>
                  <w:vAlign w:val="center"/>
                </w:tcPr>
                <w:p>
                  <w:pPr>
                    <w:pStyle w:val="15"/>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建筑垃圾、土石方、</w:t>
                  </w:r>
                </w:p>
              </w:tc>
              <w:tc>
                <w:tcPr>
                  <w:tcW w:w="836" w:type="pct"/>
                  <w:tcBorders>
                    <w:tl2br w:val="nil"/>
                    <w:tr2bl w:val="nil"/>
                  </w:tcBorders>
                  <w:vAlign w:val="center"/>
                </w:tcPr>
                <w:p>
                  <w:pPr>
                    <w:pStyle w:val="15"/>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土石方开挖、施工建设</w:t>
                  </w:r>
                </w:p>
              </w:tc>
              <w:tc>
                <w:tcPr>
                  <w:tcW w:w="743" w:type="pct"/>
                  <w:tcBorders>
                    <w:tl2br w:val="nil"/>
                    <w:tr2bl w:val="nil"/>
                  </w:tcBorders>
                  <w:vAlign w:val="center"/>
                </w:tcPr>
                <w:p>
                  <w:pPr>
                    <w:pStyle w:val="15"/>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短期影响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30" w:type="pct"/>
                  <w:vMerge w:val="restart"/>
                  <w:tcBorders>
                    <w:tl2br w:val="nil"/>
                    <w:tr2bl w:val="nil"/>
                  </w:tcBorders>
                  <w:vAlign w:val="center"/>
                </w:tcPr>
                <w:p>
                  <w:pPr>
                    <w:pStyle w:val="15"/>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施工工区</w:t>
                  </w:r>
                </w:p>
              </w:tc>
              <w:tc>
                <w:tcPr>
                  <w:tcW w:w="1016" w:type="pct"/>
                  <w:tcBorders>
                    <w:tl2br w:val="nil"/>
                    <w:tr2bl w:val="nil"/>
                  </w:tcBorders>
                  <w:vAlign w:val="center"/>
                </w:tcPr>
                <w:p>
                  <w:pPr>
                    <w:pStyle w:val="15"/>
                    <w:bidi w:val="0"/>
                    <w:ind w:firstLine="0" w:firstLineChars="0"/>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生态环境影响</w:t>
                  </w:r>
                </w:p>
              </w:tc>
              <w:tc>
                <w:tcPr>
                  <w:tcW w:w="908" w:type="pct"/>
                  <w:tcBorders>
                    <w:tl2br w:val="nil"/>
                    <w:tr2bl w:val="nil"/>
                  </w:tcBorders>
                  <w:vAlign w:val="center"/>
                </w:tcPr>
                <w:p>
                  <w:pPr>
                    <w:pStyle w:val="15"/>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陆生生态、水土流失</w:t>
                  </w:r>
                </w:p>
              </w:tc>
              <w:tc>
                <w:tcPr>
                  <w:tcW w:w="1064" w:type="pct"/>
                  <w:tcBorders>
                    <w:tl2br w:val="nil"/>
                    <w:tr2bl w:val="nil"/>
                  </w:tcBorders>
                  <w:vAlign w:val="center"/>
                </w:tcPr>
                <w:p>
                  <w:pPr>
                    <w:pStyle w:val="15"/>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w:t>
                  </w:r>
                </w:p>
              </w:tc>
              <w:tc>
                <w:tcPr>
                  <w:tcW w:w="836" w:type="pct"/>
                  <w:tcBorders>
                    <w:tl2br w:val="nil"/>
                    <w:tr2bl w:val="nil"/>
                  </w:tcBorders>
                  <w:vAlign w:val="center"/>
                </w:tcPr>
                <w:p>
                  <w:pPr>
                    <w:pStyle w:val="15"/>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施工场地建设</w:t>
                  </w:r>
                </w:p>
              </w:tc>
              <w:tc>
                <w:tcPr>
                  <w:tcW w:w="743" w:type="pct"/>
                  <w:tcBorders>
                    <w:tl2br w:val="nil"/>
                    <w:tr2bl w:val="nil"/>
                  </w:tcBorders>
                  <w:vAlign w:val="center"/>
                </w:tcPr>
                <w:p>
                  <w:pPr>
                    <w:pStyle w:val="15"/>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短期影响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30" w:type="pct"/>
                  <w:vMerge w:val="continue"/>
                  <w:tcBorders>
                    <w:tl2br w:val="nil"/>
                    <w:tr2bl w:val="nil"/>
                  </w:tcBorders>
                  <w:vAlign w:val="center"/>
                </w:tcPr>
                <w:p>
                  <w:pPr>
                    <w:pStyle w:val="15"/>
                    <w:rPr>
                      <w:rFonts w:hint="default" w:ascii="Times New Roman" w:hAnsi="Times New Roman" w:cs="Times New Roman"/>
                      <w:color w:val="auto"/>
                      <w:highlight w:val="none"/>
                      <w:u w:val="none"/>
                      <w:lang w:val="en-US" w:eastAsia="zh-CN"/>
                    </w:rPr>
                  </w:pPr>
                </w:p>
              </w:tc>
              <w:tc>
                <w:tcPr>
                  <w:tcW w:w="1016" w:type="pct"/>
                  <w:tcBorders>
                    <w:tl2br w:val="nil"/>
                    <w:tr2bl w:val="nil"/>
                  </w:tcBorders>
                  <w:vAlign w:val="center"/>
                </w:tcPr>
                <w:p>
                  <w:pPr>
                    <w:pStyle w:val="15"/>
                    <w:ind w:firstLine="0" w:firstLineChars="0"/>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水环境影响</w:t>
                  </w:r>
                </w:p>
              </w:tc>
              <w:tc>
                <w:tcPr>
                  <w:tcW w:w="908" w:type="pct"/>
                  <w:tcBorders>
                    <w:tl2br w:val="nil"/>
                    <w:tr2bl w:val="nil"/>
                  </w:tcBorders>
                  <w:vAlign w:val="center"/>
                </w:tcPr>
                <w:p>
                  <w:pPr>
                    <w:pStyle w:val="15"/>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胡家河</w:t>
                  </w:r>
                </w:p>
              </w:tc>
              <w:tc>
                <w:tcPr>
                  <w:tcW w:w="1064" w:type="pct"/>
                  <w:tcBorders>
                    <w:tl2br w:val="nil"/>
                    <w:tr2bl w:val="nil"/>
                  </w:tcBorders>
                  <w:vAlign w:val="center"/>
                </w:tcPr>
                <w:p>
                  <w:pPr>
                    <w:pStyle w:val="15"/>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砂石骨料冲洗及</w:t>
                  </w:r>
                  <w:r>
                    <w:rPr>
                      <w:rFonts w:hint="default" w:ascii="Times New Roman" w:hAnsi="Times New Roman" w:cs="Times New Roman"/>
                      <w:color w:val="auto"/>
                      <w:highlight w:val="none"/>
                      <w:u w:val="none"/>
                    </w:rPr>
                    <w:t>砼浇筑废水</w:t>
                  </w:r>
                  <w:r>
                    <w:rPr>
                      <w:rFonts w:hint="default" w:ascii="Times New Roman" w:hAnsi="Times New Roman" w:cs="Times New Roman"/>
                      <w:color w:val="auto"/>
                      <w:highlight w:val="none"/>
                      <w:u w:val="none"/>
                      <w:lang w:eastAsia="zh-CN"/>
                    </w:rPr>
                    <w:t>、</w:t>
                  </w:r>
                  <w:r>
                    <w:rPr>
                      <w:rFonts w:hint="default" w:ascii="Times New Roman" w:hAnsi="Times New Roman" w:cs="Times New Roman"/>
                      <w:color w:val="auto"/>
                      <w:highlight w:val="none"/>
                      <w:u w:val="none"/>
                      <w:lang w:val="en-US" w:eastAsia="zh-CN"/>
                    </w:rPr>
                    <w:t>车辆冲洗废水</w:t>
                  </w:r>
                </w:p>
              </w:tc>
              <w:tc>
                <w:tcPr>
                  <w:tcW w:w="836" w:type="pct"/>
                  <w:tcBorders>
                    <w:tl2br w:val="nil"/>
                    <w:tr2bl w:val="nil"/>
                  </w:tcBorders>
                  <w:vAlign w:val="center"/>
                </w:tcPr>
                <w:p>
                  <w:pPr>
                    <w:pStyle w:val="15"/>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u w:val="none"/>
                    </w:rPr>
                    <w:t>砼浇筑</w:t>
                  </w:r>
                  <w:r>
                    <w:rPr>
                      <w:rFonts w:hint="default" w:ascii="Times New Roman" w:hAnsi="Times New Roman" w:cs="Times New Roman"/>
                      <w:color w:val="auto"/>
                      <w:highlight w:val="none"/>
                      <w:u w:val="none"/>
                      <w:lang w:val="en-US" w:eastAsia="zh-CN"/>
                    </w:rPr>
                    <w:t>、车辆冲洗</w:t>
                  </w:r>
                </w:p>
              </w:tc>
              <w:tc>
                <w:tcPr>
                  <w:tcW w:w="743" w:type="pct"/>
                  <w:tcBorders>
                    <w:tl2br w:val="nil"/>
                    <w:tr2bl w:val="nil"/>
                  </w:tcBorders>
                  <w:vAlign w:val="center"/>
                </w:tcPr>
                <w:p>
                  <w:pPr>
                    <w:pStyle w:val="15"/>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短期影响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30" w:type="pct"/>
                  <w:vMerge w:val="continue"/>
                  <w:tcBorders>
                    <w:tl2br w:val="nil"/>
                    <w:tr2bl w:val="nil"/>
                  </w:tcBorders>
                  <w:vAlign w:val="center"/>
                </w:tcPr>
                <w:p>
                  <w:pPr>
                    <w:pStyle w:val="15"/>
                    <w:rPr>
                      <w:rFonts w:hint="default" w:ascii="Times New Roman" w:hAnsi="Times New Roman" w:cs="Times New Roman"/>
                      <w:color w:val="auto"/>
                      <w:highlight w:val="none"/>
                      <w:u w:val="none"/>
                      <w:lang w:val="en-US" w:eastAsia="zh-CN"/>
                    </w:rPr>
                  </w:pPr>
                </w:p>
              </w:tc>
              <w:tc>
                <w:tcPr>
                  <w:tcW w:w="1016" w:type="pct"/>
                  <w:tcBorders>
                    <w:tl2br w:val="nil"/>
                    <w:tr2bl w:val="nil"/>
                  </w:tcBorders>
                  <w:vAlign w:val="center"/>
                </w:tcPr>
                <w:p>
                  <w:pPr>
                    <w:pStyle w:val="15"/>
                    <w:ind w:firstLine="0" w:firstLineChars="0"/>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环境空气影响</w:t>
                  </w:r>
                </w:p>
              </w:tc>
              <w:tc>
                <w:tcPr>
                  <w:tcW w:w="908" w:type="pct"/>
                  <w:tcBorders>
                    <w:tl2br w:val="nil"/>
                    <w:tr2bl w:val="nil"/>
                  </w:tcBorders>
                  <w:vAlign w:val="center"/>
                </w:tcPr>
                <w:p>
                  <w:pPr>
                    <w:pStyle w:val="15"/>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沿线住户、企业、学校等</w:t>
                  </w:r>
                </w:p>
              </w:tc>
              <w:tc>
                <w:tcPr>
                  <w:tcW w:w="1064" w:type="pct"/>
                  <w:tcBorders>
                    <w:tl2br w:val="nil"/>
                    <w:tr2bl w:val="nil"/>
                  </w:tcBorders>
                  <w:vAlign w:val="center"/>
                </w:tcPr>
                <w:p>
                  <w:pPr>
                    <w:pStyle w:val="15"/>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施工扬尘、道路运输扬尘、动力燃油废气、</w:t>
                  </w:r>
                </w:p>
              </w:tc>
              <w:tc>
                <w:tcPr>
                  <w:tcW w:w="836" w:type="pct"/>
                  <w:tcBorders>
                    <w:tl2br w:val="nil"/>
                    <w:tr2bl w:val="nil"/>
                  </w:tcBorders>
                  <w:vAlign w:val="center"/>
                </w:tcPr>
                <w:p>
                  <w:pPr>
                    <w:pStyle w:val="15"/>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施工建设、车辆运输</w:t>
                  </w:r>
                </w:p>
              </w:tc>
              <w:tc>
                <w:tcPr>
                  <w:tcW w:w="743" w:type="pct"/>
                  <w:tcBorders>
                    <w:tl2br w:val="nil"/>
                    <w:tr2bl w:val="nil"/>
                  </w:tcBorders>
                  <w:vAlign w:val="center"/>
                </w:tcPr>
                <w:p>
                  <w:pPr>
                    <w:pStyle w:val="15"/>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短期影响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30" w:type="pct"/>
                  <w:vMerge w:val="continue"/>
                  <w:tcBorders>
                    <w:tl2br w:val="nil"/>
                    <w:tr2bl w:val="nil"/>
                  </w:tcBorders>
                  <w:vAlign w:val="center"/>
                </w:tcPr>
                <w:p>
                  <w:pPr>
                    <w:pStyle w:val="15"/>
                    <w:rPr>
                      <w:rFonts w:hint="default" w:ascii="Times New Roman" w:hAnsi="Times New Roman" w:cs="Times New Roman"/>
                      <w:color w:val="auto"/>
                      <w:highlight w:val="none"/>
                      <w:u w:val="none"/>
                      <w:lang w:val="en-US" w:eastAsia="zh-CN"/>
                    </w:rPr>
                  </w:pPr>
                </w:p>
              </w:tc>
              <w:tc>
                <w:tcPr>
                  <w:tcW w:w="1016" w:type="pct"/>
                  <w:tcBorders>
                    <w:tl2br w:val="nil"/>
                    <w:tr2bl w:val="nil"/>
                  </w:tcBorders>
                  <w:vAlign w:val="center"/>
                </w:tcPr>
                <w:p>
                  <w:pPr>
                    <w:pStyle w:val="15"/>
                    <w:ind w:firstLine="0" w:firstLineChars="0"/>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环境噪声影响</w:t>
                  </w:r>
                </w:p>
              </w:tc>
              <w:tc>
                <w:tcPr>
                  <w:tcW w:w="908" w:type="pct"/>
                  <w:tcBorders>
                    <w:tl2br w:val="nil"/>
                    <w:tr2bl w:val="nil"/>
                  </w:tcBorders>
                  <w:vAlign w:val="center"/>
                </w:tcPr>
                <w:p>
                  <w:pPr>
                    <w:pStyle w:val="15"/>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沿线住户、企业、学校等</w:t>
                  </w:r>
                </w:p>
              </w:tc>
              <w:tc>
                <w:tcPr>
                  <w:tcW w:w="1064" w:type="pct"/>
                  <w:tcBorders>
                    <w:tl2br w:val="nil"/>
                    <w:tr2bl w:val="nil"/>
                  </w:tcBorders>
                  <w:vAlign w:val="center"/>
                </w:tcPr>
                <w:p>
                  <w:pPr>
                    <w:pStyle w:val="15"/>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噪声</w:t>
                  </w:r>
                </w:p>
              </w:tc>
              <w:tc>
                <w:tcPr>
                  <w:tcW w:w="836" w:type="pct"/>
                  <w:tcBorders>
                    <w:tl2br w:val="nil"/>
                    <w:tr2bl w:val="nil"/>
                  </w:tcBorders>
                  <w:vAlign w:val="center"/>
                </w:tcPr>
                <w:p>
                  <w:pPr>
                    <w:pStyle w:val="15"/>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机械施工、车辆运输</w:t>
                  </w:r>
                </w:p>
              </w:tc>
              <w:tc>
                <w:tcPr>
                  <w:tcW w:w="743" w:type="pct"/>
                  <w:tcBorders>
                    <w:tl2br w:val="nil"/>
                    <w:tr2bl w:val="nil"/>
                  </w:tcBorders>
                  <w:vAlign w:val="center"/>
                </w:tcPr>
                <w:p>
                  <w:pPr>
                    <w:pStyle w:val="15"/>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短期影响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30" w:type="pct"/>
                  <w:vMerge w:val="continue"/>
                  <w:tcBorders>
                    <w:tl2br w:val="nil"/>
                    <w:tr2bl w:val="nil"/>
                  </w:tcBorders>
                  <w:vAlign w:val="center"/>
                </w:tcPr>
                <w:p>
                  <w:pPr>
                    <w:pStyle w:val="15"/>
                    <w:rPr>
                      <w:rFonts w:hint="default" w:ascii="Times New Roman" w:hAnsi="Times New Roman" w:cs="Times New Roman"/>
                      <w:color w:val="auto"/>
                      <w:highlight w:val="none"/>
                      <w:u w:val="none"/>
                      <w:lang w:val="en-US" w:eastAsia="zh-CN"/>
                    </w:rPr>
                  </w:pPr>
                </w:p>
              </w:tc>
              <w:tc>
                <w:tcPr>
                  <w:tcW w:w="1016" w:type="pct"/>
                  <w:tcBorders>
                    <w:tl2br w:val="nil"/>
                    <w:tr2bl w:val="nil"/>
                  </w:tcBorders>
                  <w:vAlign w:val="center"/>
                </w:tcPr>
                <w:p>
                  <w:pPr>
                    <w:pStyle w:val="15"/>
                    <w:ind w:firstLine="0" w:firstLineChars="0"/>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固体废弃物影响</w:t>
                  </w:r>
                </w:p>
              </w:tc>
              <w:tc>
                <w:tcPr>
                  <w:tcW w:w="908" w:type="pct"/>
                  <w:tcBorders>
                    <w:tl2br w:val="nil"/>
                    <w:tr2bl w:val="nil"/>
                  </w:tcBorders>
                  <w:vAlign w:val="center"/>
                </w:tcPr>
                <w:p>
                  <w:pPr>
                    <w:pStyle w:val="15"/>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施工区附近自然环境</w:t>
                  </w:r>
                </w:p>
              </w:tc>
              <w:tc>
                <w:tcPr>
                  <w:tcW w:w="1064" w:type="pct"/>
                  <w:tcBorders>
                    <w:tl2br w:val="nil"/>
                    <w:tr2bl w:val="nil"/>
                  </w:tcBorders>
                  <w:vAlign w:val="center"/>
                </w:tcPr>
                <w:p>
                  <w:pPr>
                    <w:pStyle w:val="15"/>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建筑垃圾</w:t>
                  </w:r>
                </w:p>
              </w:tc>
              <w:tc>
                <w:tcPr>
                  <w:tcW w:w="836" w:type="pct"/>
                  <w:tcBorders>
                    <w:tl2br w:val="nil"/>
                    <w:tr2bl w:val="nil"/>
                  </w:tcBorders>
                  <w:vAlign w:val="center"/>
                </w:tcPr>
                <w:p>
                  <w:pPr>
                    <w:pStyle w:val="15"/>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施工建设</w:t>
                  </w:r>
                </w:p>
              </w:tc>
              <w:tc>
                <w:tcPr>
                  <w:tcW w:w="743" w:type="pct"/>
                  <w:tcBorders>
                    <w:tl2br w:val="nil"/>
                    <w:tr2bl w:val="nil"/>
                  </w:tcBorders>
                  <w:vAlign w:val="center"/>
                </w:tcPr>
                <w:p>
                  <w:pPr>
                    <w:pStyle w:val="15"/>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短期影响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30" w:type="pct"/>
                  <w:vMerge w:val="restart"/>
                  <w:tcBorders>
                    <w:tl2br w:val="nil"/>
                    <w:tr2bl w:val="nil"/>
                  </w:tcBorders>
                  <w:vAlign w:val="center"/>
                </w:tcPr>
                <w:p>
                  <w:pPr>
                    <w:pStyle w:val="15"/>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施工人员生活</w:t>
                  </w:r>
                </w:p>
              </w:tc>
              <w:tc>
                <w:tcPr>
                  <w:tcW w:w="1016" w:type="pct"/>
                  <w:tcBorders>
                    <w:tl2br w:val="nil"/>
                    <w:tr2bl w:val="nil"/>
                  </w:tcBorders>
                  <w:vAlign w:val="center"/>
                </w:tcPr>
                <w:p>
                  <w:pPr>
                    <w:pStyle w:val="15"/>
                    <w:bidi w:val="0"/>
                    <w:ind w:firstLine="0" w:firstLineChars="0"/>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生态环境影响</w:t>
                  </w:r>
                </w:p>
              </w:tc>
              <w:tc>
                <w:tcPr>
                  <w:tcW w:w="908" w:type="pct"/>
                  <w:tcBorders>
                    <w:tl2br w:val="nil"/>
                    <w:tr2bl w:val="nil"/>
                  </w:tcBorders>
                  <w:vAlign w:val="center"/>
                </w:tcPr>
                <w:p>
                  <w:pPr>
                    <w:pStyle w:val="15"/>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陆生生态、水土流失</w:t>
                  </w:r>
                </w:p>
              </w:tc>
              <w:tc>
                <w:tcPr>
                  <w:tcW w:w="1064" w:type="pct"/>
                  <w:tcBorders>
                    <w:tl2br w:val="nil"/>
                    <w:tr2bl w:val="nil"/>
                  </w:tcBorders>
                  <w:vAlign w:val="center"/>
                </w:tcPr>
                <w:p>
                  <w:pPr>
                    <w:pStyle w:val="15"/>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w:t>
                  </w:r>
                </w:p>
              </w:tc>
              <w:tc>
                <w:tcPr>
                  <w:tcW w:w="836" w:type="pct"/>
                  <w:tcBorders>
                    <w:tl2br w:val="nil"/>
                    <w:tr2bl w:val="nil"/>
                  </w:tcBorders>
                  <w:vAlign w:val="center"/>
                </w:tcPr>
                <w:p>
                  <w:pPr>
                    <w:pStyle w:val="15"/>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生活活动</w:t>
                  </w:r>
                </w:p>
              </w:tc>
              <w:tc>
                <w:tcPr>
                  <w:tcW w:w="743" w:type="pct"/>
                  <w:tcBorders>
                    <w:tl2br w:val="nil"/>
                    <w:tr2bl w:val="nil"/>
                  </w:tcBorders>
                  <w:vAlign w:val="center"/>
                </w:tcPr>
                <w:p>
                  <w:pPr>
                    <w:pStyle w:val="15"/>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短期影响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30" w:type="pct"/>
                  <w:vMerge w:val="continue"/>
                  <w:tcBorders>
                    <w:tl2br w:val="nil"/>
                    <w:tr2bl w:val="nil"/>
                  </w:tcBorders>
                  <w:vAlign w:val="center"/>
                </w:tcPr>
                <w:p>
                  <w:pPr>
                    <w:pStyle w:val="15"/>
                    <w:rPr>
                      <w:rFonts w:hint="default" w:ascii="Times New Roman" w:hAnsi="Times New Roman" w:cs="Times New Roman"/>
                      <w:color w:val="auto"/>
                      <w:highlight w:val="none"/>
                      <w:u w:val="none"/>
                      <w:lang w:val="en-US" w:eastAsia="zh-CN"/>
                    </w:rPr>
                  </w:pPr>
                </w:p>
              </w:tc>
              <w:tc>
                <w:tcPr>
                  <w:tcW w:w="1016" w:type="pct"/>
                  <w:tcBorders>
                    <w:tl2br w:val="nil"/>
                    <w:tr2bl w:val="nil"/>
                  </w:tcBorders>
                  <w:vAlign w:val="center"/>
                </w:tcPr>
                <w:p>
                  <w:pPr>
                    <w:pStyle w:val="15"/>
                    <w:ind w:firstLine="0" w:firstLineChars="0"/>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水环境影响</w:t>
                  </w:r>
                </w:p>
              </w:tc>
              <w:tc>
                <w:tcPr>
                  <w:tcW w:w="908" w:type="pct"/>
                  <w:tcBorders>
                    <w:tl2br w:val="nil"/>
                    <w:tr2bl w:val="nil"/>
                  </w:tcBorders>
                  <w:vAlign w:val="center"/>
                </w:tcPr>
                <w:p>
                  <w:pPr>
                    <w:pStyle w:val="15"/>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胡家河</w:t>
                  </w:r>
                  <w:r>
                    <w:rPr>
                      <w:rFonts w:hint="eastAsia" w:cs="Times New Roman"/>
                      <w:color w:val="auto"/>
                      <w:highlight w:val="none"/>
                      <w:u w:val="none"/>
                      <w:lang w:val="en-US" w:eastAsia="zh-CN"/>
                    </w:rPr>
                    <w:t>、油坊沟</w:t>
                  </w:r>
                </w:p>
              </w:tc>
              <w:tc>
                <w:tcPr>
                  <w:tcW w:w="1064" w:type="pct"/>
                  <w:tcBorders>
                    <w:tl2br w:val="nil"/>
                    <w:tr2bl w:val="nil"/>
                  </w:tcBorders>
                  <w:vAlign w:val="center"/>
                </w:tcPr>
                <w:p>
                  <w:pPr>
                    <w:pStyle w:val="15"/>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生活污水</w:t>
                  </w:r>
                </w:p>
              </w:tc>
              <w:tc>
                <w:tcPr>
                  <w:tcW w:w="836" w:type="pct"/>
                  <w:tcBorders>
                    <w:tl2br w:val="nil"/>
                    <w:tr2bl w:val="nil"/>
                  </w:tcBorders>
                  <w:vAlign w:val="center"/>
                </w:tcPr>
                <w:p>
                  <w:pPr>
                    <w:pStyle w:val="15"/>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生活活动</w:t>
                  </w:r>
                </w:p>
              </w:tc>
              <w:tc>
                <w:tcPr>
                  <w:tcW w:w="743" w:type="pct"/>
                  <w:tcBorders>
                    <w:tl2br w:val="nil"/>
                    <w:tr2bl w:val="nil"/>
                  </w:tcBorders>
                  <w:vAlign w:val="center"/>
                </w:tcPr>
                <w:p>
                  <w:pPr>
                    <w:pStyle w:val="15"/>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短期影响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30" w:type="pct"/>
                  <w:vMerge w:val="continue"/>
                  <w:tcBorders>
                    <w:tl2br w:val="nil"/>
                    <w:tr2bl w:val="nil"/>
                  </w:tcBorders>
                  <w:vAlign w:val="center"/>
                </w:tcPr>
                <w:p>
                  <w:pPr>
                    <w:pStyle w:val="15"/>
                    <w:rPr>
                      <w:rFonts w:hint="default" w:ascii="Times New Roman" w:hAnsi="Times New Roman" w:cs="Times New Roman"/>
                      <w:color w:val="auto"/>
                      <w:highlight w:val="none"/>
                      <w:u w:val="none"/>
                      <w:lang w:val="en-US" w:eastAsia="zh-CN"/>
                    </w:rPr>
                  </w:pPr>
                </w:p>
              </w:tc>
              <w:tc>
                <w:tcPr>
                  <w:tcW w:w="1016" w:type="pct"/>
                  <w:tcBorders>
                    <w:tl2br w:val="nil"/>
                    <w:tr2bl w:val="nil"/>
                  </w:tcBorders>
                  <w:vAlign w:val="center"/>
                </w:tcPr>
                <w:p>
                  <w:pPr>
                    <w:pStyle w:val="15"/>
                    <w:ind w:firstLine="0" w:firstLineChars="0"/>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环境噪声影响</w:t>
                  </w:r>
                </w:p>
              </w:tc>
              <w:tc>
                <w:tcPr>
                  <w:tcW w:w="908" w:type="pct"/>
                  <w:tcBorders>
                    <w:tl2br w:val="nil"/>
                    <w:tr2bl w:val="nil"/>
                  </w:tcBorders>
                  <w:vAlign w:val="center"/>
                </w:tcPr>
                <w:p>
                  <w:pPr>
                    <w:pStyle w:val="15"/>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沿线住户、企业、学校等</w:t>
                  </w:r>
                </w:p>
              </w:tc>
              <w:tc>
                <w:tcPr>
                  <w:tcW w:w="1064" w:type="pct"/>
                  <w:tcBorders>
                    <w:tl2br w:val="nil"/>
                    <w:tr2bl w:val="nil"/>
                  </w:tcBorders>
                  <w:vAlign w:val="center"/>
                </w:tcPr>
                <w:p>
                  <w:pPr>
                    <w:pStyle w:val="15"/>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噪声</w:t>
                  </w:r>
                </w:p>
              </w:tc>
              <w:tc>
                <w:tcPr>
                  <w:tcW w:w="836" w:type="pct"/>
                  <w:tcBorders>
                    <w:tl2br w:val="nil"/>
                    <w:tr2bl w:val="nil"/>
                  </w:tcBorders>
                  <w:vAlign w:val="center"/>
                </w:tcPr>
                <w:p>
                  <w:pPr>
                    <w:pStyle w:val="15"/>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生活活动</w:t>
                  </w:r>
                </w:p>
              </w:tc>
              <w:tc>
                <w:tcPr>
                  <w:tcW w:w="743" w:type="pct"/>
                  <w:tcBorders>
                    <w:tl2br w:val="nil"/>
                    <w:tr2bl w:val="nil"/>
                  </w:tcBorders>
                  <w:vAlign w:val="center"/>
                </w:tcPr>
                <w:p>
                  <w:pPr>
                    <w:pStyle w:val="15"/>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短期影响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30" w:type="pct"/>
                  <w:vMerge w:val="continue"/>
                  <w:tcBorders>
                    <w:tl2br w:val="nil"/>
                    <w:tr2bl w:val="nil"/>
                  </w:tcBorders>
                  <w:vAlign w:val="center"/>
                </w:tcPr>
                <w:p>
                  <w:pPr>
                    <w:pStyle w:val="15"/>
                    <w:rPr>
                      <w:rFonts w:hint="default" w:ascii="Times New Roman" w:hAnsi="Times New Roman" w:cs="Times New Roman"/>
                      <w:color w:val="auto"/>
                      <w:highlight w:val="none"/>
                      <w:u w:val="none"/>
                      <w:lang w:val="en-US" w:eastAsia="zh-CN"/>
                    </w:rPr>
                  </w:pPr>
                </w:p>
              </w:tc>
              <w:tc>
                <w:tcPr>
                  <w:tcW w:w="1016" w:type="pct"/>
                  <w:tcBorders>
                    <w:tl2br w:val="nil"/>
                    <w:tr2bl w:val="nil"/>
                  </w:tcBorders>
                  <w:vAlign w:val="center"/>
                </w:tcPr>
                <w:p>
                  <w:pPr>
                    <w:pStyle w:val="15"/>
                    <w:ind w:firstLine="0" w:firstLineChars="0"/>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固体废弃物影响</w:t>
                  </w:r>
                </w:p>
              </w:tc>
              <w:tc>
                <w:tcPr>
                  <w:tcW w:w="908" w:type="pct"/>
                  <w:tcBorders>
                    <w:tl2br w:val="nil"/>
                    <w:tr2bl w:val="nil"/>
                  </w:tcBorders>
                  <w:vAlign w:val="center"/>
                </w:tcPr>
                <w:p>
                  <w:pPr>
                    <w:pStyle w:val="15"/>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施工区附近自然环境</w:t>
                  </w:r>
                </w:p>
              </w:tc>
              <w:tc>
                <w:tcPr>
                  <w:tcW w:w="1064" w:type="pct"/>
                  <w:tcBorders>
                    <w:tl2br w:val="nil"/>
                    <w:tr2bl w:val="nil"/>
                  </w:tcBorders>
                  <w:vAlign w:val="center"/>
                </w:tcPr>
                <w:p>
                  <w:pPr>
                    <w:pStyle w:val="15"/>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生活垃圾</w:t>
                  </w:r>
                </w:p>
              </w:tc>
              <w:tc>
                <w:tcPr>
                  <w:tcW w:w="836" w:type="pct"/>
                  <w:tcBorders>
                    <w:tl2br w:val="nil"/>
                    <w:tr2bl w:val="nil"/>
                  </w:tcBorders>
                  <w:vAlign w:val="center"/>
                </w:tcPr>
                <w:p>
                  <w:pPr>
                    <w:pStyle w:val="15"/>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生活活动</w:t>
                  </w:r>
                </w:p>
              </w:tc>
              <w:tc>
                <w:tcPr>
                  <w:tcW w:w="743" w:type="pct"/>
                  <w:tcBorders>
                    <w:tl2br w:val="nil"/>
                    <w:tr2bl w:val="nil"/>
                  </w:tcBorders>
                  <w:vAlign w:val="center"/>
                </w:tcPr>
                <w:p>
                  <w:pPr>
                    <w:pStyle w:val="15"/>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短期影响</w:t>
                  </w:r>
                </w:p>
              </w:tc>
            </w:tr>
          </w:tbl>
          <w:p>
            <w:pPr>
              <w:bidi w:val="0"/>
              <w:rPr>
                <w:rFonts w:hint="default" w:ascii="Times New Roman" w:hAnsi="Times New Roman" w:cs="Times New Roman"/>
                <w:b/>
                <w:color w:val="auto"/>
                <w:highlight w:val="none"/>
                <w:u w:val="none"/>
                <w:lang w:val="en-US" w:eastAsia="zh-CN"/>
              </w:rPr>
            </w:pPr>
            <w:r>
              <w:rPr>
                <w:rFonts w:hint="default" w:ascii="Times New Roman" w:hAnsi="Times New Roman" w:cs="Times New Roman"/>
                <w:b/>
                <w:bCs/>
                <w:color w:val="auto"/>
                <w:highlight w:val="none"/>
                <w:u w:val="none"/>
                <w:lang w:val="en-US" w:eastAsia="zh-CN"/>
              </w:rPr>
              <w:t>二、施工期生态环境影响分析（影响范围和程度）</w:t>
            </w:r>
          </w:p>
          <w:p>
            <w:pPr>
              <w:snapToGrid/>
              <w:spacing w:line="240" w:lineRule="auto"/>
              <w:rPr>
                <w:rFonts w:hint="default" w:ascii="Times New Roman" w:hAnsi="Times New Roman" w:cs="Times New Roman"/>
                <w:b/>
                <w:color w:val="auto"/>
                <w:highlight w:val="none"/>
                <w:lang w:val="en-US" w:eastAsia="zh-CN"/>
              </w:rPr>
            </w:pPr>
            <w:r>
              <w:rPr>
                <w:rFonts w:hint="default" w:ascii="Times New Roman" w:hAnsi="Times New Roman" w:cs="Times New Roman"/>
                <w:b/>
                <w:color w:val="auto"/>
                <w:highlight w:val="none"/>
                <w:lang w:val="en-US" w:eastAsia="zh-CN"/>
              </w:rPr>
              <w:t>1、水环境的影响</w:t>
            </w:r>
          </w:p>
          <w:p>
            <w:pPr>
              <w:snapToGrid/>
              <w:spacing w:line="360" w:lineRule="auto"/>
              <w:rPr>
                <w:rFonts w:hint="default" w:ascii="Times New Roman" w:hAnsi="Times New Roman" w:cs="Times New Roman"/>
                <w:color w:val="auto"/>
                <w:highlight w:val="none"/>
                <w:lang w:val="en-US" w:eastAsia="zh-CN"/>
              </w:rPr>
            </w:pPr>
            <w:r>
              <w:rPr>
                <w:rFonts w:hint="default" w:ascii="Times New Roman" w:hAnsi="Times New Roman" w:cs="Times New Roman"/>
                <w:b/>
                <w:bCs/>
                <w:color w:val="auto"/>
                <w:highlight w:val="none"/>
                <w:lang w:val="en-US" w:eastAsia="zh-CN"/>
              </w:rPr>
              <w:t>（1）水文情势的影响</w:t>
            </w:r>
          </w:p>
          <w:p>
            <w:pPr>
              <w:bidi w:val="0"/>
              <w:rPr>
                <w:rFonts w:hint="default" w:ascii="Times New Roman" w:hAnsi="Times New Roman" w:cs="Times New Roman"/>
                <w:b w:val="0"/>
                <w:bCs w:val="0"/>
                <w:color w:val="auto"/>
                <w:highlight w:val="none"/>
                <w:u w:val="none"/>
                <w:lang w:val="en-US" w:eastAsia="zh-CN"/>
              </w:rPr>
            </w:pPr>
            <w:r>
              <w:rPr>
                <w:rFonts w:hint="default" w:ascii="Times New Roman" w:hAnsi="Times New Roman" w:cs="Times New Roman"/>
                <w:color w:val="auto"/>
                <w:highlight w:val="none"/>
                <w:lang w:val="en-US" w:eastAsia="zh-CN"/>
              </w:rPr>
              <w:t>堤防施工：根据《宣汉县胡家镇胡家河山洪沟防洪治理工程初步设计报告》，本次治理河段位于宣汉县胡家镇境内，</w:t>
            </w:r>
            <w:r>
              <w:rPr>
                <w:rFonts w:hint="default" w:ascii="Times New Roman" w:hAnsi="Times New Roman" w:cs="Times New Roman"/>
                <w:color w:val="auto"/>
                <w:highlight w:val="none"/>
              </w:rPr>
              <w:t>按河沟主要分布在油坊沟和胡家河两条河上。油坊沟上段右岸堤防起止点为黄家湾桥至下游已成堤防，新建堤防长度406.16m，油坊沟下段左岸堤防位于冯家坝，新建堤防长度160.65m，胡家河上段</w:t>
            </w:r>
            <w:r>
              <w:rPr>
                <w:rFonts w:hint="default" w:ascii="Times New Roman" w:hAnsi="Times New Roman" w:cs="Times New Roman"/>
                <w:color w:val="auto"/>
                <w:highlight w:val="none"/>
                <w:lang w:val="en-US" w:eastAsia="zh-CN"/>
              </w:rPr>
              <w:t>左</w:t>
            </w:r>
            <w:r>
              <w:rPr>
                <w:rFonts w:hint="default" w:ascii="Times New Roman" w:hAnsi="Times New Roman" w:cs="Times New Roman"/>
                <w:color w:val="auto"/>
                <w:highlight w:val="none"/>
              </w:rPr>
              <w:t>岸堤防为花房子公路桥至黄花城段堤防，新建堤防长度583.28m，胡家河下段右岸堤防位于后营坝</w:t>
            </w:r>
            <w:r>
              <w:rPr>
                <w:rFonts w:hint="default" w:ascii="Times New Roman" w:hAnsi="Times New Roman" w:cs="Times New Roman"/>
                <w:color w:val="auto"/>
                <w:highlight w:val="none"/>
                <w:lang w:val="en-US" w:eastAsia="zh-CN"/>
              </w:rPr>
              <w:t>堤防段</w:t>
            </w:r>
            <w:r>
              <w:rPr>
                <w:rFonts w:hint="default" w:ascii="Times New Roman" w:hAnsi="Times New Roman" w:cs="Times New Roman"/>
                <w:color w:val="auto"/>
                <w:highlight w:val="none"/>
              </w:rPr>
              <w:t>，新建堤防长度194.28m。</w:t>
            </w:r>
            <w:r>
              <w:rPr>
                <w:rFonts w:hint="default" w:ascii="Times New Roman" w:hAnsi="Times New Roman" w:cs="Times New Roman"/>
                <w:color w:val="auto"/>
                <w:highlight w:val="none"/>
                <w:lang w:val="en-US" w:eastAsia="zh-CN"/>
              </w:rPr>
              <w:t>两</w:t>
            </w:r>
            <w:r>
              <w:rPr>
                <w:rFonts w:hint="default" w:ascii="Times New Roman" w:hAnsi="Times New Roman" w:cs="Times New Roman"/>
                <w:color w:val="auto"/>
                <w:highlight w:val="none"/>
              </w:rPr>
              <w:t>岸现状为天然河岸，河岸地面高程</w:t>
            </w:r>
            <w:r>
              <w:rPr>
                <w:rFonts w:hint="default" w:ascii="Times New Roman" w:hAnsi="Times New Roman" w:cs="Times New Roman"/>
                <w:color w:val="auto"/>
                <w:highlight w:val="none"/>
                <w:lang w:val="en-US" w:eastAsia="zh-CN"/>
              </w:rPr>
              <w:t>403.35</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364.88</w:t>
            </w:r>
            <w:r>
              <w:rPr>
                <w:rFonts w:hint="default" w:ascii="Times New Roman" w:hAnsi="Times New Roman" w:cs="Times New Roman"/>
                <w:color w:val="auto"/>
                <w:highlight w:val="none"/>
              </w:rPr>
              <w:t>m</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建堤前设计</w:t>
            </w:r>
            <w:r>
              <w:rPr>
                <w:rFonts w:hint="default" w:ascii="Times New Roman" w:hAnsi="Times New Roman" w:cs="Times New Roman"/>
                <w:color w:val="auto"/>
                <w:highlight w:val="none"/>
              </w:rPr>
              <w:t>洪水位为</w:t>
            </w:r>
            <w:r>
              <w:rPr>
                <w:rFonts w:hint="default" w:ascii="Times New Roman" w:hAnsi="Times New Roman" w:cs="Times New Roman"/>
                <w:color w:val="auto"/>
                <w:highlight w:val="none"/>
                <w:lang w:val="en-US" w:eastAsia="zh-CN"/>
              </w:rPr>
              <w:t>406.03</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368.52</w:t>
            </w:r>
            <w:r>
              <w:rPr>
                <w:rFonts w:hint="default" w:ascii="Times New Roman" w:hAnsi="Times New Roman" w:cs="Times New Roman"/>
                <w:color w:val="auto"/>
                <w:highlight w:val="none"/>
              </w:rPr>
              <w:t>m，</w:t>
            </w:r>
            <w:bookmarkStart w:id="116" w:name="_GoBack"/>
            <w:bookmarkEnd w:id="116"/>
            <w:r>
              <w:rPr>
                <w:rFonts w:hint="default" w:ascii="Times New Roman" w:hAnsi="Times New Roman" w:cs="Times New Roman"/>
                <w:color w:val="auto"/>
                <w:highlight w:val="none"/>
                <w:lang w:val="en-US" w:eastAsia="zh-CN"/>
              </w:rPr>
              <w:t>建堤后</w:t>
            </w:r>
            <w:r>
              <w:rPr>
                <w:rFonts w:hint="default" w:ascii="Times New Roman" w:hAnsi="Times New Roman" w:cs="Times New Roman"/>
                <w:color w:val="auto"/>
                <w:highlight w:val="none"/>
              </w:rPr>
              <w:t>堤顶高程</w:t>
            </w:r>
            <w:r>
              <w:rPr>
                <w:rFonts w:hint="default" w:ascii="Times New Roman" w:hAnsi="Times New Roman" w:cs="Times New Roman"/>
                <w:color w:val="auto"/>
                <w:highlight w:val="none"/>
                <w:lang w:val="en-US" w:eastAsia="zh-CN"/>
              </w:rPr>
              <w:t>406.12</w:t>
            </w:r>
            <w:r>
              <w:rPr>
                <w:rFonts w:hint="default" w:ascii="Times New Roman" w:hAnsi="Times New Roman" w:cs="Times New Roman"/>
                <w:color w:val="auto"/>
                <w:highlight w:val="none"/>
              </w:rPr>
              <w:t>m</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高于设计洪水位</w:t>
            </w:r>
            <w:r>
              <w:rPr>
                <w:rFonts w:hint="default" w:ascii="Times New Roman" w:hAnsi="Times New Roman" w:cs="Times New Roman"/>
                <w:color w:val="auto"/>
                <w:highlight w:val="none"/>
                <w:lang w:eastAsia="zh-CN"/>
              </w:rPr>
              <w:t>。</w:t>
            </w:r>
            <w:r>
              <w:rPr>
                <w:rFonts w:hint="default" w:ascii="Times New Roman" w:hAnsi="Times New Roman" w:cs="Times New Roman"/>
                <w:b w:val="0"/>
                <w:bCs w:val="0"/>
                <w:color w:val="auto"/>
                <w:highlight w:val="none"/>
                <w:u w:val="none"/>
                <w:lang w:val="en-US" w:eastAsia="zh-CN"/>
              </w:rPr>
              <w:t>工程修建后河道过流断面相对变大，流速有所减小，上游水位相对减少，比原河道排洪效果更好。本工程施工期间确保河道正常泄流和行洪，开挖产生的弃土弃渣定点堆放，严禁弃置在河道中，以达到施工期本工程对河道泄洪无明显影响，且</w:t>
            </w:r>
            <w:r>
              <w:rPr>
                <w:rFonts w:hint="default" w:ascii="Times New Roman" w:hAnsi="Times New Roman" w:cs="Times New Roman"/>
                <w:color w:val="auto"/>
                <w:highlight w:val="none"/>
                <w:lang w:val="en-US" w:eastAsia="zh-CN"/>
              </w:rPr>
              <w:t>施工安排在枯水期进行，施工期较短，在次年丰水期前即可完工，采用</w:t>
            </w:r>
            <w:r>
              <w:rPr>
                <w:rFonts w:hint="default" w:ascii="Times New Roman" w:hAnsi="Times New Roman" w:cs="Times New Roman"/>
                <w:color w:val="auto"/>
                <w:highlight w:val="none"/>
              </w:rPr>
              <w:t>导流围堰方式</w:t>
            </w:r>
            <w:r>
              <w:rPr>
                <w:rFonts w:hint="default" w:ascii="Times New Roman" w:hAnsi="Times New Roman" w:cs="Times New Roman"/>
                <w:b w:val="0"/>
                <w:bCs w:val="0"/>
                <w:color w:val="auto"/>
                <w:highlight w:val="none"/>
                <w:u w:val="none"/>
                <w:lang w:val="en-US" w:eastAsia="zh-CN"/>
              </w:rPr>
              <w:t>。因此，本工程建设不会对河道行洪无产生不利影响。</w:t>
            </w:r>
          </w:p>
          <w:p>
            <w:pPr>
              <w:bidi w:val="0"/>
              <w:rPr>
                <w:rFonts w:hint="default" w:ascii="Times New Roman" w:hAnsi="Times New Roman" w:cs="Times New Roman"/>
                <w:b/>
                <w:bCs/>
                <w:color w:val="auto"/>
                <w:highlight w:val="none"/>
                <w:u w:val="none"/>
                <w:lang w:val="en-US" w:eastAsia="zh-CN"/>
              </w:rPr>
            </w:pPr>
            <w:r>
              <w:rPr>
                <w:rFonts w:hint="default" w:ascii="Times New Roman" w:hAnsi="Times New Roman" w:cs="Times New Roman"/>
                <w:b/>
                <w:bCs/>
                <w:color w:val="auto"/>
                <w:highlight w:val="none"/>
                <w:u w:val="none"/>
                <w:lang w:val="en-US" w:eastAsia="zh-CN"/>
              </w:rPr>
              <w:t>（2）地表水环境影响</w:t>
            </w:r>
          </w:p>
          <w:p>
            <w:pPr>
              <w:rPr>
                <w:rFonts w:hint="default" w:ascii="Times New Roman" w:hAnsi="Times New Roman" w:cs="Times New Roman"/>
                <w:color w:val="auto"/>
                <w:highlight w:val="none"/>
                <w:lang w:val="en-US" w:eastAsia="zh-CN"/>
              </w:rPr>
            </w:pPr>
            <w:r>
              <w:rPr>
                <w:rFonts w:hint="default" w:ascii="Times New Roman" w:hAnsi="Times New Roman" w:cs="Times New Roman"/>
                <w:b w:val="0"/>
                <w:bCs/>
                <w:color w:val="auto"/>
                <w:sz w:val="24"/>
                <w:szCs w:val="24"/>
                <w:highlight w:val="none"/>
                <w:u w:val="none"/>
                <w:lang w:val="en-US" w:eastAsia="zh-CN"/>
              </w:rPr>
              <w:t>施工建设项目中，水污染源主要来自</w:t>
            </w:r>
            <w:r>
              <w:rPr>
                <w:rFonts w:hint="default" w:ascii="Times New Roman" w:hAnsi="Times New Roman" w:cs="Times New Roman"/>
                <w:color w:val="auto"/>
                <w:highlight w:val="none"/>
                <w:u w:val="none"/>
              </w:rPr>
              <w:t>砂石</w:t>
            </w:r>
            <w:r>
              <w:rPr>
                <w:rFonts w:hint="default" w:ascii="Times New Roman" w:hAnsi="Times New Roman" w:cs="Times New Roman"/>
                <w:color w:val="auto"/>
                <w:highlight w:val="none"/>
                <w:u w:val="none"/>
                <w:lang w:val="en-US" w:eastAsia="zh-CN"/>
              </w:rPr>
              <w:t>骨</w:t>
            </w:r>
            <w:r>
              <w:rPr>
                <w:rFonts w:hint="default" w:ascii="Times New Roman" w:hAnsi="Times New Roman" w:cs="Times New Roman"/>
                <w:color w:val="auto"/>
                <w:highlight w:val="none"/>
                <w:u w:val="none"/>
              </w:rPr>
              <w:t>料清洗、及砼浇筑</w:t>
            </w:r>
            <w:r>
              <w:rPr>
                <w:rFonts w:hint="default" w:ascii="Times New Roman" w:hAnsi="Times New Roman" w:cs="Times New Roman"/>
                <w:color w:val="auto"/>
                <w:highlight w:val="none"/>
                <w:u w:val="none"/>
                <w:lang w:val="en-US" w:eastAsia="zh-CN"/>
              </w:rPr>
              <w:t>、</w:t>
            </w:r>
            <w:r>
              <w:rPr>
                <w:rFonts w:hint="default" w:ascii="Times New Roman" w:hAnsi="Times New Roman" w:cs="Times New Roman"/>
                <w:b w:val="0"/>
                <w:bCs w:val="0"/>
                <w:color w:val="auto"/>
                <w:highlight w:val="none"/>
                <w:u w:val="none"/>
                <w:lang w:val="en-US" w:eastAsia="zh-CN"/>
              </w:rPr>
              <w:t>防洪堤</w:t>
            </w:r>
            <w:r>
              <w:rPr>
                <w:rFonts w:hint="default" w:ascii="Times New Roman" w:hAnsi="Times New Roman" w:cs="Times New Roman"/>
                <w:b w:val="0"/>
                <w:bCs/>
                <w:color w:val="auto"/>
                <w:sz w:val="24"/>
                <w:szCs w:val="24"/>
                <w:highlight w:val="none"/>
                <w:u w:val="none"/>
                <w:lang w:val="en-US" w:eastAsia="zh-CN"/>
              </w:rPr>
              <w:t>基坑废水、</w:t>
            </w:r>
            <w:r>
              <w:rPr>
                <w:rFonts w:hint="default" w:ascii="Times New Roman" w:hAnsi="Times New Roman" w:cs="Times New Roman"/>
                <w:color w:val="auto"/>
                <w:highlight w:val="none"/>
                <w:u w:val="none"/>
              </w:rPr>
              <w:t>车辆</w:t>
            </w:r>
            <w:r>
              <w:rPr>
                <w:rFonts w:hint="default" w:ascii="Times New Roman" w:hAnsi="Times New Roman" w:cs="Times New Roman"/>
                <w:color w:val="auto"/>
                <w:highlight w:val="none"/>
                <w:u w:val="none"/>
                <w:lang w:val="en-US" w:eastAsia="zh-CN"/>
              </w:rPr>
              <w:t>机械</w:t>
            </w:r>
            <w:r>
              <w:rPr>
                <w:rFonts w:hint="default" w:ascii="Times New Roman" w:hAnsi="Times New Roman" w:cs="Times New Roman"/>
                <w:color w:val="auto"/>
                <w:highlight w:val="none"/>
                <w:u w:val="none"/>
              </w:rPr>
              <w:t>冲洗废水</w:t>
            </w:r>
            <w:r>
              <w:rPr>
                <w:rFonts w:hint="default" w:ascii="Times New Roman" w:hAnsi="Times New Roman" w:cs="Times New Roman"/>
                <w:b w:val="0"/>
                <w:bCs/>
                <w:color w:val="auto"/>
                <w:sz w:val="24"/>
                <w:szCs w:val="24"/>
                <w:highlight w:val="none"/>
                <w:u w:val="none"/>
                <w:lang w:val="en-US" w:eastAsia="zh-CN"/>
              </w:rPr>
              <w:t>和施工人员生活污水。生产废水污染物以SS、COD、石油类为主，生活污水污染物以BOD</w:t>
            </w:r>
            <w:r>
              <w:rPr>
                <w:rFonts w:hint="default" w:ascii="Times New Roman" w:hAnsi="Times New Roman" w:cs="Times New Roman"/>
                <w:b w:val="0"/>
                <w:bCs/>
                <w:color w:val="auto"/>
                <w:sz w:val="24"/>
                <w:szCs w:val="24"/>
                <w:highlight w:val="none"/>
                <w:u w:val="none"/>
                <w:vertAlign w:val="subscript"/>
                <w:lang w:val="en-US" w:eastAsia="zh-CN"/>
              </w:rPr>
              <w:t>5</w:t>
            </w:r>
            <w:r>
              <w:rPr>
                <w:rFonts w:hint="default" w:ascii="Times New Roman" w:hAnsi="Times New Roman" w:cs="Times New Roman"/>
                <w:b w:val="0"/>
                <w:bCs/>
                <w:color w:val="auto"/>
                <w:sz w:val="24"/>
                <w:szCs w:val="24"/>
                <w:highlight w:val="none"/>
                <w:u w:val="none"/>
                <w:lang w:val="en-US" w:eastAsia="zh-CN"/>
              </w:rPr>
              <w:t>、COD、NH</w:t>
            </w:r>
            <w:r>
              <w:rPr>
                <w:rFonts w:hint="default" w:ascii="Times New Roman" w:hAnsi="Times New Roman" w:cs="Times New Roman"/>
                <w:b w:val="0"/>
                <w:bCs/>
                <w:color w:val="auto"/>
                <w:sz w:val="24"/>
                <w:szCs w:val="24"/>
                <w:highlight w:val="none"/>
                <w:u w:val="none"/>
                <w:vertAlign w:val="subscript"/>
                <w:lang w:val="en-US" w:eastAsia="zh-CN"/>
              </w:rPr>
              <w:t>3</w:t>
            </w:r>
            <w:r>
              <w:rPr>
                <w:rFonts w:hint="default" w:ascii="Times New Roman" w:hAnsi="Times New Roman" w:cs="Times New Roman"/>
                <w:b w:val="0"/>
                <w:bCs/>
                <w:color w:val="auto"/>
                <w:sz w:val="24"/>
                <w:szCs w:val="24"/>
                <w:highlight w:val="none"/>
                <w:u w:val="none"/>
                <w:lang w:val="en-US" w:eastAsia="zh-CN"/>
              </w:rPr>
              <w:t>-N为主。</w:t>
            </w:r>
          </w:p>
          <w:p>
            <w:pPr>
              <w:widowControl/>
              <w:bidi w:val="0"/>
              <w:ind w:firstLine="480" w:firstLineChars="200"/>
              <w:rPr>
                <w:rFonts w:hint="default" w:ascii="Times New Roman" w:hAnsi="Times New Roman" w:cs="Times New Roman"/>
                <w:b w:val="0"/>
                <w:bCs/>
                <w:color w:val="auto"/>
                <w:sz w:val="24"/>
                <w:szCs w:val="24"/>
                <w:highlight w:val="none"/>
                <w:u w:val="none"/>
                <w:lang w:val="en-US" w:eastAsia="zh-CN"/>
              </w:rPr>
            </w:pPr>
            <w:r>
              <w:rPr>
                <w:rFonts w:hint="default" w:ascii="Times New Roman" w:hAnsi="Times New Roman" w:cs="Times New Roman"/>
                <w:b w:val="0"/>
                <w:bCs/>
                <w:color w:val="auto"/>
                <w:sz w:val="24"/>
                <w:szCs w:val="24"/>
                <w:highlight w:val="none"/>
                <w:u w:val="none"/>
                <w:lang w:val="en-US" w:eastAsia="zh-CN"/>
              </w:rPr>
              <w:t>1）堤防工程对地表水环境的影响</w:t>
            </w:r>
          </w:p>
          <w:p>
            <w:pPr>
              <w:bidi w:val="0"/>
              <w:rPr>
                <w:rFonts w:hint="default" w:ascii="Times New Roman" w:hAnsi="Times New Roman" w:cs="Times New Roman"/>
                <w:color w:val="auto"/>
                <w:highlight w:val="none"/>
                <w:u w:val="none"/>
              </w:rPr>
            </w:pPr>
            <w:r>
              <w:rPr>
                <w:rFonts w:hint="default" w:ascii="Times New Roman" w:hAnsi="Times New Roman" w:eastAsia="微软雅黑" w:cs="Times New Roman"/>
                <w:b w:val="0"/>
                <w:bCs w:val="0"/>
                <w:color w:val="auto"/>
                <w:highlight w:val="none"/>
                <w:u w:val="none"/>
                <w:lang w:val="en-US" w:eastAsia="zh-CN"/>
              </w:rPr>
              <w:t>①</w:t>
            </w:r>
            <w:r>
              <w:rPr>
                <w:rFonts w:hint="eastAsia"/>
                <w:color w:val="auto"/>
                <w:highlight w:val="none"/>
                <w:lang w:val="en-US" w:eastAsia="zh-CN"/>
              </w:rPr>
              <w:t>堤防</w:t>
            </w:r>
            <w:r>
              <w:rPr>
                <w:rFonts w:hint="default"/>
                <w:color w:val="auto"/>
                <w:highlight w:val="none"/>
              </w:rPr>
              <w:t>施工水质</w:t>
            </w:r>
          </w:p>
          <w:p>
            <w:pPr>
              <w:bidi w:val="0"/>
              <w:rPr>
                <w:rFonts w:hint="default" w:ascii="Times New Roman" w:hAnsi="Times New Roman" w:cs="Times New Roman"/>
                <w:color w:val="auto"/>
                <w:highlight w:val="none"/>
                <w:u w:val="none"/>
              </w:rPr>
            </w:pPr>
            <w:r>
              <w:rPr>
                <w:rFonts w:hint="default" w:ascii="Times New Roman" w:hAnsi="Times New Roman" w:cs="Times New Roman"/>
                <w:color w:val="auto"/>
                <w:spacing w:val="-2"/>
                <w:highlight w:val="none"/>
                <w:u w:val="none"/>
              </w:rPr>
              <w:t>本项目在</w:t>
            </w:r>
            <w:r>
              <w:rPr>
                <w:rFonts w:hint="eastAsia" w:cs="Times New Roman"/>
                <w:color w:val="auto"/>
                <w:spacing w:val="-2"/>
                <w:highlight w:val="none"/>
                <w:u w:val="none"/>
                <w:lang w:val="en-US" w:eastAsia="zh-CN"/>
              </w:rPr>
              <w:t>胡家河</w:t>
            </w:r>
            <w:r>
              <w:rPr>
                <w:rFonts w:hint="default" w:ascii="Times New Roman" w:hAnsi="Times New Roman" w:cs="Times New Roman"/>
                <w:color w:val="auto"/>
                <w:spacing w:val="-2"/>
                <w:highlight w:val="none"/>
                <w:u w:val="none"/>
              </w:rPr>
              <w:t>河堤</w:t>
            </w:r>
            <w:r>
              <w:rPr>
                <w:rFonts w:hint="default" w:ascii="Times New Roman" w:hAnsi="Times New Roman" w:cs="Times New Roman"/>
                <w:color w:val="auto"/>
                <w:spacing w:val="-2"/>
                <w:highlight w:val="none"/>
                <w:u w:val="none"/>
                <w:lang w:val="en-US" w:eastAsia="zh-CN"/>
              </w:rPr>
              <w:t>施工</w:t>
            </w:r>
            <w:r>
              <w:rPr>
                <w:rFonts w:hint="default" w:ascii="Times New Roman" w:hAnsi="Times New Roman" w:cs="Times New Roman"/>
                <w:color w:val="auto"/>
                <w:spacing w:val="-2"/>
                <w:highlight w:val="none"/>
                <w:u w:val="none"/>
              </w:rPr>
              <w:t>前期需在河道内搭设围堰</w:t>
            </w:r>
            <w:r>
              <w:rPr>
                <w:rFonts w:hint="default" w:ascii="Times New Roman" w:hAnsi="Times New Roman" w:cs="Times New Roman"/>
                <w:color w:val="auto"/>
                <w:spacing w:val="-2"/>
                <w:highlight w:val="none"/>
                <w:u w:val="none"/>
                <w:lang w:eastAsia="zh-CN"/>
              </w:rPr>
              <w:t>，</w:t>
            </w:r>
            <w:r>
              <w:rPr>
                <w:rFonts w:hint="default" w:ascii="Times New Roman" w:hAnsi="Times New Roman" w:cs="Times New Roman"/>
                <w:color w:val="auto"/>
                <w:spacing w:val="-2"/>
                <w:highlight w:val="none"/>
                <w:u w:val="none"/>
                <w:lang w:val="en-US" w:eastAsia="zh-CN"/>
              </w:rPr>
              <w:t>采用</w:t>
            </w:r>
            <w:r>
              <w:rPr>
                <w:rFonts w:hint="eastAsia" w:cs="Times New Roman"/>
                <w:color w:val="auto"/>
                <w:spacing w:val="-2"/>
                <w:highlight w:val="none"/>
                <w:u w:val="none"/>
                <w:lang w:val="en-US" w:eastAsia="zh-CN"/>
              </w:rPr>
              <w:t>全断面</w:t>
            </w:r>
            <w:r>
              <w:rPr>
                <w:rFonts w:hint="default" w:ascii="Times New Roman" w:hAnsi="Times New Roman" w:cs="Times New Roman"/>
                <w:color w:val="auto"/>
                <w:spacing w:val="-2"/>
                <w:highlight w:val="none"/>
                <w:u w:val="none"/>
                <w:lang w:val="en-US" w:eastAsia="zh-CN"/>
              </w:rPr>
              <w:t>围堰施工方式</w:t>
            </w:r>
            <w:r>
              <w:rPr>
                <w:rFonts w:hint="default" w:ascii="Times New Roman" w:hAnsi="Times New Roman" w:cs="Times New Roman"/>
                <w:color w:val="auto"/>
                <w:spacing w:val="-2"/>
                <w:highlight w:val="none"/>
                <w:u w:val="none"/>
              </w:rPr>
              <w:t>，</w:t>
            </w:r>
            <w:r>
              <w:rPr>
                <w:rFonts w:hint="eastAsia" w:cs="Times New Roman"/>
                <w:color w:val="auto"/>
                <w:spacing w:val="-2"/>
                <w:highlight w:val="none"/>
                <w:u w:val="none"/>
                <w:lang w:val="en-US" w:eastAsia="zh-CN"/>
              </w:rPr>
              <w:t>导流围堰</w:t>
            </w:r>
            <w:r>
              <w:rPr>
                <w:rFonts w:hint="default"/>
                <w:color w:val="auto"/>
                <w:highlight w:val="none"/>
              </w:rPr>
              <w:t>采用</w:t>
            </w:r>
            <w:r>
              <w:rPr>
                <w:color w:val="auto"/>
                <w:highlight w:val="none"/>
              </w:rPr>
              <w:t>袋装粉质黏土</w:t>
            </w:r>
            <w:r>
              <w:rPr>
                <w:rFonts w:hint="default"/>
                <w:color w:val="auto"/>
                <w:highlight w:val="none"/>
              </w:rPr>
              <w:t>，</w:t>
            </w:r>
            <w:r>
              <w:rPr>
                <w:rFonts w:hint="eastAsia"/>
                <w:color w:val="auto"/>
                <w:highlight w:val="none"/>
                <w:lang w:val="en-US" w:eastAsia="zh-CN"/>
              </w:rPr>
              <w:t>并</w:t>
            </w:r>
            <w:r>
              <w:rPr>
                <w:rFonts w:hint="default"/>
                <w:color w:val="auto"/>
                <w:highlight w:val="none"/>
                <w:lang w:val="en-US" w:eastAsia="zh-CN"/>
              </w:rPr>
              <w:t>结合</w:t>
            </w:r>
            <w:r>
              <w:rPr>
                <w:rFonts w:hint="default"/>
                <w:color w:val="auto"/>
                <w:highlight w:val="none"/>
              </w:rPr>
              <w:t>土工膜防渗</w:t>
            </w:r>
            <w:r>
              <w:rPr>
                <w:rFonts w:hint="default"/>
                <w:color w:val="auto"/>
                <w:highlight w:val="none"/>
                <w:lang w:eastAsia="zh-CN"/>
              </w:rPr>
              <w:t>。</w:t>
            </w:r>
            <w:r>
              <w:rPr>
                <w:rFonts w:hint="default" w:ascii="Times New Roman" w:hAnsi="Times New Roman" w:cs="Times New Roman"/>
                <w:color w:val="auto"/>
                <w:spacing w:val="-3"/>
                <w:highlight w:val="none"/>
                <w:u w:val="none"/>
              </w:rPr>
              <w:t>围堰施工过程会对河底底泥产生扰动，使局部水域的悬浮物浓</w:t>
            </w:r>
            <w:r>
              <w:rPr>
                <w:rFonts w:hint="default" w:ascii="Times New Roman" w:hAnsi="Times New Roman" w:cs="Times New Roman"/>
                <w:color w:val="auto"/>
                <w:spacing w:val="-2"/>
                <w:highlight w:val="none"/>
                <w:u w:val="none"/>
              </w:rPr>
              <w:t>度升高。类比同类项目分析，围堰施工时局部水域悬浮物浓度在</w:t>
            </w:r>
            <w:r>
              <w:rPr>
                <w:rFonts w:hint="default" w:ascii="Times New Roman" w:hAnsi="Times New Roman" w:eastAsia="Times New Roman" w:cs="Times New Roman"/>
                <w:color w:val="auto"/>
                <w:highlight w:val="none"/>
                <w:u w:val="none"/>
              </w:rPr>
              <w:t>80~160mg/L</w:t>
            </w:r>
            <w:r>
              <w:rPr>
                <w:rFonts w:hint="default" w:ascii="Times New Roman" w:hAnsi="Times New Roman" w:cs="Times New Roman"/>
                <w:color w:val="auto"/>
                <w:spacing w:val="-4"/>
                <w:highlight w:val="none"/>
                <w:u w:val="none"/>
              </w:rPr>
              <w:t>之间，中心最高浓度可达</w:t>
            </w:r>
            <w:r>
              <w:rPr>
                <w:rFonts w:hint="default" w:ascii="Times New Roman" w:hAnsi="Times New Roman" w:eastAsia="Times New Roman" w:cs="Times New Roman"/>
                <w:color w:val="auto"/>
                <w:highlight w:val="none"/>
                <w:u w:val="none"/>
              </w:rPr>
              <w:t>160mg/L</w:t>
            </w:r>
            <w:r>
              <w:rPr>
                <w:rFonts w:hint="default" w:ascii="Times New Roman" w:hAnsi="Times New Roman" w:cs="Times New Roman"/>
                <w:color w:val="auto"/>
                <w:spacing w:val="-3"/>
                <w:highlight w:val="none"/>
                <w:u w:val="none"/>
              </w:rPr>
              <w:t>，围堰施工会导致施工点下游</w:t>
            </w:r>
            <w:r>
              <w:rPr>
                <w:rFonts w:hint="default" w:ascii="Times New Roman" w:hAnsi="Times New Roman" w:eastAsia="Times New Roman" w:cs="Times New Roman"/>
                <w:color w:val="auto"/>
                <w:highlight w:val="none"/>
                <w:u w:val="none"/>
              </w:rPr>
              <w:t>500m</w:t>
            </w:r>
            <w:r>
              <w:rPr>
                <w:rFonts w:hint="default" w:ascii="Times New Roman" w:hAnsi="Times New Roman" w:cs="Times New Roman"/>
                <w:color w:val="auto"/>
                <w:highlight w:val="none"/>
                <w:u w:val="none"/>
              </w:rPr>
              <w:t>范围内</w:t>
            </w:r>
            <w:r>
              <w:rPr>
                <w:rFonts w:hint="default" w:ascii="Times New Roman" w:hAnsi="Times New Roman" w:cs="Times New Roman"/>
                <w:color w:val="auto"/>
                <w:spacing w:val="-8"/>
                <w:highlight w:val="none"/>
                <w:u w:val="none"/>
              </w:rPr>
              <w:t>悬浮物浓度增加，但</w:t>
            </w:r>
            <w:r>
              <w:rPr>
                <w:rFonts w:hint="default" w:ascii="Times New Roman" w:hAnsi="Times New Roman" w:eastAsia="Times New Roman" w:cs="Times New Roman"/>
                <w:color w:val="auto"/>
                <w:highlight w:val="none"/>
                <w:u w:val="none"/>
              </w:rPr>
              <w:t>500m</w:t>
            </w:r>
            <w:r>
              <w:rPr>
                <w:rFonts w:hint="default" w:ascii="Times New Roman" w:hAnsi="Times New Roman" w:cs="Times New Roman"/>
                <w:color w:val="auto"/>
                <w:spacing w:val="-6"/>
                <w:highlight w:val="none"/>
                <w:u w:val="none"/>
              </w:rPr>
              <w:t>外悬浮物增量不会超过</w:t>
            </w:r>
            <w:r>
              <w:rPr>
                <w:rFonts w:hint="default" w:ascii="Times New Roman" w:hAnsi="Times New Roman" w:eastAsia="Times New Roman" w:cs="Times New Roman"/>
                <w:color w:val="auto"/>
                <w:highlight w:val="none"/>
                <w:u w:val="none"/>
              </w:rPr>
              <w:t>10mg/L</w:t>
            </w:r>
            <w:r>
              <w:rPr>
                <w:rFonts w:hint="default" w:ascii="Times New Roman" w:hAnsi="Times New Roman" w:cs="Times New Roman"/>
                <w:color w:val="auto"/>
                <w:spacing w:val="-13"/>
                <w:highlight w:val="none"/>
                <w:u w:val="none"/>
              </w:rPr>
              <w:t>，对下游</w:t>
            </w:r>
            <w:r>
              <w:rPr>
                <w:rFonts w:hint="default" w:ascii="Times New Roman" w:hAnsi="Times New Roman" w:eastAsia="Times New Roman" w:cs="Times New Roman"/>
                <w:color w:val="auto"/>
                <w:highlight w:val="none"/>
                <w:u w:val="none"/>
              </w:rPr>
              <w:t>500m</w:t>
            </w:r>
            <w:r>
              <w:rPr>
                <w:rFonts w:hint="default" w:ascii="Times New Roman" w:hAnsi="Times New Roman" w:cs="Times New Roman"/>
                <w:color w:val="auto"/>
                <w:highlight w:val="none"/>
                <w:u w:val="none"/>
              </w:rPr>
              <w:t>外水</w:t>
            </w:r>
            <w:r>
              <w:rPr>
                <w:rFonts w:hint="default" w:ascii="Times New Roman" w:hAnsi="Times New Roman" w:cs="Times New Roman"/>
                <w:color w:val="auto"/>
                <w:spacing w:val="-2"/>
                <w:highlight w:val="none"/>
                <w:u w:val="none"/>
              </w:rPr>
              <w:t>域水质基本不产生污染影响。</w:t>
            </w:r>
            <w:r>
              <w:rPr>
                <w:rFonts w:hint="default" w:ascii="Times New Roman" w:hAnsi="Times New Roman" w:cs="Times New Roman"/>
                <w:color w:val="auto"/>
                <w:spacing w:val="-5"/>
                <w:highlight w:val="none"/>
                <w:u w:val="none"/>
              </w:rPr>
              <w:t>且施工工期较短，待围堰施工结束后，</w:t>
            </w:r>
            <w:r>
              <w:rPr>
                <w:rFonts w:hint="default" w:ascii="Times New Roman" w:hAnsi="Times New Roman" w:cs="Times New Roman"/>
                <w:color w:val="auto"/>
                <w:spacing w:val="-5"/>
                <w:highlight w:val="none"/>
                <w:u w:val="none"/>
                <w:lang w:val="en-US" w:eastAsia="zh-CN"/>
              </w:rPr>
              <w:t>影响</w:t>
            </w:r>
            <w:r>
              <w:rPr>
                <w:rFonts w:hint="default" w:ascii="Times New Roman" w:hAnsi="Times New Roman" w:cs="Times New Roman"/>
                <w:color w:val="auto"/>
                <w:spacing w:val="-5"/>
                <w:highlight w:val="none"/>
                <w:u w:val="none"/>
              </w:rPr>
              <w:t>将消除。</w:t>
            </w:r>
          </w:p>
          <w:p>
            <w:pPr>
              <w:bidi w:val="0"/>
              <w:ind w:firstLine="480" w:firstLineChars="200"/>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rPr>
              <w:t>围堰拆除时对水环境造成的</w:t>
            </w:r>
            <w:r>
              <w:rPr>
                <w:rFonts w:hint="default" w:ascii="Times New Roman" w:hAnsi="Times New Roman" w:cs="Times New Roman"/>
                <w:color w:val="auto"/>
                <w:highlight w:val="none"/>
                <w:u w:val="none"/>
                <w:lang w:val="en-US" w:eastAsia="zh-CN"/>
              </w:rPr>
              <w:t>影响</w:t>
            </w:r>
            <w:r>
              <w:rPr>
                <w:rFonts w:hint="default" w:ascii="Times New Roman" w:hAnsi="Times New Roman" w:cs="Times New Roman"/>
                <w:color w:val="auto"/>
                <w:highlight w:val="none"/>
                <w:u w:val="none"/>
              </w:rPr>
              <w:t>同围堰施工相似，会对河底底泥产生扰动，使局部水域的悬浮物浓度升高，</w:t>
            </w:r>
            <w:r>
              <w:rPr>
                <w:rFonts w:hint="default" w:ascii="Times New Roman" w:hAnsi="Times New Roman" w:cs="Times New Roman"/>
                <w:color w:val="auto"/>
                <w:highlight w:val="none"/>
                <w:u w:val="none"/>
                <w:lang w:val="en-US" w:eastAsia="zh-CN"/>
              </w:rPr>
              <w:t>影响</w:t>
            </w:r>
            <w:r>
              <w:rPr>
                <w:rFonts w:hint="default" w:ascii="Times New Roman" w:hAnsi="Times New Roman" w:cs="Times New Roman"/>
                <w:color w:val="auto"/>
                <w:highlight w:val="none"/>
                <w:u w:val="none"/>
              </w:rPr>
              <w:t>范围在施工点</w:t>
            </w:r>
            <w:r>
              <w:rPr>
                <w:rFonts w:hint="default" w:ascii="Times New Roman" w:hAnsi="Times New Roman" w:eastAsia="Times New Roman" w:cs="Times New Roman"/>
                <w:color w:val="auto"/>
                <w:highlight w:val="none"/>
                <w:u w:val="none"/>
              </w:rPr>
              <w:t>500m</w:t>
            </w:r>
            <w:r>
              <w:rPr>
                <w:rFonts w:hint="default" w:ascii="Times New Roman" w:hAnsi="Times New Roman" w:cs="Times New Roman"/>
                <w:color w:val="auto"/>
                <w:highlight w:val="none"/>
                <w:u w:val="none"/>
              </w:rPr>
              <w:t>以内，但</w:t>
            </w:r>
            <w:r>
              <w:rPr>
                <w:rFonts w:hint="default" w:ascii="Times New Roman" w:hAnsi="Times New Roman" w:cs="Times New Roman"/>
                <w:color w:val="auto"/>
                <w:highlight w:val="none"/>
                <w:u w:val="none"/>
                <w:lang w:val="en-US" w:eastAsia="zh-CN"/>
              </w:rPr>
              <w:t>影响</w:t>
            </w:r>
            <w:r>
              <w:rPr>
                <w:rFonts w:hint="default" w:ascii="Times New Roman" w:hAnsi="Times New Roman" w:cs="Times New Roman"/>
                <w:color w:val="auto"/>
                <w:highlight w:val="none"/>
                <w:u w:val="none"/>
              </w:rPr>
              <w:t>范围有限，时间较短。</w:t>
            </w:r>
          </w:p>
          <w:p>
            <w:pPr>
              <w:bidi w:val="0"/>
              <w:rPr>
                <w:rFonts w:hint="default" w:ascii="Times New Roman" w:hAnsi="Times New Roman" w:cs="Times New Roman"/>
                <w:color w:val="auto"/>
                <w:highlight w:val="none"/>
                <w:u w:val="none"/>
                <w:lang w:val="en-US" w:eastAsia="zh-CN"/>
              </w:rPr>
            </w:pPr>
            <w:r>
              <w:rPr>
                <w:rFonts w:hint="default" w:ascii="Times New Roman" w:hAnsi="Times New Roman" w:eastAsia="微软雅黑" w:cs="Times New Roman"/>
                <w:b w:val="0"/>
                <w:bCs w:val="0"/>
                <w:color w:val="auto"/>
                <w:sz w:val="24"/>
                <w:szCs w:val="32"/>
                <w:highlight w:val="none"/>
                <w:u w:val="none"/>
                <w:lang w:val="en-US" w:eastAsia="zh-CN"/>
              </w:rPr>
              <w:t>②</w:t>
            </w:r>
            <w:r>
              <w:rPr>
                <w:rFonts w:hint="default" w:ascii="Times New Roman" w:hAnsi="Times New Roman" w:cs="Times New Roman"/>
                <w:b w:val="0"/>
                <w:bCs w:val="0"/>
                <w:color w:val="auto"/>
                <w:highlight w:val="none"/>
                <w:u w:val="none"/>
                <w:lang w:val="en-US" w:eastAsia="zh-CN"/>
              </w:rPr>
              <w:t>防洪堤</w:t>
            </w:r>
            <w:r>
              <w:rPr>
                <w:rFonts w:hint="default" w:ascii="Times New Roman" w:hAnsi="Times New Roman" w:cs="Times New Roman"/>
                <w:color w:val="auto"/>
                <w:highlight w:val="none"/>
                <w:u w:val="none"/>
                <w:lang w:val="en-US" w:eastAsia="zh-CN"/>
              </w:rPr>
              <w:t>基坑排水</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highlight w:val="none"/>
                <w:u w:val="none"/>
              </w:rPr>
            </w:pPr>
            <w:r>
              <w:rPr>
                <w:rFonts w:hint="default" w:ascii="Times New Roman" w:hAnsi="Times New Roman" w:cs="Times New Roman"/>
                <w:color w:val="auto"/>
                <w:sz w:val="24"/>
                <w:szCs w:val="32"/>
                <w:highlight w:val="none"/>
                <w:u w:val="none"/>
              </w:rPr>
              <w:t>基坑采用</w:t>
            </w:r>
            <w:r>
              <w:rPr>
                <w:rFonts w:hint="default" w:ascii="Times New Roman" w:hAnsi="Times New Roman" w:cs="Times New Roman"/>
                <w:color w:val="auto"/>
                <w:sz w:val="24"/>
                <w:szCs w:val="32"/>
                <w:highlight w:val="none"/>
                <w:u w:val="none"/>
                <w:lang w:val="en-US" w:eastAsia="zh-CN"/>
              </w:rPr>
              <w:t>抽排水设施</w:t>
            </w:r>
            <w:r>
              <w:rPr>
                <w:rFonts w:hint="default" w:ascii="Times New Roman" w:hAnsi="Times New Roman" w:cs="Times New Roman"/>
                <w:color w:val="auto"/>
                <w:sz w:val="24"/>
                <w:szCs w:val="32"/>
                <w:highlight w:val="none"/>
                <w:u w:val="none"/>
              </w:rPr>
              <w:t>系统，排水系统布置兼顾基坑开挖及主体建筑物施工。基坑排水包括初期排水和经常性排水。初期排水主要是基坑积水（覆盖层含水）、围堰渗水和其他途径来水。经常性排水主要包括：围堰渗水、降雨、施工废水（混凝土养护水）等。</w:t>
            </w:r>
          </w:p>
          <w:p>
            <w:pPr>
              <w:bidi w:val="0"/>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sz w:val="24"/>
                <w:szCs w:val="32"/>
                <w:highlight w:val="none"/>
                <w:u w:val="none"/>
              </w:rPr>
              <w:t>初期排水拟采用离心泵抽排，经常性排水采用离心泵</w:t>
            </w:r>
            <w:r>
              <w:rPr>
                <w:rFonts w:hint="default" w:ascii="Times New Roman" w:hAnsi="Times New Roman" w:cs="Times New Roman"/>
                <w:color w:val="auto"/>
                <w:sz w:val="24"/>
                <w:szCs w:val="32"/>
                <w:highlight w:val="none"/>
                <w:u w:val="none"/>
                <w:lang w:val="en-US" w:eastAsia="zh-CN"/>
              </w:rPr>
              <w:t>分段</w:t>
            </w:r>
            <w:r>
              <w:rPr>
                <w:rFonts w:hint="default" w:ascii="Times New Roman" w:hAnsi="Times New Roman" w:cs="Times New Roman"/>
                <w:color w:val="auto"/>
                <w:sz w:val="24"/>
                <w:szCs w:val="32"/>
                <w:highlight w:val="none"/>
                <w:u w:val="none"/>
              </w:rPr>
              <w:t>抽排</w:t>
            </w:r>
            <w:r>
              <w:rPr>
                <w:rFonts w:hint="default" w:ascii="Times New Roman" w:hAnsi="Times New Roman" w:cs="Times New Roman"/>
                <w:color w:val="auto"/>
                <w:sz w:val="24"/>
                <w:szCs w:val="32"/>
                <w:highlight w:val="none"/>
                <w:u w:val="none"/>
                <w:lang w:val="en-US" w:eastAsia="zh-CN"/>
              </w:rPr>
              <w:t>，</w:t>
            </w:r>
            <w:r>
              <w:rPr>
                <w:rFonts w:hint="default" w:ascii="Times New Roman" w:hAnsi="Times New Roman" w:cs="Times New Roman"/>
                <w:color w:val="auto"/>
                <w:sz w:val="24"/>
                <w:szCs w:val="32"/>
                <w:highlight w:val="none"/>
                <w:u w:val="none"/>
              </w:rPr>
              <w:t>本工程基坑排水主要为经常性排水。</w:t>
            </w:r>
            <w:r>
              <w:rPr>
                <w:rFonts w:hint="default" w:ascii="Times New Roman" w:hAnsi="Times New Roman" w:cs="Times New Roman"/>
                <w:color w:val="auto"/>
                <w:highlight w:val="none"/>
              </w:rPr>
              <w:t>每一施工段经常性排水设离心泵40-200I（5.5kW）3～4台，采用浮式排水，抽排出集水坑内的积水，</w:t>
            </w:r>
            <w:r>
              <w:rPr>
                <w:rFonts w:hint="default" w:ascii="Times New Roman" w:hAnsi="Times New Roman" w:cs="Times New Roman"/>
                <w:iCs/>
                <w:color w:val="auto"/>
                <w:sz w:val="24"/>
                <w:szCs w:val="24"/>
                <w:highlight w:val="none"/>
                <w:u w:val="none"/>
                <w:lang w:eastAsia="zh-CN"/>
              </w:rPr>
              <w:t>排水</w:t>
            </w:r>
            <w:r>
              <w:rPr>
                <w:rFonts w:hint="default" w:ascii="Times New Roman" w:hAnsi="Times New Roman" w:cs="Times New Roman"/>
                <w:iCs/>
                <w:color w:val="auto"/>
                <w:sz w:val="24"/>
                <w:szCs w:val="24"/>
                <w:highlight w:val="none"/>
                <w:u w:val="none"/>
                <w:lang w:val="en-US" w:eastAsia="zh-CN"/>
              </w:rPr>
              <w:t>管</w:t>
            </w:r>
            <w:r>
              <w:rPr>
                <w:rFonts w:hint="default" w:ascii="Times New Roman" w:hAnsi="Times New Roman" w:cs="Times New Roman"/>
                <w:iCs/>
                <w:color w:val="auto"/>
                <w:sz w:val="24"/>
                <w:szCs w:val="24"/>
                <w:highlight w:val="none"/>
                <w:u w:val="none"/>
                <w:lang w:eastAsia="zh-CN"/>
              </w:rPr>
              <w:t>端部设置</w:t>
            </w:r>
            <w:r>
              <w:rPr>
                <w:rFonts w:hint="default" w:ascii="Times New Roman" w:hAnsi="Times New Roman" w:cs="Times New Roman"/>
                <w:iCs/>
                <w:color w:val="auto"/>
                <w:sz w:val="24"/>
                <w:szCs w:val="24"/>
                <w:highlight w:val="none"/>
                <w:u w:val="none"/>
              </w:rPr>
              <w:t>沉淀池</w:t>
            </w:r>
            <w:r>
              <w:rPr>
                <w:rFonts w:hint="default" w:ascii="Times New Roman" w:hAnsi="Times New Roman" w:cs="Times New Roman"/>
                <w:iCs/>
                <w:color w:val="auto"/>
                <w:sz w:val="24"/>
                <w:szCs w:val="24"/>
                <w:highlight w:val="none"/>
                <w:u w:val="none"/>
                <w:lang w:eastAsia="zh-CN"/>
              </w:rPr>
              <w:t>，</w:t>
            </w:r>
            <w:r>
              <w:rPr>
                <w:rFonts w:hint="default" w:ascii="Times New Roman" w:hAnsi="Times New Roman" w:eastAsia="宋体" w:cs="Times New Roman"/>
                <w:iCs/>
                <w:color w:val="auto"/>
                <w:sz w:val="24"/>
                <w:szCs w:val="24"/>
                <w:highlight w:val="none"/>
                <w:u w:val="none"/>
                <w:lang w:eastAsia="zh-CN"/>
              </w:rPr>
              <w:t>基坑废水及地面径流水</w:t>
            </w:r>
            <w:r>
              <w:rPr>
                <w:rFonts w:hint="default" w:ascii="Times New Roman" w:hAnsi="Times New Roman" w:cs="Times New Roman"/>
                <w:iCs/>
                <w:color w:val="auto"/>
                <w:sz w:val="24"/>
                <w:szCs w:val="24"/>
                <w:highlight w:val="none"/>
                <w:u w:val="none"/>
              </w:rPr>
              <w:t>经沉淀池处理后用于</w:t>
            </w:r>
            <w:r>
              <w:rPr>
                <w:rFonts w:hint="default" w:ascii="Times New Roman" w:hAnsi="Times New Roman" w:cs="Times New Roman"/>
                <w:iCs/>
                <w:color w:val="auto"/>
                <w:sz w:val="24"/>
                <w:szCs w:val="24"/>
                <w:highlight w:val="none"/>
                <w:u w:val="none"/>
                <w:lang w:eastAsia="zh-CN"/>
              </w:rPr>
              <w:t>项目施工用水及洒水降尘</w:t>
            </w:r>
            <w:r>
              <w:rPr>
                <w:rFonts w:hint="default" w:ascii="Times New Roman" w:hAnsi="Times New Roman" w:cs="Times New Roman"/>
                <w:iCs/>
                <w:color w:val="auto"/>
                <w:sz w:val="24"/>
                <w:szCs w:val="24"/>
                <w:highlight w:val="none"/>
                <w:u w:val="none"/>
              </w:rPr>
              <w:t>，</w:t>
            </w:r>
            <w:r>
              <w:rPr>
                <w:rFonts w:hint="default" w:ascii="Times New Roman" w:hAnsi="Times New Roman" w:cs="Times New Roman"/>
                <w:iCs/>
                <w:color w:val="auto"/>
                <w:sz w:val="24"/>
                <w:szCs w:val="24"/>
                <w:highlight w:val="none"/>
                <w:u w:val="none"/>
                <w:lang w:eastAsia="zh-CN"/>
              </w:rPr>
              <w:t>不</w:t>
            </w:r>
            <w:r>
              <w:rPr>
                <w:rFonts w:hint="default" w:ascii="Times New Roman" w:hAnsi="Times New Roman" w:cs="Times New Roman"/>
                <w:iCs/>
                <w:color w:val="auto"/>
                <w:sz w:val="24"/>
                <w:szCs w:val="24"/>
                <w:highlight w:val="none"/>
                <w:u w:val="none"/>
              </w:rPr>
              <w:t>外排</w:t>
            </w:r>
            <w:r>
              <w:rPr>
                <w:rFonts w:hint="default" w:ascii="Times New Roman" w:hAnsi="Times New Roman" w:cs="Times New Roman"/>
                <w:iCs/>
                <w:color w:val="auto"/>
                <w:sz w:val="24"/>
                <w:szCs w:val="24"/>
                <w:highlight w:val="none"/>
                <w:u w:val="none"/>
                <w:lang w:eastAsia="zh-CN"/>
              </w:rPr>
              <w:t>。</w:t>
            </w:r>
            <w:r>
              <w:rPr>
                <w:rFonts w:hint="default" w:ascii="Times New Roman" w:hAnsi="Times New Roman" w:cs="Times New Roman"/>
                <w:color w:val="auto"/>
                <w:highlight w:val="none"/>
                <w:u w:val="none"/>
                <w:lang w:val="en-US" w:eastAsia="zh-CN"/>
              </w:rPr>
              <w:t>对区域地表水环境影响不大。</w:t>
            </w:r>
          </w:p>
          <w:p>
            <w:pPr>
              <w:numPr>
                <w:ilvl w:val="0"/>
                <w:numId w:val="8"/>
              </w:numPr>
              <w:bidi w:val="0"/>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施工工区对地表水环境的影响</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auto"/>
                <w:sz w:val="24"/>
                <w:szCs w:val="32"/>
                <w:highlight w:val="none"/>
                <w:u w:val="none"/>
                <w:lang w:val="en-US" w:eastAsia="zh-CN"/>
              </w:rPr>
            </w:pPr>
            <w:r>
              <w:rPr>
                <w:rFonts w:hint="default" w:ascii="Times New Roman" w:hAnsi="Times New Roman" w:eastAsia="微软雅黑" w:cs="Times New Roman"/>
                <w:b w:val="0"/>
                <w:bCs w:val="0"/>
                <w:color w:val="auto"/>
                <w:highlight w:val="none"/>
                <w:u w:val="none"/>
                <w:lang w:val="en-US" w:eastAsia="zh-CN"/>
              </w:rPr>
              <w:t>①</w:t>
            </w:r>
            <w:r>
              <w:rPr>
                <w:rFonts w:hint="default" w:ascii="Times New Roman" w:hAnsi="Times New Roman" w:cs="Times New Roman"/>
                <w:b w:val="0"/>
                <w:bCs w:val="0"/>
                <w:color w:val="auto"/>
                <w:sz w:val="24"/>
                <w:szCs w:val="32"/>
                <w:highlight w:val="none"/>
                <w:u w:val="none"/>
                <w:lang w:val="en-US" w:eastAsia="zh-CN"/>
              </w:rPr>
              <w:t>砂石骨料冲洗及</w:t>
            </w:r>
            <w:r>
              <w:rPr>
                <w:rFonts w:hint="default" w:ascii="Times New Roman" w:hAnsi="Times New Roman" w:cs="Times New Roman"/>
                <w:color w:val="auto"/>
                <w:highlight w:val="none"/>
                <w:u w:val="none"/>
              </w:rPr>
              <w:t>砼浇筑</w:t>
            </w:r>
            <w:r>
              <w:rPr>
                <w:rFonts w:hint="default" w:ascii="Times New Roman" w:hAnsi="Times New Roman" w:cs="Times New Roman"/>
                <w:b w:val="0"/>
                <w:bCs w:val="0"/>
                <w:color w:val="auto"/>
                <w:sz w:val="24"/>
                <w:szCs w:val="32"/>
                <w:highlight w:val="none"/>
                <w:u w:val="none"/>
              </w:rPr>
              <w:t>废水</w:t>
            </w:r>
            <w:r>
              <w:rPr>
                <w:rFonts w:hint="default" w:ascii="Times New Roman" w:hAnsi="Times New Roman" w:cs="Times New Roman"/>
                <w:b w:val="0"/>
                <w:bCs w:val="0"/>
                <w:color w:val="auto"/>
                <w:sz w:val="24"/>
                <w:szCs w:val="32"/>
                <w:highlight w:val="none"/>
                <w:u w:val="none"/>
                <w:lang w:val="en-US" w:eastAsia="zh-CN"/>
              </w:rPr>
              <w:t>影响分析</w:t>
            </w:r>
          </w:p>
          <w:p>
            <w:pPr>
              <w:bidi w:val="0"/>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rPr>
              <w:t>本工程在各施工堤防段分别设0.8m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rPr>
              <w:t>砼搅拌机，承担其砼的供应。</w:t>
            </w:r>
            <w:r>
              <w:rPr>
                <w:rFonts w:hint="default" w:ascii="Times New Roman" w:hAnsi="Times New Roman" w:cs="Times New Roman"/>
                <w:color w:val="auto"/>
                <w:sz w:val="24"/>
                <w:szCs w:val="32"/>
                <w:highlight w:val="none"/>
                <w:u w:val="none"/>
                <w:lang w:val="en-US" w:eastAsia="zh-CN"/>
              </w:rPr>
              <w:t>会产生砂石料清洗</w:t>
            </w:r>
            <w:r>
              <w:rPr>
                <w:rFonts w:hint="default" w:ascii="Times New Roman" w:hAnsi="Times New Roman" w:cs="Times New Roman"/>
                <w:b w:val="0"/>
                <w:bCs w:val="0"/>
                <w:color w:val="auto"/>
                <w:sz w:val="24"/>
                <w:szCs w:val="32"/>
                <w:highlight w:val="none"/>
                <w:u w:val="none"/>
                <w:lang w:val="en-US" w:eastAsia="zh-CN"/>
              </w:rPr>
              <w:t>及</w:t>
            </w:r>
            <w:r>
              <w:rPr>
                <w:rFonts w:hint="default" w:ascii="Times New Roman" w:hAnsi="Times New Roman" w:cs="Times New Roman"/>
                <w:color w:val="auto"/>
                <w:highlight w:val="none"/>
                <w:u w:val="none"/>
              </w:rPr>
              <w:t>砼浇筑</w:t>
            </w:r>
            <w:r>
              <w:rPr>
                <w:rFonts w:hint="default" w:ascii="Times New Roman" w:hAnsi="Times New Roman" w:cs="Times New Roman"/>
                <w:color w:val="auto"/>
                <w:highlight w:val="none"/>
                <w:u w:val="none"/>
                <w:lang w:val="en-US" w:eastAsia="zh-CN"/>
              </w:rPr>
              <w:t>系统</w:t>
            </w:r>
            <w:r>
              <w:rPr>
                <w:rFonts w:hint="default" w:ascii="Times New Roman" w:hAnsi="Times New Roman" w:cs="Times New Roman"/>
                <w:color w:val="auto"/>
                <w:sz w:val="24"/>
                <w:szCs w:val="32"/>
                <w:highlight w:val="none"/>
                <w:u w:val="none"/>
                <w:lang w:val="en-US" w:eastAsia="zh-CN"/>
              </w:rPr>
              <w:t>废水</w:t>
            </w:r>
            <w:r>
              <w:rPr>
                <w:rFonts w:hint="default" w:ascii="Times New Roman" w:hAnsi="Times New Roman" w:cs="Times New Roman"/>
                <w:color w:val="auto"/>
                <w:sz w:val="24"/>
                <w:szCs w:val="32"/>
                <w:highlight w:val="none"/>
                <w:u w:val="none"/>
              </w:rPr>
              <w:t>，</w:t>
            </w:r>
            <w:r>
              <w:rPr>
                <w:rFonts w:hint="default" w:ascii="Times New Roman" w:hAnsi="Times New Roman" w:cs="Times New Roman"/>
                <w:color w:val="auto"/>
                <w:sz w:val="24"/>
                <w:szCs w:val="32"/>
                <w:highlight w:val="none"/>
                <w:u w:val="none"/>
                <w:lang w:val="en-US" w:eastAsia="zh-CN"/>
              </w:rPr>
              <w:t>废水</w:t>
            </w:r>
            <w:r>
              <w:rPr>
                <w:rFonts w:hint="default" w:ascii="Times New Roman" w:hAnsi="Times New Roman" w:cs="Times New Roman"/>
                <w:color w:val="auto"/>
                <w:sz w:val="24"/>
                <w:szCs w:val="32"/>
                <w:highlight w:val="none"/>
                <w:u w:val="none"/>
              </w:rPr>
              <w:t>主要为</w:t>
            </w:r>
            <w:r>
              <w:rPr>
                <w:rFonts w:hint="default" w:ascii="Times New Roman" w:hAnsi="Times New Roman" w:cs="Times New Roman"/>
                <w:color w:val="auto"/>
                <w:sz w:val="24"/>
                <w:szCs w:val="32"/>
                <w:highlight w:val="none"/>
                <w:u w:val="none"/>
                <w:lang w:val="en-US" w:eastAsia="zh-CN"/>
              </w:rPr>
              <w:t>污染物为</w:t>
            </w:r>
            <w:r>
              <w:rPr>
                <w:rFonts w:hint="default" w:ascii="Times New Roman" w:hAnsi="Times New Roman" w:cs="Times New Roman"/>
                <w:color w:val="auto"/>
                <w:sz w:val="24"/>
                <w:szCs w:val="32"/>
                <w:highlight w:val="none"/>
                <w:u w:val="none"/>
              </w:rPr>
              <w:t>悬浮物，</w:t>
            </w:r>
            <w:r>
              <w:rPr>
                <w:rFonts w:hint="default" w:ascii="Times New Roman" w:hAnsi="Times New Roman" w:cs="Times New Roman"/>
                <w:color w:val="auto"/>
                <w:highlight w:val="none"/>
                <w:u w:val="none"/>
              </w:rPr>
              <w:t>悬浮物</w:t>
            </w:r>
            <w:r>
              <w:rPr>
                <w:rFonts w:hint="eastAsia" w:cs="Times New Roman"/>
                <w:color w:val="auto"/>
                <w:highlight w:val="none"/>
                <w:u w:val="none"/>
                <w:lang w:eastAsia="zh-CN"/>
              </w:rPr>
              <w:t>主要成分</w:t>
            </w:r>
            <w:r>
              <w:rPr>
                <w:rFonts w:hint="default" w:ascii="Times New Roman" w:hAnsi="Times New Roman" w:cs="Times New Roman"/>
                <w:color w:val="auto"/>
                <w:highlight w:val="none"/>
                <w:u w:val="none"/>
              </w:rPr>
              <w:t>为污泥和岩石碎屑形成的泥沙</w:t>
            </w:r>
            <w:r>
              <w:rPr>
                <w:rFonts w:hint="default" w:ascii="Times New Roman" w:hAnsi="Times New Roman" w:cs="Times New Roman"/>
                <w:color w:val="auto"/>
                <w:highlight w:val="none"/>
                <w:u w:val="none"/>
                <w:lang w:eastAsia="zh-CN"/>
              </w:rPr>
              <w:t>。</w:t>
            </w:r>
            <w:r>
              <w:rPr>
                <w:rFonts w:hint="default" w:ascii="Times New Roman" w:hAnsi="Times New Roman" w:cs="Times New Roman"/>
                <w:color w:val="auto"/>
                <w:sz w:val="24"/>
                <w:szCs w:val="32"/>
                <w:highlight w:val="none"/>
                <w:u w:val="none"/>
              </w:rPr>
              <w:t>针对本项目施工废水特点</w:t>
            </w:r>
            <w:r>
              <w:rPr>
                <w:rFonts w:hint="default" w:ascii="Times New Roman" w:hAnsi="Times New Roman" w:cs="Times New Roman"/>
                <w:color w:val="auto"/>
                <w:sz w:val="24"/>
                <w:szCs w:val="32"/>
                <w:highlight w:val="none"/>
                <w:u w:val="none"/>
                <w:lang w:eastAsia="zh-CN"/>
              </w:rPr>
              <w:t>，</w:t>
            </w:r>
            <w:r>
              <w:rPr>
                <w:rFonts w:hint="default" w:ascii="Times New Roman" w:hAnsi="Times New Roman" w:cs="Times New Roman"/>
                <w:color w:val="auto"/>
                <w:highlight w:val="none"/>
                <w:u w:val="none"/>
              </w:rPr>
              <w:t>采用预沉与沉淀组合的二级沉淀型式和土工布除油处理措施</w:t>
            </w:r>
            <w:r>
              <w:rPr>
                <w:rFonts w:hint="default" w:ascii="Times New Roman" w:hAnsi="Times New Roman" w:cs="Times New Roman"/>
                <w:color w:val="auto"/>
                <w:highlight w:val="none"/>
                <w:u w:val="none"/>
                <w:lang w:eastAsia="zh-CN"/>
              </w:rPr>
              <w:t>，</w:t>
            </w:r>
            <w:r>
              <w:rPr>
                <w:rFonts w:hint="default" w:ascii="Times New Roman" w:hAnsi="Times New Roman" w:cs="Times New Roman"/>
                <w:color w:val="auto"/>
                <w:highlight w:val="none"/>
                <w:u w:val="none"/>
              </w:rPr>
              <w:t>利用砂石料加工系统四周布置的集水沟汇集生产废水，导入预沉池，加絮凝剂，利用土工布吸油，经初步沉淀后上清液排入沉淀</w:t>
            </w:r>
            <w:r>
              <w:rPr>
                <w:rFonts w:hint="default" w:ascii="Times New Roman" w:hAnsi="Times New Roman" w:cs="Times New Roman"/>
                <w:color w:val="auto"/>
                <w:highlight w:val="none"/>
                <w:u w:val="none"/>
                <w:lang w:val="en-US" w:eastAsia="zh-CN"/>
              </w:rPr>
              <w:t>池</w:t>
            </w:r>
            <w:r>
              <w:rPr>
                <w:rFonts w:hint="default" w:ascii="Times New Roman" w:hAnsi="Times New Roman" w:cs="Times New Roman"/>
                <w:color w:val="auto"/>
                <w:highlight w:val="none"/>
                <w:u w:val="none"/>
              </w:rPr>
              <w:t>循环利用，</w:t>
            </w:r>
            <w:r>
              <w:rPr>
                <w:rFonts w:hint="default" w:ascii="Times New Roman" w:hAnsi="Times New Roman" w:cs="Times New Roman"/>
                <w:color w:val="auto"/>
                <w:szCs w:val="32"/>
                <w:highlight w:val="none"/>
                <w:u w:val="none"/>
              </w:rPr>
              <w:t>同时沉淀池泥沙也可作为建筑砂浆回用</w:t>
            </w:r>
            <w:r>
              <w:rPr>
                <w:rFonts w:hint="default" w:ascii="Times New Roman" w:hAnsi="Times New Roman" w:cs="Times New Roman"/>
                <w:color w:val="auto"/>
                <w:szCs w:val="32"/>
                <w:highlight w:val="none"/>
                <w:u w:val="none"/>
                <w:lang w:eastAsia="zh-CN"/>
              </w:rPr>
              <w:t>，</w:t>
            </w:r>
            <w:r>
              <w:rPr>
                <w:rFonts w:hint="default" w:ascii="Times New Roman" w:hAnsi="Times New Roman" w:cs="Times New Roman"/>
                <w:color w:val="auto"/>
                <w:highlight w:val="none"/>
                <w:u w:val="none"/>
              </w:rPr>
              <w:t>工程施工结束后沉淀池应及时进行回填处理</w:t>
            </w:r>
            <w:r>
              <w:rPr>
                <w:rFonts w:hint="default" w:ascii="Times New Roman" w:hAnsi="Times New Roman" w:cs="Times New Roman"/>
                <w:color w:val="auto"/>
                <w:highlight w:val="none"/>
                <w:u w:val="none"/>
                <w:lang w:eastAsia="zh-CN"/>
              </w:rPr>
              <w:t>。</w:t>
            </w:r>
            <w:r>
              <w:rPr>
                <w:rFonts w:hint="default" w:ascii="Times New Roman" w:hAnsi="Times New Roman" w:cs="Times New Roman"/>
                <w:color w:val="auto"/>
                <w:highlight w:val="none"/>
                <w:u w:val="none"/>
                <w:lang w:val="en-US" w:eastAsia="zh-CN"/>
              </w:rPr>
              <w:t>采取以上废水治理措施后，其浓度可得到有效控制，能够实现达标排放，对区域地表水环境影响不大。</w:t>
            </w:r>
          </w:p>
          <w:p>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highlight w:val="none"/>
                <w:u w:val="none"/>
              </w:rPr>
            </w:pPr>
            <w:r>
              <w:rPr>
                <w:rFonts w:hint="default" w:ascii="Times New Roman" w:hAnsi="Times New Roman" w:eastAsia="微软雅黑" w:cs="Times New Roman"/>
                <w:b w:val="0"/>
                <w:bCs w:val="0"/>
                <w:color w:val="auto"/>
                <w:sz w:val="24"/>
                <w:szCs w:val="32"/>
                <w:highlight w:val="none"/>
                <w:u w:val="none"/>
                <w:lang w:val="en-US" w:eastAsia="zh-CN"/>
              </w:rPr>
              <w:t>②</w:t>
            </w:r>
            <w:r>
              <w:rPr>
                <w:rFonts w:hint="default" w:ascii="Times New Roman" w:hAnsi="Times New Roman" w:cs="Times New Roman"/>
                <w:color w:val="auto"/>
                <w:highlight w:val="none"/>
                <w:u w:val="none"/>
              </w:rPr>
              <w:t>车辆</w:t>
            </w:r>
            <w:r>
              <w:rPr>
                <w:rFonts w:hint="default" w:ascii="Times New Roman" w:hAnsi="Times New Roman" w:cs="Times New Roman"/>
                <w:color w:val="auto"/>
                <w:highlight w:val="none"/>
                <w:u w:val="none"/>
                <w:lang w:val="en-US" w:eastAsia="zh-CN"/>
              </w:rPr>
              <w:t>机械</w:t>
            </w:r>
            <w:r>
              <w:rPr>
                <w:rFonts w:hint="default" w:ascii="Times New Roman" w:hAnsi="Times New Roman" w:cs="Times New Roman"/>
                <w:color w:val="auto"/>
                <w:highlight w:val="none"/>
                <w:u w:val="none"/>
              </w:rPr>
              <w:t>冲洗废水</w:t>
            </w:r>
          </w:p>
          <w:p>
            <w:pPr>
              <w:bidi w:val="0"/>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szCs w:val="32"/>
                <w:highlight w:val="none"/>
                <w:u w:val="none"/>
              </w:rPr>
              <w:t>本项目施工</w:t>
            </w:r>
            <w:r>
              <w:rPr>
                <w:rFonts w:hint="default" w:ascii="Times New Roman" w:hAnsi="Times New Roman" w:cs="Times New Roman"/>
                <w:color w:val="auto"/>
                <w:szCs w:val="32"/>
                <w:highlight w:val="none"/>
                <w:u w:val="none"/>
                <w:lang w:val="en-US" w:eastAsia="zh-CN"/>
              </w:rPr>
              <w:t>车辆机械冲洗产生的</w:t>
            </w:r>
            <w:r>
              <w:rPr>
                <w:rFonts w:hint="default" w:ascii="Times New Roman" w:hAnsi="Times New Roman" w:cs="Times New Roman"/>
                <w:color w:val="auto"/>
                <w:szCs w:val="32"/>
                <w:highlight w:val="none"/>
                <w:u w:val="none"/>
              </w:rPr>
              <w:t>冲洗废水，主要</w:t>
            </w:r>
            <w:r>
              <w:rPr>
                <w:rFonts w:hint="default" w:ascii="Times New Roman" w:hAnsi="Times New Roman" w:cs="Times New Roman"/>
                <w:color w:val="auto"/>
                <w:szCs w:val="32"/>
                <w:highlight w:val="none"/>
                <w:u w:val="none"/>
                <w:lang w:val="en-US" w:eastAsia="zh-CN"/>
              </w:rPr>
              <w:t>污染物</w:t>
            </w:r>
            <w:r>
              <w:rPr>
                <w:rFonts w:hint="default" w:ascii="Times New Roman" w:hAnsi="Times New Roman" w:cs="Times New Roman"/>
                <w:color w:val="auto"/>
                <w:szCs w:val="32"/>
                <w:highlight w:val="none"/>
                <w:u w:val="none"/>
              </w:rPr>
              <w:t>为含油废水、悬浮物，pH值呈弱碱性。针对废水特点，</w:t>
            </w:r>
            <w:r>
              <w:rPr>
                <w:rFonts w:hint="default" w:ascii="Times New Roman" w:hAnsi="Times New Roman" w:cs="Times New Roman"/>
                <w:color w:val="auto"/>
                <w:highlight w:val="none"/>
              </w:rPr>
              <w:t>本工程在</w:t>
            </w:r>
            <w:r>
              <w:rPr>
                <w:rFonts w:hint="default" w:ascii="Times New Roman" w:hAnsi="Times New Roman" w:cs="Times New Roman"/>
                <w:color w:val="auto"/>
                <w:highlight w:val="none"/>
                <w:lang w:val="en-US" w:eastAsia="zh-CN"/>
              </w:rPr>
              <w:t>各</w:t>
            </w:r>
            <w:r>
              <w:rPr>
                <w:rFonts w:hint="default" w:ascii="Times New Roman" w:hAnsi="Times New Roman" w:cs="Times New Roman"/>
                <w:color w:val="auto"/>
                <w:highlight w:val="none"/>
              </w:rPr>
              <w:t>施工</w:t>
            </w:r>
            <w:r>
              <w:rPr>
                <w:rFonts w:hint="default" w:ascii="Times New Roman" w:hAnsi="Times New Roman" w:cs="Times New Roman"/>
                <w:color w:val="auto"/>
                <w:highlight w:val="none"/>
                <w:lang w:val="en-US" w:eastAsia="zh-CN"/>
              </w:rPr>
              <w:t>工区</w:t>
            </w:r>
            <w:r>
              <w:rPr>
                <w:rFonts w:hint="default" w:ascii="Times New Roman" w:hAnsi="Times New Roman" w:cs="Times New Roman"/>
                <w:color w:val="auto"/>
                <w:highlight w:val="none"/>
              </w:rPr>
              <w:t>均设置了施工机械停放场，为便于收集处理含油废水，在施工机械停放场附近设置1处冲洗专用场地，四周设置集水沟收集废水，而后进入隔油池处理，达标后用于施工场地洒水</w:t>
            </w:r>
            <w:r>
              <w:rPr>
                <w:rFonts w:hint="default" w:ascii="Times New Roman" w:hAnsi="Times New Roman" w:cs="Times New Roman"/>
                <w:color w:val="auto"/>
                <w:highlight w:val="none"/>
                <w:lang w:eastAsia="zh-CN"/>
              </w:rPr>
              <w:t>，</w:t>
            </w:r>
            <w:r>
              <w:rPr>
                <w:rFonts w:hint="default" w:ascii="Times New Roman" w:hAnsi="Times New Roman" w:cs="Times New Roman"/>
                <w:color w:val="auto"/>
                <w:szCs w:val="32"/>
                <w:highlight w:val="none"/>
                <w:u w:val="none"/>
              </w:rPr>
              <w:t>不得随意排放，</w:t>
            </w:r>
            <w:r>
              <w:rPr>
                <w:rFonts w:hint="default" w:ascii="Times New Roman" w:hAnsi="Times New Roman" w:cs="Times New Roman"/>
                <w:color w:val="auto"/>
                <w:szCs w:val="32"/>
                <w:highlight w:val="none"/>
                <w:u w:val="none"/>
                <w:lang w:val="en-US" w:eastAsia="zh-CN"/>
              </w:rPr>
              <w:t>综上，</w:t>
            </w:r>
            <w:r>
              <w:rPr>
                <w:rFonts w:hint="default" w:ascii="Times New Roman" w:hAnsi="Times New Roman" w:cs="Times New Roman"/>
                <w:color w:val="auto"/>
                <w:highlight w:val="none"/>
                <w:u w:val="none"/>
                <w:lang w:val="en-US" w:eastAsia="zh-CN"/>
              </w:rPr>
              <w:t>对区域地表水环境影响不大。</w:t>
            </w:r>
          </w:p>
          <w:p>
            <w:pPr>
              <w:bidi w:val="0"/>
              <w:rPr>
                <w:rFonts w:hint="default" w:ascii="Times New Roman" w:hAnsi="Times New Roman" w:cs="Times New Roman"/>
                <w:b w:val="0"/>
                <w:bCs w:val="0"/>
                <w:color w:val="auto"/>
                <w:highlight w:val="none"/>
                <w:u w:val="none"/>
              </w:rPr>
            </w:pPr>
            <w:r>
              <w:rPr>
                <w:rFonts w:hint="default" w:ascii="Times New Roman" w:hAnsi="Times New Roman" w:cs="Times New Roman"/>
                <w:color w:val="auto"/>
                <w:highlight w:val="none"/>
                <w:u w:val="none"/>
                <w:lang w:val="en-US" w:eastAsia="zh-CN"/>
              </w:rPr>
              <w:t>③</w:t>
            </w:r>
            <w:r>
              <w:rPr>
                <w:rFonts w:hint="default" w:ascii="Times New Roman" w:hAnsi="Times New Roman" w:cs="Times New Roman"/>
                <w:b w:val="0"/>
                <w:bCs w:val="0"/>
                <w:color w:val="auto"/>
                <w:highlight w:val="none"/>
                <w:u w:val="none"/>
              </w:rPr>
              <w:t>生活污水</w:t>
            </w:r>
          </w:p>
          <w:p>
            <w:pPr>
              <w:bidi w:val="0"/>
              <w:rPr>
                <w:rFonts w:hint="default" w:ascii="Times New Roman" w:hAnsi="Times New Roman" w:cs="Times New Roman"/>
                <w:color w:val="auto"/>
                <w:spacing w:val="-1"/>
                <w:highlight w:val="none"/>
                <w:u w:val="none"/>
                <w:lang w:eastAsia="zh-CN"/>
              </w:rPr>
            </w:pPr>
            <w:r>
              <w:rPr>
                <w:rFonts w:hint="default" w:ascii="Times New Roman" w:hAnsi="Times New Roman" w:cs="Times New Roman"/>
                <w:color w:val="auto"/>
                <w:sz w:val="24"/>
                <w:szCs w:val="32"/>
                <w:highlight w:val="none"/>
                <w:u w:val="none"/>
              </w:rPr>
              <w:t>本项目施工期不设置施工营地，施工人员生活、住宿均依托于周边租住民房，施工人员就餐利用区域附近餐馆解决。施工期施工人员将产生少量生活污水，</w:t>
            </w:r>
            <w:r>
              <w:rPr>
                <w:rFonts w:hint="default" w:ascii="Times New Roman" w:hAnsi="Times New Roman" w:cs="Times New Roman"/>
                <w:color w:val="auto"/>
                <w:highlight w:val="none"/>
                <w:u w:val="none"/>
              </w:rPr>
              <w:t>按高峰期施工人员</w:t>
            </w:r>
            <w:r>
              <w:rPr>
                <w:rFonts w:hint="default" w:ascii="Times New Roman" w:hAnsi="Times New Roman" w:cs="Times New Roman"/>
                <w:color w:val="auto"/>
                <w:highlight w:val="none"/>
                <w:u w:val="none"/>
                <w:lang w:val="en-US" w:eastAsia="zh-CN"/>
              </w:rPr>
              <w:t>54</w:t>
            </w:r>
            <w:r>
              <w:rPr>
                <w:rFonts w:hint="default" w:ascii="Times New Roman" w:hAnsi="Times New Roman" w:cs="Times New Roman"/>
                <w:color w:val="auto"/>
                <w:highlight w:val="none"/>
                <w:u w:val="none"/>
              </w:rPr>
              <w:t>人，用水定额以1</w:t>
            </w:r>
            <w:r>
              <w:rPr>
                <w:rFonts w:hint="default" w:ascii="Times New Roman" w:hAnsi="Times New Roman" w:cs="Times New Roman"/>
                <w:color w:val="auto"/>
                <w:highlight w:val="none"/>
                <w:u w:val="none"/>
                <w:lang w:val="en-US" w:eastAsia="zh-CN"/>
              </w:rPr>
              <w:t>3</w:t>
            </w:r>
            <w:r>
              <w:rPr>
                <w:rFonts w:hint="default" w:ascii="Times New Roman" w:hAnsi="Times New Roman" w:cs="Times New Roman"/>
                <w:color w:val="auto"/>
                <w:highlight w:val="none"/>
                <w:u w:val="none"/>
              </w:rPr>
              <w:t>0L/d·人计，污水产生量为</w:t>
            </w:r>
            <w:r>
              <w:rPr>
                <w:rFonts w:hint="default" w:ascii="Times New Roman" w:hAnsi="Times New Roman" w:cs="Times New Roman"/>
                <w:color w:val="auto"/>
                <w:highlight w:val="none"/>
                <w:u w:val="none"/>
                <w:lang w:val="en-US" w:eastAsia="zh-CN"/>
              </w:rPr>
              <w:t>7.02</w:t>
            </w:r>
            <w:r>
              <w:rPr>
                <w:rFonts w:hint="default" w:ascii="Times New Roman" w:hAnsi="Times New Roman" w:cs="Times New Roman"/>
                <w:color w:val="auto"/>
                <w:highlight w:val="none"/>
                <w:u w:val="none"/>
              </w:rPr>
              <w:t>m</w:t>
            </w:r>
            <w:r>
              <w:rPr>
                <w:rFonts w:hint="default" w:ascii="Times New Roman" w:hAnsi="Times New Roman" w:cs="Times New Roman"/>
                <w:color w:val="auto"/>
                <w:highlight w:val="none"/>
                <w:u w:val="none"/>
                <w:vertAlign w:val="superscript"/>
              </w:rPr>
              <w:t>3</w:t>
            </w:r>
            <w:r>
              <w:rPr>
                <w:rFonts w:hint="default" w:ascii="Times New Roman" w:hAnsi="Times New Roman" w:cs="Times New Roman"/>
                <w:color w:val="auto"/>
                <w:highlight w:val="none"/>
                <w:u w:val="none"/>
              </w:rPr>
              <w:t>/d，排放系数以0.</w:t>
            </w:r>
            <w:r>
              <w:rPr>
                <w:rFonts w:hint="default" w:ascii="Times New Roman" w:hAnsi="Times New Roman" w:cs="Times New Roman"/>
                <w:color w:val="auto"/>
                <w:highlight w:val="none"/>
                <w:u w:val="none"/>
                <w:lang w:val="en-US" w:eastAsia="zh-CN"/>
              </w:rPr>
              <w:t>85</w:t>
            </w:r>
            <w:r>
              <w:rPr>
                <w:rFonts w:hint="default" w:ascii="Times New Roman" w:hAnsi="Times New Roman" w:cs="Times New Roman"/>
                <w:color w:val="auto"/>
                <w:highlight w:val="none"/>
                <w:u w:val="none"/>
              </w:rPr>
              <w:t>计，排放量为</w:t>
            </w:r>
            <w:r>
              <w:rPr>
                <w:rFonts w:hint="default" w:ascii="Times New Roman" w:hAnsi="Times New Roman" w:cs="Times New Roman"/>
                <w:color w:val="auto"/>
                <w:highlight w:val="none"/>
                <w:u w:val="none"/>
                <w:lang w:val="en-US" w:eastAsia="zh-CN"/>
              </w:rPr>
              <w:t>5.97</w:t>
            </w:r>
            <w:r>
              <w:rPr>
                <w:rFonts w:hint="default" w:ascii="Times New Roman" w:hAnsi="Times New Roman" w:cs="Times New Roman"/>
                <w:color w:val="auto"/>
                <w:highlight w:val="none"/>
                <w:u w:val="none"/>
              </w:rPr>
              <w:t>m</w:t>
            </w:r>
            <w:r>
              <w:rPr>
                <w:rFonts w:hint="default" w:ascii="Times New Roman" w:hAnsi="Times New Roman" w:cs="Times New Roman"/>
                <w:color w:val="auto"/>
                <w:highlight w:val="none"/>
                <w:u w:val="none"/>
                <w:vertAlign w:val="superscript"/>
              </w:rPr>
              <w:t>3</w:t>
            </w:r>
            <w:r>
              <w:rPr>
                <w:rFonts w:hint="default" w:ascii="Times New Roman" w:hAnsi="Times New Roman" w:cs="Times New Roman"/>
                <w:color w:val="auto"/>
                <w:highlight w:val="none"/>
                <w:u w:val="none"/>
              </w:rPr>
              <w:t>/d，施工人员生活污水中主要含COD、BOD、NH</w:t>
            </w:r>
            <w:r>
              <w:rPr>
                <w:rFonts w:hint="default" w:ascii="Times New Roman" w:hAnsi="Times New Roman" w:cs="Times New Roman"/>
                <w:color w:val="auto"/>
                <w:highlight w:val="none"/>
                <w:u w:val="none"/>
                <w:vertAlign w:val="subscript"/>
              </w:rPr>
              <w:t>3</w:t>
            </w:r>
            <w:r>
              <w:rPr>
                <w:rFonts w:hint="default" w:ascii="Times New Roman" w:hAnsi="Times New Roman" w:cs="Times New Roman"/>
                <w:color w:val="auto"/>
                <w:highlight w:val="none"/>
                <w:u w:val="none"/>
              </w:rPr>
              <w:t>-N、SS等。</w:t>
            </w:r>
            <w:r>
              <w:rPr>
                <w:rFonts w:hint="default" w:ascii="Times New Roman" w:hAnsi="Times New Roman" w:eastAsia="宋体" w:cs="Times New Roman"/>
                <w:color w:val="auto"/>
                <w:highlight w:val="none"/>
                <w:u w:val="none"/>
              </w:rPr>
              <w:t>施工期施工人员生活污水处理依托租住的</w:t>
            </w:r>
            <w:r>
              <w:rPr>
                <w:rFonts w:hint="default" w:ascii="Times New Roman" w:hAnsi="Times New Roman" w:eastAsia="宋体" w:cs="Times New Roman"/>
                <w:color w:val="auto"/>
                <w:highlight w:val="none"/>
                <w:u w:val="none"/>
                <w:lang w:val="en-US" w:eastAsia="zh-CN"/>
              </w:rPr>
              <w:t>附近场镇</w:t>
            </w:r>
            <w:r>
              <w:rPr>
                <w:rFonts w:hint="default" w:ascii="Times New Roman" w:hAnsi="Times New Roman" w:eastAsia="宋体" w:cs="Times New Roman"/>
                <w:color w:val="auto"/>
                <w:highlight w:val="none"/>
                <w:u w:val="none"/>
              </w:rPr>
              <w:t>民房</w:t>
            </w:r>
            <w:r>
              <w:rPr>
                <w:rFonts w:hint="default" w:ascii="Times New Roman" w:hAnsi="Times New Roman" w:eastAsia="宋体" w:cs="Times New Roman"/>
                <w:color w:val="auto"/>
                <w:highlight w:val="none"/>
                <w:u w:val="none"/>
                <w:lang w:val="en-US" w:eastAsia="zh-CN"/>
              </w:rPr>
              <w:t>的</w:t>
            </w:r>
            <w:r>
              <w:rPr>
                <w:rFonts w:hint="default" w:ascii="Times New Roman" w:hAnsi="Times New Roman" w:eastAsia="宋体" w:cs="Times New Roman"/>
                <w:color w:val="auto"/>
                <w:highlight w:val="none"/>
                <w:u w:val="none"/>
              </w:rPr>
              <w:t>污水处理设施</w:t>
            </w:r>
            <w:r>
              <w:rPr>
                <w:rFonts w:hint="default" w:ascii="Times New Roman" w:hAnsi="Times New Roman" w:cs="Times New Roman"/>
                <w:color w:val="auto"/>
                <w:highlight w:val="none"/>
                <w:u w:val="none"/>
                <w:lang w:val="en-US" w:eastAsia="zh-CN"/>
              </w:rPr>
              <w:t>处理</w:t>
            </w:r>
            <w:r>
              <w:rPr>
                <w:rFonts w:hint="default" w:ascii="Times New Roman" w:hAnsi="Times New Roman" w:eastAsia="宋体" w:cs="Times New Roman"/>
                <w:color w:val="auto"/>
                <w:highlight w:val="none"/>
                <w:u w:val="none"/>
                <w:lang w:eastAsia="zh-CN"/>
              </w:rPr>
              <w:t>，</w:t>
            </w:r>
            <w:r>
              <w:rPr>
                <w:rFonts w:hint="default" w:ascii="Times New Roman" w:hAnsi="Times New Roman" w:cs="Times New Roman"/>
                <w:color w:val="auto"/>
                <w:spacing w:val="-1"/>
                <w:highlight w:val="none"/>
                <w:u w:val="none"/>
              </w:rPr>
              <w:t>对地表水体影响不大</w:t>
            </w:r>
            <w:r>
              <w:rPr>
                <w:rFonts w:hint="default" w:ascii="Times New Roman" w:hAnsi="Times New Roman" w:cs="Times New Roman"/>
                <w:color w:val="auto"/>
                <w:spacing w:val="-1"/>
                <w:highlight w:val="none"/>
                <w:u w:val="none"/>
                <w:lang w:eastAsia="zh-CN"/>
              </w:rPr>
              <w:t>。</w:t>
            </w:r>
          </w:p>
          <w:p>
            <w:pPr>
              <w:bidi w:val="0"/>
              <w:rPr>
                <w:rFonts w:hint="default" w:ascii="Times New Roman" w:hAnsi="Times New Roman" w:cs="Times New Roman"/>
                <w:b w:val="0"/>
                <w:bCs w:val="0"/>
                <w:color w:val="auto"/>
                <w:highlight w:val="none"/>
                <w:lang w:val="en-US" w:eastAsia="zh-CN"/>
              </w:rPr>
            </w:pPr>
            <w:r>
              <w:rPr>
                <w:rFonts w:hint="default" w:ascii="Times New Roman" w:hAnsi="Times New Roman" w:cs="Times New Roman"/>
                <w:b w:val="0"/>
                <w:bCs w:val="0"/>
                <w:color w:val="auto"/>
                <w:highlight w:val="none"/>
                <w:u w:val="none"/>
                <w:lang w:val="en-US" w:eastAsia="zh-CN"/>
              </w:rPr>
              <w:t>综上所述，施工期落实水环境保护防治措施后，对地表水环</w:t>
            </w:r>
            <w:r>
              <w:rPr>
                <w:rFonts w:hint="default" w:ascii="Times New Roman" w:hAnsi="Times New Roman" w:cs="Times New Roman"/>
                <w:b w:val="0"/>
                <w:bCs w:val="0"/>
                <w:color w:val="auto"/>
                <w:highlight w:val="none"/>
                <w:lang w:val="en-US" w:eastAsia="zh-CN"/>
              </w:rPr>
              <w:t>境影响不大。</w:t>
            </w:r>
          </w:p>
          <w:p>
            <w:pPr>
              <w:numPr>
                <w:ilvl w:val="0"/>
                <w:numId w:val="9"/>
              </w:numPr>
              <w:bidi w:val="0"/>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施工期对水环境敏感目标的影响分析</w:t>
            </w:r>
          </w:p>
          <w:p>
            <w:pPr>
              <w:bidi w:val="0"/>
              <w:rPr>
                <w:rFonts w:hint="default" w:ascii="Times New Roman" w:hAnsi="Times New Roman" w:cs="Times New Roman"/>
                <w:b w:val="0"/>
                <w:bCs w:val="0"/>
                <w:color w:val="auto"/>
                <w:highlight w:val="none"/>
                <w:u w:val="none"/>
                <w:lang w:val="en-US" w:eastAsia="zh-CN"/>
              </w:rPr>
            </w:pPr>
            <w:r>
              <w:rPr>
                <w:rFonts w:hint="default" w:ascii="Times New Roman" w:hAnsi="Times New Roman" w:cs="Times New Roman"/>
                <w:color w:val="auto"/>
                <w:highlight w:val="none"/>
                <w:lang w:val="en-US" w:eastAsia="zh-CN"/>
              </w:rPr>
              <w:t>本工程水环境敏感目标为胡家河、油坊沟，位于胡家镇境内</w:t>
            </w:r>
            <w:r>
              <w:rPr>
                <w:rFonts w:hint="default" w:ascii="Times New Roman" w:hAnsi="Times New Roman" w:cs="Times New Roman"/>
                <w:color w:val="auto"/>
                <w:highlight w:val="none"/>
                <w:lang w:eastAsia="zh-CN"/>
              </w:rPr>
              <w:t>。</w:t>
            </w:r>
            <w:r>
              <w:rPr>
                <w:rFonts w:hint="default" w:ascii="Times New Roman" w:hAnsi="Times New Roman" w:cs="Times New Roman"/>
                <w:b w:val="0"/>
                <w:bCs w:val="0"/>
                <w:color w:val="auto"/>
                <w:highlight w:val="none"/>
                <w:u w:val="none"/>
                <w:lang w:val="en-US" w:eastAsia="zh-CN"/>
              </w:rPr>
              <w:t>施工期施工废水经处理达标后回用，生活污水依托租住的附近场镇民房的污水处理设施处理，不直排入周围环境水体。因此，对地表水影响较小；工程施工对控制断面的水质影响主要集中在围堰修筑及拆除过程，建议利用枯水期晴天进行围堰施工，控制施工时长。对于施工机械的跑冒滴漏通过地表径流可能污染水体，但其影响程度较小，通过加强施工机械管理，可以最大程度降低施工对地表水体的不利影响。</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综上，落实水环境保护防治措施后，工程对地表水水质影响较小。</w:t>
            </w:r>
          </w:p>
          <w:p>
            <w:pPr>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2、生态环境影响分析</w:t>
            </w:r>
          </w:p>
          <w:p>
            <w:pPr>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lang w:val="en-US" w:eastAsia="zh-CN"/>
              </w:rPr>
              <w:t>项目施工在生态影响方面主要体现在工程施工临时占地、开挖等施工活动对土地、植被造成一定的影响和破坏，使局部地区表土失去防冲固土能力造成的水土流失，同时会破坏部分动植物栖息地，引起动物迁徙，也会影响施工河段内的水生</w:t>
            </w:r>
            <w:r>
              <w:rPr>
                <w:rFonts w:hint="default" w:ascii="Times New Roman" w:hAnsi="Times New Roman" w:cs="Times New Roman"/>
                <w:color w:val="auto"/>
                <w:highlight w:val="none"/>
                <w:u w:val="none"/>
                <w:lang w:val="en-US" w:eastAsia="zh-CN"/>
              </w:rPr>
              <w:t>动植物。</w:t>
            </w:r>
          </w:p>
          <w:p>
            <w:pPr>
              <w:bidi w:val="0"/>
              <w:rPr>
                <w:rFonts w:hint="default" w:ascii="Times New Roman" w:hAnsi="Times New Roman" w:cs="Times New Roman"/>
                <w:b/>
                <w:bCs/>
                <w:color w:val="auto"/>
                <w:highlight w:val="none"/>
                <w:u w:val="none"/>
                <w:lang w:val="en-US" w:eastAsia="zh-CN"/>
              </w:rPr>
            </w:pPr>
            <w:r>
              <w:rPr>
                <w:rFonts w:hint="default" w:ascii="Times New Roman" w:hAnsi="Times New Roman" w:cs="Times New Roman"/>
                <w:b/>
                <w:bCs/>
                <w:color w:val="auto"/>
                <w:highlight w:val="none"/>
                <w:lang w:val="en-US" w:eastAsia="zh-CN"/>
              </w:rPr>
              <w:t>（1）</w:t>
            </w:r>
            <w:r>
              <w:rPr>
                <w:rFonts w:hint="default" w:ascii="Times New Roman" w:hAnsi="Times New Roman" w:cs="Times New Roman"/>
                <w:b/>
                <w:bCs/>
                <w:color w:val="auto"/>
                <w:highlight w:val="none"/>
                <w:u w:val="none"/>
                <w:lang w:val="en-US" w:eastAsia="zh-CN"/>
              </w:rPr>
              <w:t>工程占地的影响</w:t>
            </w:r>
          </w:p>
          <w:p>
            <w:pPr>
              <w:bidi w:val="0"/>
              <w:rPr>
                <w:rFonts w:hint="default" w:ascii="Times New Roman" w:hAnsi="Times New Roman" w:eastAsia="宋体" w:cs="Times New Roman"/>
                <w:color w:val="auto"/>
                <w:highlight w:val="none"/>
                <w:u w:val="none"/>
                <w:lang w:val="en-US" w:eastAsia="zh-CN"/>
              </w:rPr>
            </w:pPr>
            <w:r>
              <w:rPr>
                <w:rFonts w:hint="default" w:ascii="Times New Roman" w:hAnsi="Times New Roman" w:eastAsia="宋体" w:cs="Times New Roman"/>
                <w:color w:val="auto"/>
                <w:highlight w:val="none"/>
                <w:u w:val="none"/>
                <w:lang w:val="en-US" w:eastAsia="zh-CN"/>
              </w:rPr>
              <w:t>①占地影响</w:t>
            </w:r>
          </w:p>
          <w:p>
            <w:pPr>
              <w:rPr>
                <w:rFonts w:hint="default" w:ascii="Times New Roman" w:hAnsi="Times New Roman" w:cs="Times New Roman"/>
                <w:color w:val="auto"/>
                <w:highlight w:val="none"/>
                <w:u w:val="none"/>
                <w:lang w:eastAsia="zh-CN"/>
              </w:rPr>
            </w:pPr>
            <w:r>
              <w:rPr>
                <w:rFonts w:hint="default" w:ascii="Times New Roman" w:hAnsi="Times New Roman" w:eastAsia="宋体" w:cs="Times New Roman"/>
                <w:b w:val="0"/>
                <w:bCs w:val="0"/>
                <w:color w:val="auto"/>
                <w:highlight w:val="none"/>
                <w:u w:val="none"/>
                <w:lang w:val="en-US" w:eastAsia="zh-CN"/>
              </w:rPr>
              <w:t>永久占地</w:t>
            </w:r>
            <w:r>
              <w:rPr>
                <w:rFonts w:hint="default" w:ascii="Times New Roman" w:hAnsi="Times New Roman" w:eastAsia="宋体" w:cs="Times New Roman"/>
                <w:color w:val="auto"/>
                <w:highlight w:val="none"/>
                <w:u w:val="none"/>
                <w:lang w:val="en-US" w:eastAsia="zh-CN"/>
              </w:rPr>
              <w:t>：</w:t>
            </w:r>
            <w:r>
              <w:rPr>
                <w:rFonts w:hint="default" w:ascii="Times New Roman" w:hAnsi="Times New Roman" w:cs="Times New Roman"/>
                <w:color w:val="auto"/>
                <w:highlight w:val="none"/>
                <w:u w:val="none"/>
                <w:lang w:val="en-US" w:eastAsia="zh-CN"/>
              </w:rPr>
              <w:t>根据初步设计报告对项目用地类型调查，</w:t>
            </w:r>
            <w:r>
              <w:rPr>
                <w:rFonts w:hint="default" w:ascii="Times New Roman" w:hAnsi="Times New Roman" w:cs="Times New Roman"/>
                <w:color w:val="auto"/>
                <w:highlight w:val="none"/>
              </w:rPr>
              <w:t>本工程永久占地</w:t>
            </w:r>
            <w:r>
              <w:rPr>
                <w:rFonts w:hint="default" w:ascii="Times New Roman" w:hAnsi="Times New Roman" w:cs="Times New Roman"/>
                <w:color w:val="auto"/>
                <w:highlight w:val="none"/>
                <w:lang w:val="en-US" w:eastAsia="zh-CN"/>
              </w:rPr>
              <w:t>范围</w:t>
            </w:r>
            <w:r>
              <w:rPr>
                <w:rFonts w:hint="default" w:ascii="Times New Roman" w:hAnsi="Times New Roman" w:cs="Times New Roman"/>
                <w:color w:val="auto"/>
                <w:highlight w:val="none"/>
              </w:rPr>
              <w:t>主要为防洪堤建筑物用地</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永久占地17亩，其中水浇地1亩，河流水面8亩，内陆滩涂8亩，</w:t>
            </w:r>
            <w:r>
              <w:rPr>
                <w:rFonts w:hint="default" w:ascii="Times New Roman" w:hAnsi="Times New Roman" w:cs="Times New Roman"/>
                <w:color w:val="auto"/>
                <w:highlight w:val="none"/>
                <w:u w:val="none"/>
                <w:lang w:val="en-US" w:eastAsia="zh-CN"/>
              </w:rPr>
              <w:t>不涉及耕地、生态林地等生态敏感目标。项目防洪堤位于宣汉县胡家镇境内，区域为农村生态系统，永久占地虽然改变了占地范围内土地类型，但规模较小，且不涉及生态红线范围，不会造成区域生态环境破坏。项目建设后将</w:t>
            </w:r>
            <w:r>
              <w:rPr>
                <w:rFonts w:hint="default" w:ascii="Times New Roman" w:hAnsi="Times New Roman" w:cs="Times New Roman"/>
                <w:color w:val="auto"/>
                <w:highlight w:val="none"/>
                <w:u w:val="none"/>
              </w:rPr>
              <w:t>大幅度减少治理河段的洪灾损失，保障人民群众生命财产安全，促进</w:t>
            </w:r>
            <w:r>
              <w:rPr>
                <w:rFonts w:hint="default" w:ascii="Times New Roman" w:hAnsi="Times New Roman" w:cs="Times New Roman"/>
                <w:color w:val="auto"/>
                <w:highlight w:val="none"/>
                <w:u w:val="none"/>
                <w:lang w:val="en-US" w:eastAsia="zh-CN"/>
              </w:rPr>
              <w:t>胡家镇场镇</w:t>
            </w:r>
            <w:r>
              <w:rPr>
                <w:rFonts w:hint="default" w:ascii="Times New Roman" w:hAnsi="Times New Roman" w:cs="Times New Roman"/>
                <w:color w:val="auto"/>
                <w:highlight w:val="none"/>
                <w:u w:val="none"/>
              </w:rPr>
              <w:t>两岸的经济发展</w:t>
            </w:r>
            <w:r>
              <w:rPr>
                <w:rFonts w:hint="default" w:ascii="Times New Roman" w:hAnsi="Times New Roman" w:cs="Times New Roman"/>
                <w:color w:val="auto"/>
                <w:highlight w:val="none"/>
                <w:u w:val="none"/>
                <w:lang w:eastAsia="zh-CN"/>
              </w:rPr>
              <w:t>。</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b w:val="0"/>
                <w:bCs w:val="0"/>
                <w:color w:val="auto"/>
                <w:highlight w:val="none"/>
                <w:u w:val="none"/>
                <w:lang w:val="en-US" w:eastAsia="zh-CN"/>
              </w:rPr>
              <w:t>临时占地</w:t>
            </w:r>
            <w:r>
              <w:rPr>
                <w:rFonts w:hint="default" w:ascii="Times New Roman" w:hAnsi="Times New Roman" w:cs="Times New Roman"/>
                <w:color w:val="auto"/>
                <w:highlight w:val="none"/>
                <w:u w:val="none"/>
                <w:lang w:val="en-US" w:eastAsia="zh-CN"/>
              </w:rPr>
              <w:t>：根据项目初步设计报告，</w:t>
            </w:r>
            <w:r>
              <w:rPr>
                <w:rFonts w:hint="default" w:ascii="Times New Roman" w:hAnsi="Times New Roman" w:cs="Times New Roman"/>
                <w:color w:val="auto"/>
                <w:highlight w:val="none"/>
              </w:rPr>
              <w:t>施工临时用地范围包括施工临时设施、临时堆渣场等占地区域。</w:t>
            </w:r>
            <w:r>
              <w:rPr>
                <w:rFonts w:hint="default" w:ascii="Times New Roman" w:hAnsi="Times New Roman" w:cs="Times New Roman"/>
                <w:color w:val="auto"/>
                <w:highlight w:val="none"/>
                <w:lang w:val="en-US" w:eastAsia="zh-CN"/>
              </w:rPr>
              <w:t>临时占地2.7亩，其中水浇地2亩，其他土地0.7亩。占地类型为水浇地、内陆滩涂，不涉及耕地、</w:t>
            </w:r>
            <w:r>
              <w:rPr>
                <w:rFonts w:hint="default" w:ascii="Times New Roman" w:hAnsi="Times New Roman" w:cs="Times New Roman"/>
                <w:color w:val="auto"/>
                <w:highlight w:val="none"/>
                <w:u w:val="none"/>
                <w:lang w:val="en-US" w:eastAsia="zh-CN"/>
              </w:rPr>
              <w:t>生态林地等生态敏感目标，不涉及生态红线范围，不会造成区域生态环境破坏。施工结束后，对临时占地进行土地平整和生态恢复，对区域生态环境影响较小。</w:t>
            </w:r>
          </w:p>
          <w:p>
            <w:pPr>
              <w:bidi w:val="0"/>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②土壤及陆生生物影响</w:t>
            </w:r>
          </w:p>
          <w:p>
            <w:pPr>
              <w:bidi w:val="0"/>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根据现场踏勘，</w:t>
            </w:r>
            <w:r>
              <w:rPr>
                <w:rFonts w:hint="default" w:ascii="Times New Roman" w:hAnsi="Times New Roman" w:cs="Times New Roman"/>
                <w:b w:val="0"/>
                <w:bCs/>
                <w:color w:val="auto"/>
                <w:sz w:val="24"/>
                <w:szCs w:val="24"/>
                <w:highlight w:val="none"/>
                <w:u w:val="none"/>
                <w:lang w:val="en-US" w:eastAsia="zh-CN"/>
              </w:rPr>
              <w:t>评价范围内未发现分布有国家重点保护物种，</w:t>
            </w:r>
            <w:r>
              <w:rPr>
                <w:rFonts w:hint="default" w:ascii="Times New Roman" w:hAnsi="Times New Roman" w:cs="Times New Roman"/>
                <w:color w:val="auto"/>
                <w:highlight w:val="none"/>
                <w:u w:val="none"/>
                <w:lang w:val="en-US" w:eastAsia="zh-CN"/>
              </w:rPr>
              <w:t>涉及植被主要为农作物、荒草和少量</w:t>
            </w:r>
            <w:r>
              <w:rPr>
                <w:rFonts w:hint="default" w:ascii="Times New Roman" w:hAnsi="Times New Roman" w:cs="Times New Roman"/>
                <w:b w:val="0"/>
                <w:bCs/>
                <w:color w:val="auto"/>
                <w:sz w:val="24"/>
                <w:szCs w:val="24"/>
                <w:highlight w:val="none"/>
                <w:u w:val="none"/>
                <w:lang w:val="en-US" w:eastAsia="zh-CN"/>
              </w:rPr>
              <w:t>灌木、乔木等；涉及的陆生动物主要是一些常见的适应人类活动影响的小型啮齿动物（如小家鼠）、爬行类（乌龟、鳖等龟鳖目）、两栖类（蛙类）动物等。</w:t>
            </w:r>
            <w:r>
              <w:rPr>
                <w:rFonts w:hint="default" w:ascii="Times New Roman" w:hAnsi="Times New Roman" w:cs="Times New Roman"/>
                <w:color w:val="auto"/>
                <w:highlight w:val="none"/>
                <w:u w:val="none"/>
                <w:lang w:val="en-US" w:eastAsia="zh-CN"/>
              </w:rPr>
              <w:t>工程占地对陆生生物的影响主要是施工设施、临时占地对植被的占压、扰动等破坏活动，造成一部分植株的死亡，使部分陆生动物的栖息地减少。另外工程实施过程中，施工人员的出入和物资搬运工作等也对这些植物造成一定程度的破坏，施工活动产生的噪声和灯关对陆生动物会产生一定的影响。但施工活动仅限于局部破坏，且损失面积不大，施工噪声和灯关随着施工结束也随之消除。</w:t>
            </w:r>
          </w:p>
          <w:p>
            <w:pPr>
              <w:rPr>
                <w:rFonts w:hint="default" w:ascii="Times New Roman" w:hAnsi="Times New Roman" w:cs="Times New Roman"/>
                <w:color w:val="auto"/>
                <w:highlight w:val="none"/>
                <w:u w:val="none"/>
                <w:lang w:val="en-US"/>
              </w:rPr>
            </w:pPr>
            <w:r>
              <w:rPr>
                <w:rFonts w:hint="default" w:ascii="Times New Roman" w:hAnsi="Times New Roman" w:cs="Times New Roman"/>
                <w:color w:val="auto"/>
                <w:highlight w:val="none"/>
                <w:u w:val="none"/>
                <w:lang w:val="en-US" w:eastAsia="zh-CN"/>
              </w:rPr>
              <w:t>本评价要求临时占地修建施工前，</w:t>
            </w:r>
            <w:r>
              <w:rPr>
                <w:rFonts w:hint="default" w:ascii="Times New Roman" w:hAnsi="Times New Roman" w:eastAsia="宋体" w:cs="Times New Roman"/>
                <w:b w:val="0"/>
                <w:bCs/>
                <w:color w:val="auto"/>
                <w:sz w:val="24"/>
                <w:szCs w:val="24"/>
                <w:highlight w:val="none"/>
                <w:u w:val="none"/>
                <w:lang w:val="en-US" w:eastAsia="zh-CN"/>
              </w:rPr>
              <w:t>可先将表土剥离后，堆放</w:t>
            </w:r>
            <w:r>
              <w:rPr>
                <w:rFonts w:hint="default" w:ascii="Times New Roman" w:hAnsi="Times New Roman" w:cs="Times New Roman"/>
                <w:b w:val="0"/>
                <w:bCs/>
                <w:color w:val="auto"/>
                <w:sz w:val="24"/>
                <w:szCs w:val="24"/>
                <w:highlight w:val="none"/>
                <w:u w:val="none"/>
                <w:lang w:val="en-US" w:eastAsia="zh-CN"/>
              </w:rPr>
              <w:t>于临时堆渣场</w:t>
            </w:r>
            <w:r>
              <w:rPr>
                <w:rFonts w:hint="default" w:ascii="Times New Roman" w:hAnsi="Times New Roman" w:eastAsia="宋体" w:cs="Times New Roman"/>
                <w:b w:val="0"/>
                <w:bCs/>
                <w:color w:val="auto"/>
                <w:sz w:val="24"/>
                <w:szCs w:val="24"/>
                <w:highlight w:val="none"/>
                <w:u w:val="none"/>
                <w:lang w:val="en-US" w:eastAsia="zh-CN"/>
              </w:rPr>
              <w:t>，并对剥离的表土堆放采用草袋装土拦挡、彩条布遮盖，作为后期迹地恢复的覆土来源</w:t>
            </w:r>
            <w:r>
              <w:rPr>
                <w:rFonts w:hint="default" w:ascii="Times New Roman" w:hAnsi="Times New Roman" w:cs="Times New Roman"/>
                <w:b w:val="0"/>
                <w:bCs/>
                <w:color w:val="auto"/>
                <w:sz w:val="24"/>
                <w:szCs w:val="24"/>
                <w:highlight w:val="none"/>
                <w:u w:val="none"/>
                <w:lang w:val="en-US" w:eastAsia="zh-CN"/>
              </w:rPr>
              <w:t>，防止</w:t>
            </w:r>
            <w:r>
              <w:rPr>
                <w:rFonts w:hint="default" w:ascii="Times New Roman" w:hAnsi="Times New Roman" w:cs="Times New Roman"/>
                <w:color w:val="auto"/>
                <w:highlight w:val="none"/>
                <w:u w:val="none"/>
                <w:lang w:val="en-US" w:eastAsia="zh-CN"/>
              </w:rPr>
              <w:t>流失</w:t>
            </w:r>
            <w:r>
              <w:rPr>
                <w:rFonts w:hint="default" w:ascii="Times New Roman" w:hAnsi="Times New Roman" w:eastAsia="宋体" w:cs="Times New Roman"/>
                <w:b w:val="0"/>
                <w:bCs/>
                <w:color w:val="auto"/>
                <w:sz w:val="24"/>
                <w:szCs w:val="24"/>
                <w:highlight w:val="none"/>
                <w:u w:val="none"/>
                <w:lang w:val="en-US" w:eastAsia="zh-CN"/>
              </w:rPr>
              <w:t>。施工结束后，需及时对场地进行平整和</w:t>
            </w:r>
            <w:r>
              <w:rPr>
                <w:rFonts w:hint="default" w:ascii="Times New Roman" w:hAnsi="Times New Roman" w:cs="Times New Roman"/>
                <w:b w:val="0"/>
                <w:bCs/>
                <w:color w:val="auto"/>
                <w:sz w:val="24"/>
                <w:szCs w:val="24"/>
                <w:highlight w:val="none"/>
                <w:u w:val="none"/>
                <w:lang w:val="en-US" w:eastAsia="zh-CN"/>
              </w:rPr>
              <w:t>生态</w:t>
            </w:r>
            <w:r>
              <w:rPr>
                <w:rFonts w:hint="default" w:ascii="Times New Roman" w:hAnsi="Times New Roman" w:eastAsia="宋体" w:cs="Times New Roman"/>
                <w:b w:val="0"/>
                <w:bCs/>
                <w:color w:val="auto"/>
                <w:sz w:val="24"/>
                <w:szCs w:val="24"/>
                <w:highlight w:val="none"/>
                <w:u w:val="none"/>
                <w:lang w:val="en-US" w:eastAsia="zh-CN"/>
              </w:rPr>
              <w:t>恢复</w:t>
            </w:r>
            <w:r>
              <w:rPr>
                <w:rFonts w:hint="default" w:ascii="Times New Roman" w:hAnsi="Times New Roman" w:cs="Times New Roman"/>
                <w:b w:val="0"/>
                <w:bCs/>
                <w:color w:val="auto"/>
                <w:sz w:val="24"/>
                <w:szCs w:val="24"/>
                <w:highlight w:val="none"/>
                <w:u w:val="none"/>
                <w:lang w:val="en-US" w:eastAsia="zh-CN"/>
              </w:rPr>
              <w:t>，本项目施工期为7个月，施工期较短，故</w:t>
            </w:r>
            <w:r>
              <w:rPr>
                <w:rFonts w:hint="default" w:ascii="Times New Roman" w:hAnsi="Times New Roman" w:cs="Times New Roman"/>
                <w:color w:val="auto"/>
                <w:highlight w:val="none"/>
                <w:u w:val="none"/>
                <w:lang w:val="en-US" w:eastAsia="zh-CN"/>
              </w:rPr>
              <w:t>不会对区域生态环境造成破坏。</w:t>
            </w:r>
          </w:p>
          <w:p>
            <w:pPr>
              <w:bidi w:val="0"/>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综上所述，本项目工程占地对周边的生态环境影响较小。</w:t>
            </w:r>
          </w:p>
          <w:p>
            <w:pPr>
              <w:bidi w:val="0"/>
              <w:rPr>
                <w:rFonts w:hint="default" w:ascii="Times New Roman" w:hAnsi="Times New Roman" w:cs="Times New Roman"/>
                <w:b/>
                <w:bCs/>
                <w:color w:val="auto"/>
                <w:highlight w:val="none"/>
                <w:u w:val="none"/>
                <w:lang w:val="en-US" w:eastAsia="zh-CN"/>
              </w:rPr>
            </w:pPr>
            <w:r>
              <w:rPr>
                <w:rFonts w:hint="default" w:ascii="Times New Roman" w:hAnsi="Times New Roman" w:cs="Times New Roman"/>
                <w:b/>
                <w:bCs/>
                <w:color w:val="auto"/>
                <w:highlight w:val="none"/>
                <w:u w:val="none"/>
                <w:lang w:val="en-US" w:eastAsia="zh-CN"/>
              </w:rPr>
              <w:t>（3）水土流失影响分析</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①区域水土流失现状</w:t>
            </w:r>
          </w:p>
          <w:p>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根据达州市宣汉县最新资料统计，全县现有水土流失面积507.39km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lang w:val="en-US" w:eastAsia="zh-CN"/>
              </w:rPr>
              <w:t>，</w:t>
            </w:r>
            <w:r>
              <w:rPr>
                <w:rFonts w:hint="default" w:ascii="Times New Roman" w:hAnsi="Times New Roman" w:cs="Times New Roman"/>
                <w:color w:val="auto"/>
                <w:highlight w:val="none"/>
              </w:rPr>
              <w:t>占土地总面积的49.14%，其中：轻度流失129.78km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占流失面积的25.58%；中度流失192.74km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lang w:val="en-US" w:eastAsia="zh-CN"/>
              </w:rPr>
              <w:t>，</w:t>
            </w:r>
            <w:r>
              <w:rPr>
                <w:rFonts w:hint="default" w:ascii="Times New Roman" w:hAnsi="Times New Roman" w:cs="Times New Roman"/>
                <w:color w:val="auto"/>
                <w:highlight w:val="none"/>
              </w:rPr>
              <w:t>占流失面积的</w:t>
            </w:r>
            <w:r>
              <w:rPr>
                <w:rFonts w:hint="default" w:ascii="Times New Roman" w:hAnsi="Times New Roman" w:cs="Times New Roman"/>
                <w:color w:val="auto"/>
                <w:highlight w:val="none"/>
                <w:lang w:val="en-US" w:eastAsia="zh-CN"/>
              </w:rPr>
              <w:t>,</w:t>
            </w:r>
            <w:r>
              <w:rPr>
                <w:rFonts w:hint="default" w:ascii="Times New Roman" w:hAnsi="Times New Roman" w:cs="Times New Roman"/>
                <w:color w:val="auto"/>
                <w:highlight w:val="none"/>
              </w:rPr>
              <w:t>37.99%；强烈流失78.14km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占流失面积的15.40%；极强烈流失60.93km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占流失面积的12.01%；剧烈流失45.8km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占流失面积的9.03%；土壤侵蚀模数6191t/km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rPr>
              <w:t>.a，年土壤侵蚀量达314.13万t，属强烈水土流失侵蚀区。流失面积主要分布在丘陵区和山区。</w:t>
            </w:r>
          </w:p>
          <w:p>
            <w:pPr>
              <w:pStyle w:val="16"/>
              <w:bidi w:val="0"/>
              <w:rPr>
                <w:rFonts w:hint="default" w:ascii="Times New Roman" w:hAnsi="Times New Roman" w:cs="Times New Roman"/>
                <w:color w:val="auto"/>
                <w:spacing w:val="9"/>
                <w:sz w:val="27"/>
                <w:szCs w:val="27"/>
                <w:highlight w:val="none"/>
              </w:rPr>
            </w:pPr>
            <w:r>
              <w:rPr>
                <w:rFonts w:hint="default" w:ascii="Times New Roman" w:hAnsi="Times New Roman" w:cs="Times New Roman"/>
                <w:color w:val="auto"/>
                <w:highlight w:val="none"/>
                <w:u w:val="none"/>
                <w:lang w:val="en-US" w:eastAsia="zh-CN"/>
              </w:rPr>
              <w:t>表4-2  表</w:t>
            </w:r>
            <w:r>
              <w:rPr>
                <w:rFonts w:hint="default" w:ascii="Times New Roman" w:hAnsi="Times New Roman" w:cs="Times New Roman"/>
                <w:color w:val="auto"/>
                <w:spacing w:val="9"/>
                <w:sz w:val="27"/>
                <w:szCs w:val="27"/>
                <w:highlight w:val="none"/>
              </w:rPr>
              <w:t>达州市宣汉县水土流失现状统计表</w:t>
            </w:r>
          </w:p>
          <w:tbl>
            <w:tblPr>
              <w:tblStyle w:val="19"/>
              <w:tblW w:w="4994" w:type="pct"/>
              <w:tblInd w:w="2"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669"/>
              <w:gridCol w:w="1106"/>
              <w:gridCol w:w="1245"/>
              <w:gridCol w:w="1077"/>
              <w:gridCol w:w="1033"/>
              <w:gridCol w:w="999"/>
              <w:gridCol w:w="1237"/>
              <w:gridCol w:w="1121"/>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174" w:hRule="atLeast"/>
              </w:trPr>
              <w:tc>
                <w:tcPr>
                  <w:tcW w:w="394" w:type="pct"/>
                  <w:tcBorders>
                    <w:tl2br w:val="nil"/>
                    <w:tr2bl w:val="nil"/>
                  </w:tcBorders>
                  <w:vAlign w:val="center"/>
                </w:tcPr>
                <w:p>
                  <w:pPr>
                    <w:pStyle w:val="15"/>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项目县</w:t>
                  </w:r>
                </w:p>
              </w:tc>
              <w:tc>
                <w:tcPr>
                  <w:tcW w:w="651" w:type="pct"/>
                  <w:tcBorders>
                    <w:tl2br w:val="nil"/>
                    <w:tr2bl w:val="nil"/>
                  </w:tcBorders>
                  <w:vAlign w:val="center"/>
                </w:tcPr>
                <w:p>
                  <w:pPr>
                    <w:pStyle w:val="15"/>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土地总面积</w:t>
                  </w:r>
                </w:p>
                <w:p>
                  <w:pPr>
                    <w:pStyle w:val="15"/>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（km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rPr>
                    <w:t>)</w:t>
                  </w:r>
                </w:p>
              </w:tc>
              <w:tc>
                <w:tcPr>
                  <w:tcW w:w="733" w:type="pct"/>
                  <w:tcBorders>
                    <w:tl2br w:val="nil"/>
                    <w:tr2bl w:val="nil"/>
                  </w:tcBorders>
                  <w:vAlign w:val="center"/>
                </w:tcPr>
                <w:p>
                  <w:pPr>
                    <w:pStyle w:val="15"/>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水土流失面积（km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rPr>
                    <w:t>)</w:t>
                  </w:r>
                </w:p>
              </w:tc>
              <w:tc>
                <w:tcPr>
                  <w:tcW w:w="634" w:type="pct"/>
                  <w:tcBorders>
                    <w:tl2br w:val="nil"/>
                    <w:tr2bl w:val="nil"/>
                  </w:tcBorders>
                  <w:vAlign w:val="center"/>
                </w:tcPr>
                <w:p>
                  <w:pPr>
                    <w:pStyle w:val="15"/>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轻度</w:t>
                  </w:r>
                </w:p>
                <w:p>
                  <w:pPr>
                    <w:pStyle w:val="15"/>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（km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rPr>
                    <w:t>)</w:t>
                  </w:r>
                </w:p>
              </w:tc>
              <w:tc>
                <w:tcPr>
                  <w:tcW w:w="608" w:type="pct"/>
                  <w:tcBorders>
                    <w:tl2br w:val="nil"/>
                    <w:tr2bl w:val="nil"/>
                  </w:tcBorders>
                  <w:vAlign w:val="center"/>
                </w:tcPr>
                <w:p>
                  <w:pPr>
                    <w:pStyle w:val="15"/>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中度</w:t>
                  </w:r>
                </w:p>
                <w:p>
                  <w:pPr>
                    <w:pStyle w:val="15"/>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（km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rPr>
                    <w:t>)</w:t>
                  </w:r>
                </w:p>
              </w:tc>
              <w:tc>
                <w:tcPr>
                  <w:tcW w:w="588" w:type="pct"/>
                  <w:tcBorders>
                    <w:tl2br w:val="nil"/>
                    <w:tr2bl w:val="nil"/>
                  </w:tcBorders>
                  <w:vAlign w:val="center"/>
                </w:tcPr>
                <w:p>
                  <w:pPr>
                    <w:pStyle w:val="15"/>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强烈</w:t>
                  </w:r>
                </w:p>
                <w:p>
                  <w:pPr>
                    <w:pStyle w:val="15"/>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（km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rPr>
                    <w:t>)</w:t>
                  </w:r>
                </w:p>
              </w:tc>
              <w:tc>
                <w:tcPr>
                  <w:tcW w:w="728" w:type="pct"/>
                  <w:tcBorders>
                    <w:tl2br w:val="nil"/>
                    <w:tr2bl w:val="nil"/>
                  </w:tcBorders>
                  <w:vAlign w:val="center"/>
                </w:tcPr>
                <w:p>
                  <w:pPr>
                    <w:pStyle w:val="15"/>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极强烈</w:t>
                  </w:r>
                </w:p>
                <w:p>
                  <w:pPr>
                    <w:pStyle w:val="15"/>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（km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rPr>
                    <w:t>)</w:t>
                  </w:r>
                </w:p>
              </w:tc>
              <w:tc>
                <w:tcPr>
                  <w:tcW w:w="659" w:type="pct"/>
                  <w:tcBorders>
                    <w:tl2br w:val="nil"/>
                    <w:tr2bl w:val="nil"/>
                  </w:tcBorders>
                  <w:vAlign w:val="center"/>
                </w:tcPr>
                <w:p>
                  <w:pPr>
                    <w:pStyle w:val="15"/>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剧烈</w:t>
                  </w:r>
                </w:p>
                <w:p>
                  <w:pPr>
                    <w:pStyle w:val="15"/>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（km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4" w:hRule="atLeast"/>
              </w:trPr>
              <w:tc>
                <w:tcPr>
                  <w:tcW w:w="394" w:type="pct"/>
                  <w:vMerge w:val="restart"/>
                  <w:tcBorders>
                    <w:tl2br w:val="nil"/>
                    <w:tr2bl w:val="nil"/>
                  </w:tcBorders>
                  <w:vAlign w:val="center"/>
                </w:tcPr>
                <w:p>
                  <w:pPr>
                    <w:pStyle w:val="15"/>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宣汉县</w:t>
                  </w:r>
                </w:p>
              </w:tc>
              <w:tc>
                <w:tcPr>
                  <w:tcW w:w="651" w:type="pct"/>
                  <w:tcBorders>
                    <w:tl2br w:val="nil"/>
                    <w:tr2bl w:val="nil"/>
                  </w:tcBorders>
                  <w:vAlign w:val="center"/>
                </w:tcPr>
                <w:p>
                  <w:pPr>
                    <w:pStyle w:val="15"/>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1032.55</w:t>
                  </w:r>
                </w:p>
              </w:tc>
              <w:tc>
                <w:tcPr>
                  <w:tcW w:w="733" w:type="pct"/>
                  <w:tcBorders>
                    <w:tl2br w:val="nil"/>
                    <w:tr2bl w:val="nil"/>
                  </w:tcBorders>
                  <w:vAlign w:val="center"/>
                </w:tcPr>
                <w:p>
                  <w:pPr>
                    <w:pStyle w:val="15"/>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507.39</w:t>
                  </w:r>
                </w:p>
              </w:tc>
              <w:tc>
                <w:tcPr>
                  <w:tcW w:w="634" w:type="pct"/>
                  <w:tcBorders>
                    <w:tl2br w:val="nil"/>
                    <w:tr2bl w:val="nil"/>
                  </w:tcBorders>
                  <w:vAlign w:val="center"/>
                </w:tcPr>
                <w:p>
                  <w:pPr>
                    <w:pStyle w:val="15"/>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129.78</w:t>
                  </w:r>
                </w:p>
              </w:tc>
              <w:tc>
                <w:tcPr>
                  <w:tcW w:w="608" w:type="pct"/>
                  <w:tcBorders>
                    <w:tl2br w:val="nil"/>
                    <w:tr2bl w:val="nil"/>
                  </w:tcBorders>
                  <w:vAlign w:val="center"/>
                </w:tcPr>
                <w:p>
                  <w:pPr>
                    <w:pStyle w:val="15"/>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192.74</w:t>
                  </w:r>
                </w:p>
              </w:tc>
              <w:tc>
                <w:tcPr>
                  <w:tcW w:w="588" w:type="pct"/>
                  <w:tcBorders>
                    <w:tl2br w:val="nil"/>
                    <w:tr2bl w:val="nil"/>
                  </w:tcBorders>
                  <w:vAlign w:val="center"/>
                </w:tcPr>
                <w:p>
                  <w:pPr>
                    <w:pStyle w:val="15"/>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78.14</w:t>
                  </w:r>
                </w:p>
              </w:tc>
              <w:tc>
                <w:tcPr>
                  <w:tcW w:w="728" w:type="pct"/>
                  <w:tcBorders>
                    <w:tl2br w:val="nil"/>
                    <w:tr2bl w:val="nil"/>
                  </w:tcBorders>
                  <w:vAlign w:val="center"/>
                </w:tcPr>
                <w:p>
                  <w:pPr>
                    <w:pStyle w:val="15"/>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60.93</w:t>
                  </w:r>
                </w:p>
              </w:tc>
              <w:tc>
                <w:tcPr>
                  <w:tcW w:w="659" w:type="pct"/>
                  <w:tcBorders>
                    <w:tl2br w:val="nil"/>
                    <w:tr2bl w:val="nil"/>
                  </w:tcBorders>
                  <w:vAlign w:val="center"/>
                </w:tcPr>
                <w:p>
                  <w:pPr>
                    <w:pStyle w:val="15"/>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45.80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168" w:hRule="atLeast"/>
              </w:trPr>
              <w:tc>
                <w:tcPr>
                  <w:tcW w:w="394" w:type="pct"/>
                  <w:vMerge w:val="continue"/>
                  <w:tcBorders>
                    <w:tl2br w:val="nil"/>
                    <w:tr2bl w:val="nil"/>
                  </w:tcBorders>
                  <w:vAlign w:val="center"/>
                </w:tcPr>
                <w:p>
                  <w:pPr>
                    <w:pStyle w:val="15"/>
                    <w:bidi w:val="0"/>
                    <w:jc w:val="center"/>
                    <w:rPr>
                      <w:rFonts w:hint="default" w:ascii="Times New Roman" w:hAnsi="Times New Roman" w:cs="Times New Roman"/>
                      <w:color w:val="auto"/>
                      <w:highlight w:val="none"/>
                    </w:rPr>
                  </w:pPr>
                </w:p>
              </w:tc>
              <w:tc>
                <w:tcPr>
                  <w:tcW w:w="651" w:type="pct"/>
                  <w:tcBorders>
                    <w:tl2br w:val="nil"/>
                    <w:tr2bl w:val="nil"/>
                  </w:tcBorders>
                  <w:vAlign w:val="center"/>
                </w:tcPr>
                <w:p>
                  <w:pPr>
                    <w:pStyle w:val="15"/>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平均土壤侵蚀模（t/km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rPr>
                    <w:t>.a）</w:t>
                  </w:r>
                </w:p>
              </w:tc>
              <w:tc>
                <w:tcPr>
                  <w:tcW w:w="733" w:type="pct"/>
                  <w:tcBorders>
                    <w:tl2br w:val="nil"/>
                    <w:tr2bl w:val="nil"/>
                  </w:tcBorders>
                  <w:vAlign w:val="center"/>
                </w:tcPr>
                <w:p>
                  <w:pPr>
                    <w:pStyle w:val="15"/>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水土流失面积占总面积比例（%）</w:t>
                  </w:r>
                </w:p>
              </w:tc>
              <w:tc>
                <w:tcPr>
                  <w:tcW w:w="634" w:type="pct"/>
                  <w:tcBorders>
                    <w:tl2br w:val="nil"/>
                    <w:tr2bl w:val="nil"/>
                  </w:tcBorders>
                  <w:vAlign w:val="center"/>
                </w:tcPr>
                <w:p>
                  <w:pPr>
                    <w:pStyle w:val="15"/>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轻度占流失面积比例（%）</w:t>
                  </w:r>
                </w:p>
              </w:tc>
              <w:tc>
                <w:tcPr>
                  <w:tcW w:w="608" w:type="pct"/>
                  <w:tcBorders>
                    <w:tl2br w:val="nil"/>
                    <w:tr2bl w:val="nil"/>
                  </w:tcBorders>
                  <w:vAlign w:val="center"/>
                </w:tcPr>
                <w:p>
                  <w:pPr>
                    <w:pStyle w:val="15"/>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中度占流失面积比例（%）</w:t>
                  </w:r>
                </w:p>
              </w:tc>
              <w:tc>
                <w:tcPr>
                  <w:tcW w:w="588" w:type="pct"/>
                  <w:tcBorders>
                    <w:tl2br w:val="nil"/>
                    <w:tr2bl w:val="nil"/>
                  </w:tcBorders>
                  <w:vAlign w:val="center"/>
                </w:tcPr>
                <w:p>
                  <w:pPr>
                    <w:pStyle w:val="15"/>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强烈占流失面积比例（%）</w:t>
                  </w:r>
                </w:p>
              </w:tc>
              <w:tc>
                <w:tcPr>
                  <w:tcW w:w="728" w:type="pct"/>
                  <w:tcBorders>
                    <w:tl2br w:val="nil"/>
                    <w:tr2bl w:val="nil"/>
                  </w:tcBorders>
                  <w:vAlign w:val="center"/>
                </w:tcPr>
                <w:p>
                  <w:pPr>
                    <w:pStyle w:val="15"/>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极强烈占流失面积比例（%）</w:t>
                  </w:r>
                </w:p>
              </w:tc>
              <w:tc>
                <w:tcPr>
                  <w:tcW w:w="659" w:type="pct"/>
                  <w:tcBorders>
                    <w:tl2br w:val="nil"/>
                    <w:tr2bl w:val="nil"/>
                  </w:tcBorders>
                  <w:vAlign w:val="center"/>
                </w:tcPr>
                <w:p>
                  <w:pPr>
                    <w:pStyle w:val="15"/>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剧烈占流失面积比例（%）</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7" w:hRule="atLeast"/>
              </w:trPr>
              <w:tc>
                <w:tcPr>
                  <w:tcW w:w="394" w:type="pct"/>
                  <w:vMerge w:val="continue"/>
                  <w:tcBorders>
                    <w:tl2br w:val="nil"/>
                    <w:tr2bl w:val="nil"/>
                  </w:tcBorders>
                  <w:vAlign w:val="center"/>
                </w:tcPr>
                <w:p>
                  <w:pPr>
                    <w:pStyle w:val="15"/>
                    <w:bidi w:val="0"/>
                    <w:jc w:val="center"/>
                    <w:rPr>
                      <w:rFonts w:hint="default" w:ascii="Times New Roman" w:hAnsi="Times New Roman" w:cs="Times New Roman"/>
                      <w:color w:val="auto"/>
                      <w:highlight w:val="none"/>
                    </w:rPr>
                  </w:pPr>
                </w:p>
              </w:tc>
              <w:tc>
                <w:tcPr>
                  <w:tcW w:w="651" w:type="pct"/>
                  <w:tcBorders>
                    <w:tl2br w:val="nil"/>
                    <w:tr2bl w:val="nil"/>
                  </w:tcBorders>
                  <w:vAlign w:val="center"/>
                </w:tcPr>
                <w:p>
                  <w:pPr>
                    <w:pStyle w:val="15"/>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6191</w:t>
                  </w:r>
                </w:p>
              </w:tc>
              <w:tc>
                <w:tcPr>
                  <w:tcW w:w="733" w:type="pct"/>
                  <w:tcBorders>
                    <w:tl2br w:val="nil"/>
                    <w:tr2bl w:val="nil"/>
                  </w:tcBorders>
                  <w:vAlign w:val="center"/>
                </w:tcPr>
                <w:p>
                  <w:pPr>
                    <w:pStyle w:val="15"/>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49.14</w:t>
                  </w:r>
                </w:p>
              </w:tc>
              <w:tc>
                <w:tcPr>
                  <w:tcW w:w="634" w:type="pct"/>
                  <w:tcBorders>
                    <w:tl2br w:val="nil"/>
                    <w:tr2bl w:val="nil"/>
                  </w:tcBorders>
                  <w:vAlign w:val="center"/>
                </w:tcPr>
                <w:p>
                  <w:pPr>
                    <w:pStyle w:val="15"/>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25.58</w:t>
                  </w:r>
                </w:p>
              </w:tc>
              <w:tc>
                <w:tcPr>
                  <w:tcW w:w="608" w:type="pct"/>
                  <w:tcBorders>
                    <w:tl2br w:val="nil"/>
                    <w:tr2bl w:val="nil"/>
                  </w:tcBorders>
                  <w:vAlign w:val="center"/>
                </w:tcPr>
                <w:p>
                  <w:pPr>
                    <w:pStyle w:val="15"/>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37.99</w:t>
                  </w:r>
                </w:p>
              </w:tc>
              <w:tc>
                <w:tcPr>
                  <w:tcW w:w="588" w:type="pct"/>
                  <w:tcBorders>
                    <w:tl2br w:val="nil"/>
                    <w:tr2bl w:val="nil"/>
                  </w:tcBorders>
                  <w:vAlign w:val="center"/>
                </w:tcPr>
                <w:p>
                  <w:pPr>
                    <w:pStyle w:val="15"/>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15.40</w:t>
                  </w:r>
                </w:p>
              </w:tc>
              <w:tc>
                <w:tcPr>
                  <w:tcW w:w="728" w:type="pct"/>
                  <w:tcBorders>
                    <w:tl2br w:val="nil"/>
                    <w:tr2bl w:val="nil"/>
                  </w:tcBorders>
                  <w:vAlign w:val="center"/>
                </w:tcPr>
                <w:p>
                  <w:pPr>
                    <w:pStyle w:val="15"/>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12.01</w:t>
                  </w:r>
                </w:p>
              </w:tc>
              <w:tc>
                <w:tcPr>
                  <w:tcW w:w="659" w:type="pct"/>
                  <w:tcBorders>
                    <w:tl2br w:val="nil"/>
                    <w:tr2bl w:val="nil"/>
                  </w:tcBorders>
                  <w:vAlign w:val="center"/>
                </w:tcPr>
                <w:p>
                  <w:pPr>
                    <w:pStyle w:val="15"/>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9.03</w:t>
                  </w:r>
                </w:p>
              </w:tc>
            </w:tr>
          </w:tbl>
          <w:p>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根据全国水土保持规划国家级水土流失重点预防区和重点治理区复核划分成果（办水保〔2013〕188号），本工程所在地宣汉县属于国家级重点治理区，区域内土壤容许流失量为500t/km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rPr>
              <w:t>·a。</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b w:val="0"/>
                <w:bCs w:val="0"/>
                <w:color w:val="auto"/>
                <w:highlight w:val="none"/>
                <w:u w:val="none"/>
                <w:lang w:val="en-US" w:eastAsia="zh-CN"/>
              </w:rPr>
              <w:t>②水土流失特点</w:t>
            </w:r>
          </w:p>
          <w:p>
            <w:pPr>
              <w:bidi w:val="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本项目</w:t>
            </w:r>
            <w:r>
              <w:rPr>
                <w:rFonts w:hint="default" w:ascii="Times New Roman" w:hAnsi="Times New Roman" w:cs="Times New Roman"/>
                <w:color w:val="auto"/>
                <w:highlight w:val="none"/>
              </w:rPr>
              <w:t>水土流失类型主要以水力侵蚀为主，根据项目区地形地貌条件，参照1996年《达州市土壤侵蚀现状图》遥感资料，按《土壤侵蚀分类分级标准》（SL190－2007）进行分析，项目区水土流失现状的平均土壤侵蚀模数为2405k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rPr>
              <w:t>·a，年水土流失总量18t，属轻度水土流失区。</w:t>
            </w:r>
          </w:p>
          <w:p>
            <w:pPr>
              <w:rPr>
                <w:rFonts w:hint="default" w:ascii="Times New Roman" w:hAnsi="Times New Roman" w:cs="Times New Roman"/>
                <w:color w:val="auto"/>
                <w:highlight w:val="none"/>
                <w:lang w:val="en-US" w:eastAsia="zh-CN"/>
              </w:rPr>
            </w:pPr>
            <w:r>
              <w:rPr>
                <w:rFonts w:hint="default"/>
                <w:color w:val="auto"/>
                <w:highlight w:val="none"/>
                <w:lang w:val="en-US" w:eastAsia="zh-CN"/>
              </w:rPr>
              <w:t>③</w:t>
            </w:r>
            <w:r>
              <w:rPr>
                <w:rFonts w:hint="eastAsia"/>
                <w:color w:val="auto"/>
                <w:highlight w:val="none"/>
                <w:lang w:val="en-US" w:eastAsia="zh-CN"/>
              </w:rPr>
              <w:t>项目区水土流失影响分析</w:t>
            </w:r>
          </w:p>
          <w:p>
            <w:pPr>
              <w:rPr>
                <w:rFonts w:hint="default"/>
                <w:color w:val="auto"/>
                <w:highlight w:val="none"/>
                <w:lang w:val="en-US" w:eastAsia="zh-CN"/>
              </w:rPr>
            </w:pPr>
            <w:r>
              <w:rPr>
                <w:rFonts w:hint="default"/>
                <w:color w:val="auto"/>
                <w:highlight w:val="none"/>
                <w:lang w:val="en-US" w:eastAsia="zh-CN"/>
              </w:rPr>
              <w:t>堤防基础开挖、施工生产生活设施布置、施工便道建设等工程永久和临时占地的设置破坏了地表植被，导致土壤侵蚀模数相应增大，遇到雨季则会引起较大规模的水土流失。</w:t>
            </w:r>
          </w:p>
          <w:p>
            <w:pPr>
              <w:rPr>
                <w:color w:val="auto"/>
                <w:highlight w:val="none"/>
                <w:lang w:val="zh-CN"/>
              </w:rPr>
            </w:pPr>
            <w:r>
              <w:rPr>
                <w:rFonts w:hint="default" w:ascii="Times New Roman" w:hAnsi="Times New Roman" w:cs="Times New Roman"/>
                <w:b w:val="0"/>
                <w:bCs w:val="0"/>
                <w:color w:val="auto"/>
                <w:highlight w:val="none"/>
                <w:u w:val="none"/>
                <w:lang w:val="en-US" w:eastAsia="zh-CN"/>
              </w:rPr>
              <w:t>根据引用项目初步设计方案中水土流失分析结论</w:t>
            </w:r>
            <w:r>
              <w:rPr>
                <w:rFonts w:hint="eastAsia" w:cs="Times New Roman"/>
                <w:b w:val="0"/>
                <w:bCs w:val="0"/>
                <w:color w:val="auto"/>
                <w:highlight w:val="none"/>
                <w:u w:val="none"/>
                <w:lang w:val="en-US" w:eastAsia="zh-CN"/>
              </w:rPr>
              <w:t>，</w:t>
            </w:r>
            <w:r>
              <w:rPr>
                <w:rFonts w:hint="eastAsia"/>
                <w:color w:val="auto"/>
                <w:highlight w:val="none"/>
              </w:rPr>
              <w:t>本工程共扰动破坏原地表面积</w:t>
            </w:r>
            <w:r>
              <w:rPr>
                <w:rFonts w:hint="eastAsia"/>
                <w:color w:val="auto"/>
                <w:highlight w:val="none"/>
                <w:lang w:val="en-US" w:eastAsia="zh-CN"/>
              </w:rPr>
              <w:t>12.28</w:t>
            </w:r>
            <w:r>
              <w:rPr>
                <w:rFonts w:hint="eastAsia"/>
                <w:color w:val="auto"/>
                <w:highlight w:val="none"/>
              </w:rPr>
              <w:t>hm</w:t>
            </w:r>
            <w:r>
              <w:rPr>
                <w:rFonts w:hint="eastAsia"/>
                <w:color w:val="auto"/>
                <w:highlight w:val="none"/>
                <w:vertAlign w:val="superscript"/>
              </w:rPr>
              <w:t>2</w:t>
            </w:r>
            <w:r>
              <w:rPr>
                <w:rFonts w:hint="eastAsia"/>
                <w:color w:val="auto"/>
                <w:highlight w:val="none"/>
                <w:lang w:eastAsia="zh-CN"/>
              </w:rPr>
              <w:t>。</w:t>
            </w:r>
            <w:r>
              <w:rPr>
                <w:rFonts w:hint="eastAsia"/>
                <w:color w:val="auto"/>
                <w:highlight w:val="none"/>
                <w:lang w:val="zh-CN"/>
              </w:rPr>
              <w:t>根据施工组织设计，本工程总施工期为</w:t>
            </w:r>
            <w:r>
              <w:rPr>
                <w:rFonts w:hint="eastAsia"/>
                <w:color w:val="auto"/>
                <w:highlight w:val="none"/>
              </w:rPr>
              <w:t>7</w:t>
            </w:r>
            <w:r>
              <w:rPr>
                <w:rFonts w:hint="eastAsia"/>
                <w:color w:val="auto"/>
                <w:highlight w:val="none"/>
                <w:lang w:val="zh-CN"/>
              </w:rPr>
              <w:t>个月，根据《生产建设项目水土保持技术标准》（GB50433-2018）不足1年按1年计，自然恢复期按3年计。在预测时段内，水土流失量9</w:t>
            </w:r>
            <w:r>
              <w:rPr>
                <w:rFonts w:hint="eastAsia"/>
                <w:color w:val="auto"/>
                <w:highlight w:val="none"/>
                <w:lang w:val="en-US" w:eastAsia="zh-CN"/>
              </w:rPr>
              <w:t>2</w:t>
            </w:r>
            <w:r>
              <w:rPr>
                <w:rFonts w:hint="eastAsia"/>
                <w:color w:val="auto"/>
                <w:highlight w:val="none"/>
                <w:lang w:val="zh-CN"/>
              </w:rPr>
              <w:t>t，其中新增水土流失量</w:t>
            </w:r>
            <w:r>
              <w:rPr>
                <w:rFonts w:hint="eastAsia"/>
                <w:color w:val="auto"/>
                <w:highlight w:val="none"/>
                <w:lang w:val="en-US" w:eastAsia="zh-CN"/>
              </w:rPr>
              <w:t>57</w:t>
            </w:r>
            <w:r>
              <w:rPr>
                <w:rFonts w:hint="eastAsia"/>
                <w:color w:val="auto"/>
                <w:highlight w:val="none"/>
                <w:lang w:val="zh-CN"/>
              </w:rPr>
              <w:t>t。</w:t>
            </w:r>
          </w:p>
          <w:p>
            <w:pPr>
              <w:rPr>
                <w:rFonts w:hint="eastAsia" w:ascii="Times New Roman" w:hAnsi="Times New Roman" w:eastAsia="宋体" w:cstheme="minorBidi"/>
                <w:color w:val="auto"/>
                <w:highlight w:val="none"/>
                <w:u w:val="none"/>
                <w:lang w:val="en-US" w:eastAsia="zh-CN"/>
              </w:rPr>
            </w:pPr>
            <w:r>
              <w:rPr>
                <w:rFonts w:hint="default" w:ascii="Times New Roman" w:hAnsi="Times New Roman" w:eastAsia="微软雅黑" w:cs="Times New Roman"/>
                <w:color w:val="auto"/>
                <w:highlight w:val="none"/>
                <w:u w:val="none"/>
                <w:lang w:val="en-US" w:eastAsia="zh-CN"/>
              </w:rPr>
              <w:t>④</w:t>
            </w:r>
            <w:r>
              <w:rPr>
                <w:rFonts w:hint="eastAsia" w:ascii="Times New Roman" w:hAnsi="Times New Roman" w:eastAsia="宋体" w:cstheme="minorBidi"/>
                <w:color w:val="auto"/>
                <w:highlight w:val="none"/>
                <w:u w:val="none"/>
                <w:lang w:val="en-US" w:eastAsia="zh-CN"/>
              </w:rPr>
              <w:t>水土流失防治措施</w:t>
            </w:r>
          </w:p>
          <w:p>
            <w:pPr>
              <w:bidi w:val="0"/>
              <w:rPr>
                <w:rFonts w:hint="eastAsia"/>
                <w:color w:val="auto"/>
                <w:highlight w:val="none"/>
                <w:u w:val="none"/>
                <w:lang w:val="en-US" w:eastAsia="zh-CN"/>
              </w:rPr>
            </w:pPr>
            <w:r>
              <w:rPr>
                <w:rFonts w:hint="eastAsia"/>
                <w:color w:val="auto"/>
                <w:highlight w:val="none"/>
                <w:u w:val="none"/>
                <w:lang w:val="en-US" w:eastAsia="zh-CN"/>
              </w:rPr>
              <w:t>为减轻项目水土流失的影响，工程建设应严格执行水土保持“三同时”（水保设施与主体工程同时设计、同时施工、同时投产使用）制度，尽可能的减轻项目施工产生的水土流失，降低项目建设对生态产生的不良影响。</w:t>
            </w:r>
          </w:p>
          <w:p>
            <w:pPr>
              <w:bidi w:val="0"/>
              <w:rPr>
                <w:rFonts w:hint="eastAsia"/>
                <w:color w:val="auto"/>
                <w:highlight w:val="none"/>
                <w:u w:val="none"/>
                <w:lang w:val="en-US" w:eastAsia="zh-CN"/>
              </w:rPr>
            </w:pPr>
            <w:r>
              <w:rPr>
                <w:rFonts w:hint="eastAsia"/>
                <w:color w:val="auto"/>
                <w:highlight w:val="none"/>
                <w:u w:val="none"/>
                <w:lang w:val="en-US" w:eastAsia="zh-CN"/>
              </w:rPr>
              <w:t>在施工阶段，项目应严格按照设计要求确定开挖、填筑的坡度，确保边坡稳定；在施工工区、道路边界设置临时排水沟等；科学规划施工场地布局，尽可能使主要的临时施工工区在较为平坦的地势上；合理安排施工时段，避免在暴雨频发的天气进行开挖、填筑等扰动较大的施工活动。</w:t>
            </w:r>
          </w:p>
          <w:p>
            <w:pPr>
              <w:bidi w:val="0"/>
              <w:rPr>
                <w:rFonts w:hint="eastAsia"/>
                <w:color w:val="auto"/>
                <w:highlight w:val="none"/>
                <w:u w:val="none"/>
                <w:lang w:val="en-US" w:eastAsia="zh-CN"/>
              </w:rPr>
            </w:pPr>
            <w:r>
              <w:rPr>
                <w:rFonts w:hint="eastAsia"/>
                <w:color w:val="auto"/>
                <w:highlight w:val="none"/>
                <w:u w:val="none"/>
                <w:lang w:val="en-US" w:eastAsia="zh-CN"/>
              </w:rPr>
              <w:t>施工结束后，必须及时对开挖面裸露地表、临时占地（堤防工程区、临时堆渣场、施工工区）采取表土回填及绿化措施，播种当地常见、易存活的草种，栽种植被，并加强人工施肥和管理措施。采取有效的植物措施以恢复自然景观，减少水土流失；对由于项目建设使生态环境受到的不可避免或暂时性的影响，应通过选择合适的植物种类改善介质或利用物理化学方法改良介质等生态恢复的技术对生态环境予以恢复。</w:t>
            </w:r>
          </w:p>
          <w:p>
            <w:pPr>
              <w:numPr>
                <w:ilvl w:val="0"/>
                <w:numId w:val="9"/>
              </w:numPr>
              <w:ind w:left="0" w:leftChars="0" w:firstLine="482" w:firstLineChars="200"/>
              <w:rPr>
                <w:rFonts w:hint="eastAsia"/>
                <w:b/>
                <w:bCs/>
                <w:color w:val="auto"/>
                <w:highlight w:val="none"/>
                <w:u w:val="none"/>
                <w:lang w:val="en-US" w:eastAsia="zh-CN"/>
              </w:rPr>
            </w:pPr>
            <w:r>
              <w:rPr>
                <w:rFonts w:hint="eastAsia"/>
                <w:b/>
                <w:bCs/>
                <w:color w:val="auto"/>
                <w:highlight w:val="none"/>
                <w:u w:val="none"/>
                <w:lang w:val="en-US" w:eastAsia="zh-CN"/>
              </w:rPr>
              <w:t>陆生生态影响</w:t>
            </w:r>
          </w:p>
          <w:p>
            <w:pPr>
              <w:bidi w:val="0"/>
              <w:rPr>
                <w:rFonts w:hint="eastAsia" w:cs="Times New Roman"/>
                <w:b w:val="0"/>
                <w:bCs/>
                <w:color w:val="auto"/>
                <w:sz w:val="24"/>
                <w:szCs w:val="24"/>
                <w:highlight w:val="none"/>
                <w:u w:val="none"/>
                <w:lang w:val="en-US" w:eastAsia="zh-CN"/>
              </w:rPr>
            </w:pPr>
            <w:r>
              <w:rPr>
                <w:rFonts w:hint="eastAsia" w:cs="Times New Roman"/>
                <w:b w:val="0"/>
                <w:bCs/>
                <w:color w:val="auto"/>
                <w:sz w:val="24"/>
                <w:szCs w:val="24"/>
                <w:highlight w:val="none"/>
                <w:u w:val="none"/>
                <w:lang w:val="en-US" w:eastAsia="zh-CN"/>
              </w:rPr>
              <w:t>野生植物：施工期堤防工程占地、土石方开挖等工程活动会对野生植物造成一定的影响。根据现场调查，项目</w:t>
            </w:r>
            <w:r>
              <w:rPr>
                <w:color w:val="auto"/>
                <w:highlight w:val="none"/>
                <w:u w:val="none"/>
              </w:rPr>
              <w:t>区的景观生态体系主要由次生常绿阔叶林生态系统、人工植被生态系统、村庄人工生态系统及河流生态系统等4种拼块类型组成。</w:t>
            </w:r>
            <w:r>
              <w:rPr>
                <w:rFonts w:hint="default" w:ascii="Times New Roman" w:hAnsi="Times New Roman" w:cs="Times New Roman"/>
                <w:b w:val="0"/>
                <w:bCs/>
                <w:color w:val="auto"/>
                <w:sz w:val="24"/>
                <w:szCs w:val="24"/>
                <w:highlight w:val="none"/>
                <w:u w:val="none"/>
                <w:lang w:val="en-US" w:eastAsia="zh-CN"/>
              </w:rPr>
              <w:t>项目区域植被较好，没有发现分布有国家重点保护植物。</w:t>
            </w:r>
            <w:r>
              <w:rPr>
                <w:rFonts w:hint="eastAsia" w:cs="Times New Roman"/>
                <w:b w:val="0"/>
                <w:bCs/>
                <w:color w:val="auto"/>
                <w:sz w:val="24"/>
                <w:szCs w:val="24"/>
                <w:highlight w:val="none"/>
                <w:u w:val="none"/>
                <w:lang w:val="en-US" w:eastAsia="zh-CN"/>
              </w:rPr>
              <w:t>本项目可采用“分段施工，边挖边填”的施工方式，能够减少工程临时占地时间，施工期对陆生植被的影响主要是施工机械对植被的碾压和施工道路占地扰动。根据调查，施工影响范围内植被在施工区分布广泛，生存能力强，自然恢复的速度快，植被受到临时性的破坏一般随施工完成而终止。本工程施工期结束后对占地进行生态恢复，因此，施工期对影响范围内物种分布状况和种群生长影响不大。</w:t>
            </w:r>
          </w:p>
          <w:p>
            <w:pPr>
              <w:bidi w:val="0"/>
              <w:rPr>
                <w:rFonts w:hint="eastAsia" w:cs="Times New Roman"/>
                <w:b w:val="0"/>
                <w:bCs/>
                <w:color w:val="auto"/>
                <w:sz w:val="24"/>
                <w:szCs w:val="24"/>
                <w:highlight w:val="none"/>
                <w:u w:val="none"/>
                <w:lang w:val="en-US" w:eastAsia="zh-CN"/>
              </w:rPr>
            </w:pPr>
            <w:r>
              <w:rPr>
                <w:rFonts w:hint="eastAsia" w:cs="Times New Roman"/>
                <w:b w:val="0"/>
                <w:bCs/>
                <w:color w:val="auto"/>
                <w:sz w:val="24"/>
                <w:szCs w:val="24"/>
                <w:highlight w:val="none"/>
                <w:u w:val="none"/>
                <w:lang w:val="en-US" w:eastAsia="zh-CN"/>
              </w:rPr>
              <w:t>野生动物：项目施工过程中产生的废水、废渣、工程机械噪声和车辆运输噪声等因素对动物会产生一定影响。根据调查，工程区人类活动频繁，野生动物少，多为</w:t>
            </w:r>
            <w:r>
              <w:rPr>
                <w:rFonts w:hint="default" w:ascii="Times New Roman" w:hAnsi="Times New Roman" w:cs="Times New Roman"/>
                <w:b w:val="0"/>
                <w:bCs/>
                <w:color w:val="auto"/>
                <w:sz w:val="24"/>
                <w:szCs w:val="24"/>
                <w:highlight w:val="none"/>
                <w:u w:val="none"/>
                <w:lang w:val="en-US" w:eastAsia="zh-CN"/>
              </w:rPr>
              <w:t>一些</w:t>
            </w:r>
            <w:r>
              <w:rPr>
                <w:rFonts w:hint="eastAsia" w:ascii="Times New Roman" w:hAnsi="Times New Roman" w:cs="Times New Roman"/>
                <w:b w:val="0"/>
                <w:bCs/>
                <w:color w:val="auto"/>
                <w:sz w:val="24"/>
                <w:szCs w:val="24"/>
                <w:highlight w:val="none"/>
                <w:u w:val="none"/>
                <w:lang w:val="en-US" w:eastAsia="zh-CN"/>
              </w:rPr>
              <w:t>常见的适应人类活动影响的小型啮齿动物（如小家鼠）、两栖类（蛙类）动物等</w:t>
            </w:r>
            <w:r>
              <w:rPr>
                <w:rFonts w:hint="eastAsia" w:cs="Times New Roman"/>
                <w:b w:val="0"/>
                <w:bCs/>
                <w:color w:val="auto"/>
                <w:sz w:val="24"/>
                <w:szCs w:val="24"/>
                <w:highlight w:val="none"/>
                <w:u w:val="none"/>
                <w:lang w:val="en-US" w:eastAsia="zh-CN"/>
              </w:rPr>
              <w:t>，无珍惜重点保护的陆生野生动物分布。工程施工活动具有暂时性和短期性，因此工程施工队动物的影响是暂时的，会随着施工的结束而消失，不会对这些物种是生存和繁衍造成危害。</w:t>
            </w:r>
          </w:p>
          <w:p>
            <w:pPr>
              <w:bidi w:val="0"/>
              <w:rPr>
                <w:rFonts w:hint="default" w:ascii="Times New Roman" w:hAnsi="Times New Roman" w:cs="Times New Roman"/>
                <w:b w:val="0"/>
                <w:bCs/>
                <w:color w:val="auto"/>
                <w:sz w:val="24"/>
                <w:szCs w:val="24"/>
                <w:highlight w:val="none"/>
                <w:u w:val="none"/>
                <w:lang w:val="en-US" w:eastAsia="zh-CN"/>
              </w:rPr>
            </w:pPr>
            <w:r>
              <w:rPr>
                <w:rFonts w:hint="eastAsia" w:cs="Times New Roman"/>
                <w:b w:val="0"/>
                <w:bCs/>
                <w:color w:val="auto"/>
                <w:sz w:val="24"/>
                <w:szCs w:val="24"/>
                <w:highlight w:val="none"/>
                <w:u w:val="none"/>
                <w:lang w:val="en-US" w:eastAsia="zh-CN"/>
              </w:rPr>
              <w:t>综上所述，</w:t>
            </w:r>
            <w:r>
              <w:rPr>
                <w:rFonts w:hint="default" w:ascii="Times New Roman" w:hAnsi="Times New Roman" w:cs="Times New Roman"/>
                <w:b w:val="0"/>
                <w:bCs/>
                <w:color w:val="auto"/>
                <w:sz w:val="24"/>
                <w:szCs w:val="24"/>
                <w:highlight w:val="none"/>
                <w:u w:val="none"/>
                <w:lang w:val="en-US" w:eastAsia="zh-CN"/>
              </w:rPr>
              <w:t>施工期对陆地生态环境影响较小。</w:t>
            </w:r>
          </w:p>
          <w:p>
            <w:pPr>
              <w:numPr>
                <w:ilvl w:val="0"/>
                <w:numId w:val="9"/>
              </w:numPr>
              <w:ind w:left="0" w:leftChars="0" w:firstLine="482" w:firstLineChars="200"/>
              <w:rPr>
                <w:rFonts w:hint="default"/>
                <w:b/>
                <w:bCs/>
                <w:color w:val="auto"/>
                <w:highlight w:val="none"/>
                <w:u w:val="none"/>
              </w:rPr>
            </w:pPr>
            <w:r>
              <w:rPr>
                <w:rFonts w:hint="default"/>
                <w:b/>
                <w:bCs/>
                <w:color w:val="auto"/>
                <w:highlight w:val="none"/>
                <w:u w:val="none"/>
              </w:rPr>
              <w:t>对景观体系的影响</w:t>
            </w:r>
          </w:p>
          <w:p>
            <w:pPr>
              <w:bidi w:val="0"/>
              <w:rPr>
                <w:rFonts w:hint="default"/>
                <w:color w:val="auto"/>
                <w:highlight w:val="none"/>
              </w:rPr>
            </w:pPr>
            <w:r>
              <w:rPr>
                <w:rFonts w:hint="default"/>
                <w:color w:val="auto"/>
                <w:highlight w:val="none"/>
                <w:u w:val="none"/>
              </w:rPr>
              <w:t>工程区内景观生态体系稳定性的影响主</w:t>
            </w:r>
            <w:r>
              <w:rPr>
                <w:rFonts w:hint="default"/>
                <w:color w:val="auto"/>
                <w:highlight w:val="none"/>
              </w:rPr>
              <w:t>要从恢复稳定性和阻抗稳定性两个角度进行分析。</w:t>
            </w:r>
          </w:p>
          <w:p>
            <w:pPr>
              <w:bidi w:val="0"/>
              <w:rPr>
                <w:color w:val="auto"/>
                <w:highlight w:val="none"/>
              </w:rPr>
            </w:pPr>
            <w:r>
              <w:rPr>
                <w:rFonts w:hint="default"/>
                <w:color w:val="auto"/>
                <w:highlight w:val="none"/>
              </w:rPr>
              <w:t>恢复稳定性：从项目区生物生产力的变</w:t>
            </w:r>
            <w:r>
              <w:rPr>
                <w:color w:val="auto"/>
                <w:highlight w:val="none"/>
              </w:rPr>
              <w:t>化情况进行度量，由于工程占地和施工占地，造成评价区局部范围平均生物生产力有所降低，但目前仍维持了较高的生产力水平。</w:t>
            </w:r>
          </w:p>
          <w:p>
            <w:pPr>
              <w:bidi w:val="0"/>
              <w:rPr>
                <w:rFonts w:hint="default"/>
                <w:color w:val="auto"/>
                <w:highlight w:val="none"/>
              </w:rPr>
            </w:pPr>
            <w:r>
              <w:rPr>
                <w:color w:val="auto"/>
                <w:highlight w:val="none"/>
              </w:rPr>
              <w:t>阻抗稳定性：从工程区植被的现状情况分析，次生林生态系统受人类活动的影响程度较大，植被异质化程度较低，在受到外界干扰的情况下，生态体系的抵抗力和恢复力较低，这一影响主要来自工程施工中的地表开挖、工程占地对局部区域的土地、植被造成的扰动或破坏。当植被受到人为破坏后，其阻抗稳定性会有所减弱，水土保持能力会降低，形成一定程度的水土流失。就本项目而言，工程占地对评价区植被的破坏程度相对较小。具有阻抗功能的种类拼块仍起着主导和控制作用，基本不改变各植被拼块总体异质化程度，对评价区景观生态体系的阻抗稳定性影响不大。由于工程区无敏感性生</w:t>
            </w:r>
            <w:r>
              <w:rPr>
                <w:rFonts w:hint="default"/>
                <w:color w:val="auto"/>
                <w:highlight w:val="none"/>
              </w:rPr>
              <w:t>物多样性保护内容，施工期不会导致物种变化或破坏生物多样性，因此对景观生态体系的完整性基本上无影响。</w:t>
            </w:r>
          </w:p>
          <w:p>
            <w:pPr>
              <w:numPr>
                <w:ilvl w:val="0"/>
                <w:numId w:val="0"/>
              </w:numPr>
              <w:ind w:leftChars="200"/>
              <w:rPr>
                <w:rFonts w:hint="default"/>
                <w:b/>
                <w:bCs/>
                <w:color w:val="auto"/>
                <w:highlight w:val="none"/>
                <w:u w:val="none"/>
                <w:lang w:val="en-US" w:eastAsia="zh-CN"/>
              </w:rPr>
            </w:pPr>
            <w:r>
              <w:rPr>
                <w:rFonts w:hint="eastAsia"/>
                <w:b/>
                <w:bCs/>
                <w:color w:val="auto"/>
                <w:highlight w:val="none"/>
                <w:lang w:val="en-US" w:eastAsia="zh-CN"/>
              </w:rPr>
              <w:t>3、大气环境影响分析</w:t>
            </w:r>
          </w:p>
          <w:p>
            <w:pPr>
              <w:bidi w:val="0"/>
              <w:rPr>
                <w:rFonts w:hint="eastAsia"/>
                <w:color w:val="auto"/>
                <w:highlight w:val="none"/>
                <w:lang w:val="en-US" w:eastAsia="zh-CN"/>
              </w:rPr>
            </w:pPr>
            <w:r>
              <w:rPr>
                <w:rFonts w:hint="eastAsia"/>
                <w:color w:val="auto"/>
                <w:highlight w:val="none"/>
                <w:lang w:val="en-US" w:eastAsia="zh-CN"/>
              </w:rPr>
              <w:t>项目施工期废气主要来源于堤防工程土石方开挖填筑、车辆运输、混凝土拌和站等环节产生的扬尘；施工过程中大型运输车辆和挖掘机械将产生汽车尾气、施工机械燃油废气；柴油发电机废气。</w:t>
            </w:r>
          </w:p>
          <w:p>
            <w:pPr>
              <w:bidi w:val="0"/>
              <w:rPr>
                <w:rFonts w:hint="default"/>
                <w:b w:val="0"/>
                <w:bCs w:val="0"/>
                <w:color w:val="auto"/>
                <w:highlight w:val="none"/>
                <w:u w:val="none"/>
                <w:lang w:val="en-US" w:eastAsia="zh-CN"/>
              </w:rPr>
            </w:pPr>
            <w:r>
              <w:rPr>
                <w:rFonts w:hint="default" w:ascii="Times New Roman" w:hAnsi="Times New Roman" w:cs="Times New Roman"/>
                <w:b w:val="0"/>
                <w:bCs w:val="0"/>
                <w:color w:val="auto"/>
                <w:highlight w:val="none"/>
                <w:u w:val="none"/>
                <w:lang w:val="en-US" w:eastAsia="zh-CN"/>
              </w:rPr>
              <w:t>①</w:t>
            </w:r>
            <w:r>
              <w:rPr>
                <w:rFonts w:hint="eastAsia" w:cs="Times New Roman"/>
                <w:b w:val="0"/>
                <w:bCs w:val="0"/>
                <w:color w:val="auto"/>
                <w:highlight w:val="none"/>
                <w:u w:val="none"/>
                <w:lang w:val="en-US" w:eastAsia="zh-CN"/>
              </w:rPr>
              <w:t>施工</w:t>
            </w:r>
            <w:r>
              <w:rPr>
                <w:rFonts w:hint="default" w:ascii="Times New Roman" w:hAnsi="Times New Roman" w:cs="Times New Roman"/>
                <w:b w:val="0"/>
                <w:bCs w:val="0"/>
                <w:color w:val="auto"/>
                <w:highlight w:val="none"/>
                <w:u w:val="none"/>
                <w:lang w:val="en-US" w:eastAsia="zh-CN"/>
              </w:rPr>
              <w:t>扬</w:t>
            </w:r>
            <w:r>
              <w:rPr>
                <w:rFonts w:hint="eastAsia"/>
                <w:b w:val="0"/>
                <w:bCs w:val="0"/>
                <w:color w:val="auto"/>
                <w:highlight w:val="none"/>
                <w:u w:val="none"/>
                <w:lang w:val="en-US" w:eastAsia="zh-CN"/>
              </w:rPr>
              <w:t>尘</w:t>
            </w:r>
          </w:p>
          <w:p>
            <w:pPr>
              <w:ind w:firstLine="480"/>
              <w:rPr>
                <w:rFonts w:hint="eastAsia"/>
                <w:color w:val="auto"/>
                <w:highlight w:val="none"/>
                <w:u w:val="none"/>
              </w:rPr>
            </w:pPr>
            <w:r>
              <w:rPr>
                <w:rFonts w:hint="eastAsia"/>
                <w:color w:val="auto"/>
                <w:highlight w:val="none"/>
                <w:u w:val="none"/>
                <w:lang w:val="en-US" w:eastAsia="zh-CN"/>
              </w:rPr>
              <w:t>本项目施工扬尘产生环节主要为</w:t>
            </w:r>
            <w:r>
              <w:rPr>
                <w:color w:val="auto"/>
                <w:highlight w:val="none"/>
                <w:u w:val="none"/>
              </w:rPr>
              <w:t>基础开挖、施工渣土堆场、车辆进出</w:t>
            </w:r>
            <w:r>
              <w:rPr>
                <w:rFonts w:hint="eastAsia"/>
                <w:color w:val="auto"/>
                <w:highlight w:val="none"/>
                <w:u w:val="none"/>
                <w:lang w:val="en-US" w:eastAsia="zh-CN"/>
              </w:rPr>
              <w:t>和</w:t>
            </w:r>
            <w:r>
              <w:rPr>
                <w:color w:val="auto"/>
                <w:highlight w:val="none"/>
                <w:u w:val="none"/>
              </w:rPr>
              <w:t>混凝土拌和</w:t>
            </w:r>
            <w:r>
              <w:rPr>
                <w:rFonts w:hint="eastAsia"/>
                <w:color w:val="auto"/>
                <w:highlight w:val="none"/>
                <w:u w:val="none"/>
                <w:lang w:eastAsia="zh-CN"/>
              </w:rPr>
              <w:t>。</w:t>
            </w:r>
            <w:r>
              <w:rPr>
                <w:rFonts w:hint="eastAsia"/>
                <w:color w:val="auto"/>
                <w:highlight w:val="none"/>
                <w:u w:val="none"/>
              </w:rPr>
              <w:t>施工扬尘的影响主要表现在扬尘点周边导致环境空气中总悬浮颗粒物浓度值增加，施工期粉尘污染源属于面源，排放高度一般较低，颗粒度较大，污染扩散距离不太远，其影响程度和范围与施工管理水平及采取的措施有直接关系。施工期管理好，措施得力，其影响范围和程度较小。</w:t>
            </w:r>
          </w:p>
          <w:p>
            <w:pPr>
              <w:ind w:firstLine="480"/>
              <w:rPr>
                <w:rFonts w:hint="eastAsia"/>
                <w:color w:val="auto"/>
                <w:highlight w:val="none"/>
                <w:u w:val="none"/>
              </w:rPr>
            </w:pPr>
            <w:r>
              <w:rPr>
                <w:rFonts w:hint="eastAsia"/>
                <w:color w:val="auto"/>
                <w:highlight w:val="none"/>
                <w:u w:val="none"/>
              </w:rPr>
              <w:t>扬尘在空气中的扩散稀释与风速等气象条件有关，也与粉尘本身的沉降速度有关。表</w:t>
            </w:r>
            <w:r>
              <w:rPr>
                <w:rFonts w:hint="eastAsia"/>
                <w:color w:val="auto"/>
                <w:highlight w:val="none"/>
                <w:u w:val="none"/>
                <w:lang w:val="en-US" w:eastAsia="zh-CN"/>
              </w:rPr>
              <w:t>4-4</w:t>
            </w:r>
            <w:r>
              <w:rPr>
                <w:rFonts w:hint="eastAsia"/>
                <w:color w:val="auto"/>
                <w:highlight w:val="none"/>
                <w:u w:val="none"/>
              </w:rPr>
              <w:t>列出了不同粒径粉尘的沉降速度。</w:t>
            </w:r>
          </w:p>
          <w:p>
            <w:pPr>
              <w:pStyle w:val="16"/>
              <w:rPr>
                <w:rFonts w:hint="eastAsia"/>
                <w:color w:val="auto"/>
                <w:highlight w:val="none"/>
                <w:u w:val="none"/>
              </w:rPr>
            </w:pPr>
            <w:r>
              <w:rPr>
                <w:rFonts w:hint="eastAsia"/>
                <w:color w:val="auto"/>
                <w:highlight w:val="none"/>
                <w:u w:val="none"/>
              </w:rPr>
              <w:t>表</w:t>
            </w:r>
            <w:r>
              <w:rPr>
                <w:rFonts w:hint="eastAsia"/>
                <w:color w:val="auto"/>
                <w:highlight w:val="none"/>
                <w:u w:val="none"/>
                <w:lang w:val="en-US" w:eastAsia="zh-CN"/>
              </w:rPr>
              <w:t>4-4</w:t>
            </w:r>
            <w:r>
              <w:rPr>
                <w:rFonts w:hint="eastAsia"/>
                <w:color w:val="auto"/>
                <w:highlight w:val="none"/>
                <w:u w:val="none"/>
              </w:rPr>
              <w:t xml:space="preserve">  不同粒径尘粒的沉降速度一览表</w:t>
            </w:r>
          </w:p>
          <w:tbl>
            <w:tblPr>
              <w:tblStyle w:val="11"/>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84"/>
              <w:gridCol w:w="971"/>
              <w:gridCol w:w="971"/>
              <w:gridCol w:w="971"/>
              <w:gridCol w:w="971"/>
              <w:gridCol w:w="971"/>
              <w:gridCol w:w="971"/>
              <w:gridCol w:w="9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92" w:type="pct"/>
                  <w:tcBorders>
                    <w:top w:val="single" w:color="auto" w:sz="12" w:space="0"/>
                    <w:left w:val="nil"/>
                  </w:tcBorders>
                  <w:noWrap w:val="0"/>
                  <w:vAlign w:val="top"/>
                </w:tcPr>
                <w:p>
                  <w:pPr>
                    <w:pStyle w:val="15"/>
                    <w:rPr>
                      <w:b/>
                      <w:bCs/>
                      <w:color w:val="auto"/>
                      <w:highlight w:val="none"/>
                      <w:u w:val="none"/>
                    </w:rPr>
                  </w:pPr>
                  <w:r>
                    <w:rPr>
                      <w:b/>
                      <w:bCs/>
                      <w:color w:val="auto"/>
                      <w:highlight w:val="none"/>
                      <w:u w:val="none"/>
                    </w:rPr>
                    <w:t>粉尘粒径（υm）</w:t>
                  </w:r>
                </w:p>
              </w:tc>
              <w:tc>
                <w:tcPr>
                  <w:tcW w:w="572" w:type="pct"/>
                  <w:tcBorders>
                    <w:top w:val="single" w:color="auto" w:sz="12" w:space="0"/>
                  </w:tcBorders>
                  <w:noWrap w:val="0"/>
                  <w:vAlign w:val="center"/>
                </w:tcPr>
                <w:p>
                  <w:pPr>
                    <w:pStyle w:val="15"/>
                    <w:rPr>
                      <w:rFonts w:hint="eastAsia"/>
                      <w:color w:val="auto"/>
                      <w:highlight w:val="none"/>
                      <w:u w:val="none"/>
                    </w:rPr>
                  </w:pPr>
                  <w:r>
                    <w:rPr>
                      <w:rFonts w:hint="eastAsia"/>
                      <w:color w:val="auto"/>
                      <w:highlight w:val="none"/>
                      <w:u w:val="none"/>
                    </w:rPr>
                    <w:t>10</w:t>
                  </w:r>
                </w:p>
              </w:tc>
              <w:tc>
                <w:tcPr>
                  <w:tcW w:w="572" w:type="pct"/>
                  <w:tcBorders>
                    <w:top w:val="single" w:color="auto" w:sz="12" w:space="0"/>
                  </w:tcBorders>
                  <w:noWrap w:val="0"/>
                  <w:vAlign w:val="center"/>
                </w:tcPr>
                <w:p>
                  <w:pPr>
                    <w:pStyle w:val="15"/>
                    <w:rPr>
                      <w:rFonts w:hint="eastAsia"/>
                      <w:color w:val="auto"/>
                      <w:highlight w:val="none"/>
                      <w:u w:val="none"/>
                    </w:rPr>
                  </w:pPr>
                  <w:r>
                    <w:rPr>
                      <w:rFonts w:hint="eastAsia"/>
                      <w:color w:val="auto"/>
                      <w:highlight w:val="none"/>
                      <w:u w:val="none"/>
                    </w:rPr>
                    <w:t>20</w:t>
                  </w:r>
                </w:p>
              </w:tc>
              <w:tc>
                <w:tcPr>
                  <w:tcW w:w="572" w:type="pct"/>
                  <w:tcBorders>
                    <w:top w:val="single" w:color="auto" w:sz="12" w:space="0"/>
                  </w:tcBorders>
                  <w:noWrap w:val="0"/>
                  <w:vAlign w:val="center"/>
                </w:tcPr>
                <w:p>
                  <w:pPr>
                    <w:pStyle w:val="15"/>
                    <w:rPr>
                      <w:rFonts w:hint="eastAsia"/>
                      <w:color w:val="auto"/>
                      <w:highlight w:val="none"/>
                      <w:u w:val="none"/>
                    </w:rPr>
                  </w:pPr>
                  <w:r>
                    <w:rPr>
                      <w:rFonts w:hint="eastAsia"/>
                      <w:color w:val="auto"/>
                      <w:highlight w:val="none"/>
                      <w:u w:val="none"/>
                    </w:rPr>
                    <w:t>30</w:t>
                  </w:r>
                </w:p>
              </w:tc>
              <w:tc>
                <w:tcPr>
                  <w:tcW w:w="572" w:type="pct"/>
                  <w:tcBorders>
                    <w:top w:val="single" w:color="auto" w:sz="12" w:space="0"/>
                  </w:tcBorders>
                  <w:noWrap w:val="0"/>
                  <w:vAlign w:val="center"/>
                </w:tcPr>
                <w:p>
                  <w:pPr>
                    <w:pStyle w:val="15"/>
                    <w:rPr>
                      <w:rFonts w:hint="eastAsia"/>
                      <w:color w:val="auto"/>
                      <w:highlight w:val="none"/>
                      <w:u w:val="none"/>
                    </w:rPr>
                  </w:pPr>
                  <w:r>
                    <w:rPr>
                      <w:rFonts w:hint="eastAsia"/>
                      <w:color w:val="auto"/>
                      <w:highlight w:val="none"/>
                      <w:u w:val="none"/>
                    </w:rPr>
                    <w:t>40</w:t>
                  </w:r>
                </w:p>
              </w:tc>
              <w:tc>
                <w:tcPr>
                  <w:tcW w:w="572" w:type="pct"/>
                  <w:tcBorders>
                    <w:top w:val="single" w:color="auto" w:sz="12" w:space="0"/>
                  </w:tcBorders>
                  <w:noWrap w:val="0"/>
                  <w:vAlign w:val="center"/>
                </w:tcPr>
                <w:p>
                  <w:pPr>
                    <w:pStyle w:val="15"/>
                    <w:rPr>
                      <w:rFonts w:hint="eastAsia"/>
                      <w:color w:val="auto"/>
                      <w:highlight w:val="none"/>
                      <w:u w:val="none"/>
                    </w:rPr>
                  </w:pPr>
                  <w:r>
                    <w:rPr>
                      <w:rFonts w:hint="eastAsia"/>
                      <w:color w:val="auto"/>
                      <w:highlight w:val="none"/>
                      <w:u w:val="none"/>
                    </w:rPr>
                    <w:t>50</w:t>
                  </w:r>
                </w:p>
              </w:tc>
              <w:tc>
                <w:tcPr>
                  <w:tcW w:w="572" w:type="pct"/>
                  <w:tcBorders>
                    <w:top w:val="single" w:color="auto" w:sz="12" w:space="0"/>
                  </w:tcBorders>
                  <w:noWrap w:val="0"/>
                  <w:vAlign w:val="center"/>
                </w:tcPr>
                <w:p>
                  <w:pPr>
                    <w:pStyle w:val="15"/>
                    <w:rPr>
                      <w:rFonts w:hint="eastAsia"/>
                      <w:color w:val="auto"/>
                      <w:highlight w:val="none"/>
                      <w:u w:val="none"/>
                    </w:rPr>
                  </w:pPr>
                  <w:r>
                    <w:rPr>
                      <w:rFonts w:hint="eastAsia"/>
                      <w:color w:val="auto"/>
                      <w:highlight w:val="none"/>
                      <w:u w:val="none"/>
                    </w:rPr>
                    <w:t>60</w:t>
                  </w:r>
                </w:p>
              </w:tc>
              <w:tc>
                <w:tcPr>
                  <w:tcW w:w="571" w:type="pct"/>
                  <w:tcBorders>
                    <w:top w:val="single" w:color="auto" w:sz="12" w:space="0"/>
                    <w:right w:val="nil"/>
                  </w:tcBorders>
                  <w:noWrap w:val="0"/>
                  <w:vAlign w:val="center"/>
                </w:tcPr>
                <w:p>
                  <w:pPr>
                    <w:pStyle w:val="15"/>
                    <w:rPr>
                      <w:rFonts w:hint="eastAsia"/>
                      <w:color w:val="auto"/>
                      <w:highlight w:val="none"/>
                      <w:u w:val="none"/>
                    </w:rPr>
                  </w:pPr>
                  <w:r>
                    <w:rPr>
                      <w:rFonts w:hint="eastAsia"/>
                      <w:color w:val="auto"/>
                      <w:highlight w:val="none"/>
                      <w:u w:val="none"/>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92" w:type="pct"/>
                  <w:tcBorders>
                    <w:left w:val="nil"/>
                  </w:tcBorders>
                  <w:noWrap w:val="0"/>
                  <w:vAlign w:val="top"/>
                </w:tcPr>
                <w:p>
                  <w:pPr>
                    <w:pStyle w:val="15"/>
                    <w:rPr>
                      <w:b/>
                      <w:bCs/>
                      <w:color w:val="auto"/>
                      <w:highlight w:val="none"/>
                      <w:u w:val="none"/>
                    </w:rPr>
                  </w:pPr>
                  <w:r>
                    <w:rPr>
                      <w:b/>
                      <w:bCs/>
                      <w:color w:val="auto"/>
                      <w:highlight w:val="none"/>
                      <w:u w:val="none"/>
                    </w:rPr>
                    <w:t>沉降速度（m/s）</w:t>
                  </w:r>
                </w:p>
              </w:tc>
              <w:tc>
                <w:tcPr>
                  <w:tcW w:w="572" w:type="pct"/>
                  <w:noWrap w:val="0"/>
                  <w:vAlign w:val="center"/>
                </w:tcPr>
                <w:p>
                  <w:pPr>
                    <w:pStyle w:val="15"/>
                    <w:rPr>
                      <w:rFonts w:hint="eastAsia"/>
                      <w:color w:val="auto"/>
                      <w:highlight w:val="none"/>
                      <w:u w:val="none"/>
                    </w:rPr>
                  </w:pPr>
                  <w:r>
                    <w:rPr>
                      <w:rFonts w:hint="eastAsia"/>
                      <w:color w:val="auto"/>
                      <w:highlight w:val="none"/>
                      <w:u w:val="none"/>
                    </w:rPr>
                    <w:t>0.003</w:t>
                  </w:r>
                </w:p>
              </w:tc>
              <w:tc>
                <w:tcPr>
                  <w:tcW w:w="572" w:type="pct"/>
                  <w:noWrap w:val="0"/>
                  <w:vAlign w:val="center"/>
                </w:tcPr>
                <w:p>
                  <w:pPr>
                    <w:pStyle w:val="15"/>
                    <w:rPr>
                      <w:rFonts w:hint="eastAsia"/>
                      <w:color w:val="auto"/>
                      <w:highlight w:val="none"/>
                      <w:u w:val="none"/>
                    </w:rPr>
                  </w:pPr>
                  <w:r>
                    <w:rPr>
                      <w:rFonts w:hint="eastAsia"/>
                      <w:color w:val="auto"/>
                      <w:highlight w:val="none"/>
                      <w:u w:val="none"/>
                    </w:rPr>
                    <w:t>0.012</w:t>
                  </w:r>
                </w:p>
              </w:tc>
              <w:tc>
                <w:tcPr>
                  <w:tcW w:w="572" w:type="pct"/>
                  <w:noWrap w:val="0"/>
                  <w:vAlign w:val="center"/>
                </w:tcPr>
                <w:p>
                  <w:pPr>
                    <w:pStyle w:val="15"/>
                    <w:rPr>
                      <w:rFonts w:hint="eastAsia"/>
                      <w:color w:val="auto"/>
                      <w:highlight w:val="none"/>
                      <w:u w:val="none"/>
                    </w:rPr>
                  </w:pPr>
                  <w:r>
                    <w:rPr>
                      <w:rFonts w:hint="eastAsia"/>
                      <w:color w:val="auto"/>
                      <w:highlight w:val="none"/>
                      <w:u w:val="none"/>
                    </w:rPr>
                    <w:t>0.027</w:t>
                  </w:r>
                </w:p>
              </w:tc>
              <w:tc>
                <w:tcPr>
                  <w:tcW w:w="572" w:type="pct"/>
                  <w:noWrap w:val="0"/>
                  <w:vAlign w:val="center"/>
                </w:tcPr>
                <w:p>
                  <w:pPr>
                    <w:pStyle w:val="15"/>
                    <w:rPr>
                      <w:rFonts w:hint="eastAsia"/>
                      <w:color w:val="auto"/>
                      <w:highlight w:val="none"/>
                      <w:u w:val="none"/>
                    </w:rPr>
                  </w:pPr>
                  <w:r>
                    <w:rPr>
                      <w:rFonts w:hint="eastAsia"/>
                      <w:color w:val="auto"/>
                      <w:highlight w:val="none"/>
                      <w:u w:val="none"/>
                    </w:rPr>
                    <w:t>0.048</w:t>
                  </w:r>
                </w:p>
              </w:tc>
              <w:tc>
                <w:tcPr>
                  <w:tcW w:w="572" w:type="pct"/>
                  <w:noWrap w:val="0"/>
                  <w:vAlign w:val="center"/>
                </w:tcPr>
                <w:p>
                  <w:pPr>
                    <w:pStyle w:val="15"/>
                    <w:rPr>
                      <w:rFonts w:hint="eastAsia"/>
                      <w:color w:val="auto"/>
                      <w:highlight w:val="none"/>
                      <w:u w:val="none"/>
                    </w:rPr>
                  </w:pPr>
                  <w:r>
                    <w:rPr>
                      <w:rFonts w:hint="eastAsia"/>
                      <w:color w:val="auto"/>
                      <w:highlight w:val="none"/>
                      <w:u w:val="none"/>
                    </w:rPr>
                    <w:t>0.075</w:t>
                  </w:r>
                </w:p>
              </w:tc>
              <w:tc>
                <w:tcPr>
                  <w:tcW w:w="572" w:type="pct"/>
                  <w:noWrap w:val="0"/>
                  <w:vAlign w:val="center"/>
                </w:tcPr>
                <w:p>
                  <w:pPr>
                    <w:pStyle w:val="15"/>
                    <w:rPr>
                      <w:rFonts w:hint="eastAsia"/>
                      <w:color w:val="auto"/>
                      <w:highlight w:val="none"/>
                      <w:u w:val="none"/>
                    </w:rPr>
                  </w:pPr>
                  <w:r>
                    <w:rPr>
                      <w:rFonts w:hint="eastAsia"/>
                      <w:color w:val="auto"/>
                      <w:highlight w:val="none"/>
                      <w:u w:val="none"/>
                    </w:rPr>
                    <w:t>0.108</w:t>
                  </w:r>
                </w:p>
              </w:tc>
              <w:tc>
                <w:tcPr>
                  <w:tcW w:w="571" w:type="pct"/>
                  <w:tcBorders>
                    <w:right w:val="nil"/>
                  </w:tcBorders>
                  <w:noWrap w:val="0"/>
                  <w:vAlign w:val="center"/>
                </w:tcPr>
                <w:p>
                  <w:pPr>
                    <w:pStyle w:val="15"/>
                    <w:rPr>
                      <w:rFonts w:hint="eastAsia"/>
                      <w:color w:val="auto"/>
                      <w:highlight w:val="none"/>
                      <w:u w:val="none"/>
                    </w:rPr>
                  </w:pPr>
                  <w:r>
                    <w:rPr>
                      <w:rFonts w:hint="eastAsia"/>
                      <w:color w:val="auto"/>
                      <w:highlight w:val="none"/>
                      <w:u w:val="none"/>
                    </w:rPr>
                    <w:t>0.147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92" w:type="pct"/>
                  <w:tcBorders>
                    <w:left w:val="nil"/>
                  </w:tcBorders>
                  <w:noWrap w:val="0"/>
                  <w:vAlign w:val="center"/>
                </w:tcPr>
                <w:p>
                  <w:pPr>
                    <w:pStyle w:val="15"/>
                    <w:rPr>
                      <w:b/>
                      <w:bCs/>
                      <w:color w:val="auto"/>
                      <w:highlight w:val="none"/>
                      <w:u w:val="none"/>
                    </w:rPr>
                  </w:pPr>
                  <w:r>
                    <w:rPr>
                      <w:b/>
                      <w:bCs/>
                      <w:color w:val="auto"/>
                      <w:highlight w:val="none"/>
                      <w:u w:val="none"/>
                    </w:rPr>
                    <w:t>粉尘粒径（υm）</w:t>
                  </w:r>
                </w:p>
              </w:tc>
              <w:tc>
                <w:tcPr>
                  <w:tcW w:w="572" w:type="pct"/>
                  <w:noWrap w:val="0"/>
                  <w:vAlign w:val="center"/>
                </w:tcPr>
                <w:p>
                  <w:pPr>
                    <w:pStyle w:val="15"/>
                    <w:rPr>
                      <w:rFonts w:hint="eastAsia"/>
                      <w:color w:val="auto"/>
                      <w:highlight w:val="none"/>
                      <w:u w:val="none"/>
                    </w:rPr>
                  </w:pPr>
                  <w:r>
                    <w:rPr>
                      <w:rFonts w:hint="eastAsia"/>
                      <w:color w:val="auto"/>
                      <w:highlight w:val="none"/>
                      <w:u w:val="none"/>
                    </w:rPr>
                    <w:t>80</w:t>
                  </w:r>
                </w:p>
              </w:tc>
              <w:tc>
                <w:tcPr>
                  <w:tcW w:w="572" w:type="pct"/>
                  <w:noWrap w:val="0"/>
                  <w:vAlign w:val="center"/>
                </w:tcPr>
                <w:p>
                  <w:pPr>
                    <w:pStyle w:val="15"/>
                    <w:rPr>
                      <w:rFonts w:hint="eastAsia"/>
                      <w:color w:val="auto"/>
                      <w:highlight w:val="none"/>
                      <w:u w:val="none"/>
                    </w:rPr>
                  </w:pPr>
                  <w:r>
                    <w:rPr>
                      <w:rFonts w:hint="eastAsia"/>
                      <w:color w:val="auto"/>
                      <w:highlight w:val="none"/>
                      <w:u w:val="none"/>
                    </w:rPr>
                    <w:t>90</w:t>
                  </w:r>
                </w:p>
              </w:tc>
              <w:tc>
                <w:tcPr>
                  <w:tcW w:w="572" w:type="pct"/>
                  <w:noWrap w:val="0"/>
                  <w:vAlign w:val="center"/>
                </w:tcPr>
                <w:p>
                  <w:pPr>
                    <w:pStyle w:val="15"/>
                    <w:rPr>
                      <w:rFonts w:hint="eastAsia"/>
                      <w:color w:val="auto"/>
                      <w:highlight w:val="none"/>
                      <w:u w:val="none"/>
                    </w:rPr>
                  </w:pPr>
                  <w:r>
                    <w:rPr>
                      <w:rFonts w:hint="eastAsia"/>
                      <w:color w:val="auto"/>
                      <w:highlight w:val="none"/>
                      <w:u w:val="none"/>
                    </w:rPr>
                    <w:t>100</w:t>
                  </w:r>
                </w:p>
              </w:tc>
              <w:tc>
                <w:tcPr>
                  <w:tcW w:w="572" w:type="pct"/>
                  <w:noWrap w:val="0"/>
                  <w:vAlign w:val="center"/>
                </w:tcPr>
                <w:p>
                  <w:pPr>
                    <w:pStyle w:val="15"/>
                    <w:rPr>
                      <w:rFonts w:hint="eastAsia"/>
                      <w:color w:val="auto"/>
                      <w:highlight w:val="none"/>
                      <w:u w:val="none"/>
                    </w:rPr>
                  </w:pPr>
                  <w:r>
                    <w:rPr>
                      <w:rFonts w:hint="eastAsia"/>
                      <w:color w:val="auto"/>
                      <w:highlight w:val="none"/>
                      <w:u w:val="none"/>
                    </w:rPr>
                    <w:t>150</w:t>
                  </w:r>
                </w:p>
              </w:tc>
              <w:tc>
                <w:tcPr>
                  <w:tcW w:w="572" w:type="pct"/>
                  <w:noWrap w:val="0"/>
                  <w:vAlign w:val="center"/>
                </w:tcPr>
                <w:p>
                  <w:pPr>
                    <w:pStyle w:val="15"/>
                    <w:rPr>
                      <w:rFonts w:hint="eastAsia"/>
                      <w:color w:val="auto"/>
                      <w:highlight w:val="none"/>
                      <w:u w:val="none"/>
                    </w:rPr>
                  </w:pPr>
                  <w:r>
                    <w:rPr>
                      <w:rFonts w:hint="eastAsia"/>
                      <w:color w:val="auto"/>
                      <w:highlight w:val="none"/>
                      <w:u w:val="none"/>
                    </w:rPr>
                    <w:t>200</w:t>
                  </w:r>
                </w:p>
              </w:tc>
              <w:tc>
                <w:tcPr>
                  <w:tcW w:w="572" w:type="pct"/>
                  <w:noWrap w:val="0"/>
                  <w:vAlign w:val="center"/>
                </w:tcPr>
                <w:p>
                  <w:pPr>
                    <w:pStyle w:val="15"/>
                    <w:rPr>
                      <w:rFonts w:hint="eastAsia"/>
                      <w:color w:val="auto"/>
                      <w:highlight w:val="none"/>
                      <w:u w:val="none"/>
                    </w:rPr>
                  </w:pPr>
                  <w:r>
                    <w:rPr>
                      <w:rFonts w:hint="eastAsia"/>
                      <w:color w:val="auto"/>
                      <w:highlight w:val="none"/>
                      <w:u w:val="none"/>
                    </w:rPr>
                    <w:t>250</w:t>
                  </w:r>
                </w:p>
              </w:tc>
              <w:tc>
                <w:tcPr>
                  <w:tcW w:w="571" w:type="pct"/>
                  <w:tcBorders>
                    <w:right w:val="nil"/>
                  </w:tcBorders>
                  <w:noWrap w:val="0"/>
                  <w:vAlign w:val="center"/>
                </w:tcPr>
                <w:p>
                  <w:pPr>
                    <w:pStyle w:val="15"/>
                    <w:rPr>
                      <w:rFonts w:hint="eastAsia"/>
                      <w:color w:val="auto"/>
                      <w:highlight w:val="none"/>
                      <w:u w:val="none"/>
                    </w:rPr>
                  </w:pPr>
                  <w:r>
                    <w:rPr>
                      <w:rFonts w:hint="eastAsia"/>
                      <w:color w:val="auto"/>
                      <w:highlight w:val="none"/>
                      <w:u w:val="none"/>
                    </w:rPr>
                    <w:t>350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92" w:type="pct"/>
                  <w:tcBorders>
                    <w:left w:val="nil"/>
                    <w:bottom w:val="single" w:color="auto" w:sz="12" w:space="0"/>
                  </w:tcBorders>
                  <w:noWrap w:val="0"/>
                  <w:vAlign w:val="center"/>
                </w:tcPr>
                <w:p>
                  <w:pPr>
                    <w:pStyle w:val="15"/>
                    <w:rPr>
                      <w:rFonts w:hint="eastAsia"/>
                      <w:b/>
                      <w:bCs/>
                      <w:color w:val="auto"/>
                      <w:highlight w:val="none"/>
                      <w:u w:val="none"/>
                    </w:rPr>
                  </w:pPr>
                  <w:r>
                    <w:rPr>
                      <w:rFonts w:hint="eastAsia"/>
                      <w:b/>
                      <w:bCs/>
                      <w:color w:val="auto"/>
                      <w:highlight w:val="none"/>
                      <w:u w:val="none"/>
                    </w:rPr>
                    <w:t>沉降速度（m/s）</w:t>
                  </w:r>
                </w:p>
              </w:tc>
              <w:tc>
                <w:tcPr>
                  <w:tcW w:w="572" w:type="pct"/>
                  <w:tcBorders>
                    <w:bottom w:val="single" w:color="auto" w:sz="12" w:space="0"/>
                  </w:tcBorders>
                  <w:noWrap w:val="0"/>
                  <w:vAlign w:val="center"/>
                </w:tcPr>
                <w:p>
                  <w:pPr>
                    <w:pStyle w:val="15"/>
                    <w:rPr>
                      <w:rFonts w:hint="eastAsia"/>
                      <w:color w:val="auto"/>
                      <w:highlight w:val="none"/>
                      <w:u w:val="none"/>
                    </w:rPr>
                  </w:pPr>
                  <w:r>
                    <w:rPr>
                      <w:rFonts w:hint="eastAsia"/>
                      <w:color w:val="auto"/>
                      <w:highlight w:val="none"/>
                      <w:u w:val="none"/>
                    </w:rPr>
                    <w:t>0.158</w:t>
                  </w:r>
                </w:p>
              </w:tc>
              <w:tc>
                <w:tcPr>
                  <w:tcW w:w="572" w:type="pct"/>
                  <w:tcBorders>
                    <w:bottom w:val="single" w:color="auto" w:sz="12" w:space="0"/>
                  </w:tcBorders>
                  <w:noWrap w:val="0"/>
                  <w:vAlign w:val="center"/>
                </w:tcPr>
                <w:p>
                  <w:pPr>
                    <w:pStyle w:val="15"/>
                    <w:rPr>
                      <w:rFonts w:hint="eastAsia"/>
                      <w:color w:val="auto"/>
                      <w:highlight w:val="none"/>
                      <w:u w:val="none"/>
                    </w:rPr>
                  </w:pPr>
                  <w:r>
                    <w:rPr>
                      <w:rFonts w:hint="eastAsia"/>
                      <w:color w:val="auto"/>
                      <w:highlight w:val="none"/>
                      <w:u w:val="none"/>
                    </w:rPr>
                    <w:t>0.170</w:t>
                  </w:r>
                </w:p>
              </w:tc>
              <w:tc>
                <w:tcPr>
                  <w:tcW w:w="572" w:type="pct"/>
                  <w:tcBorders>
                    <w:bottom w:val="single" w:color="auto" w:sz="12" w:space="0"/>
                  </w:tcBorders>
                  <w:noWrap w:val="0"/>
                  <w:vAlign w:val="center"/>
                </w:tcPr>
                <w:p>
                  <w:pPr>
                    <w:pStyle w:val="15"/>
                    <w:rPr>
                      <w:rFonts w:hint="eastAsia"/>
                      <w:color w:val="auto"/>
                      <w:highlight w:val="none"/>
                      <w:u w:val="none"/>
                    </w:rPr>
                  </w:pPr>
                  <w:r>
                    <w:rPr>
                      <w:rFonts w:hint="eastAsia"/>
                      <w:color w:val="auto"/>
                      <w:highlight w:val="none"/>
                      <w:u w:val="none"/>
                    </w:rPr>
                    <w:t>0.182</w:t>
                  </w:r>
                </w:p>
              </w:tc>
              <w:tc>
                <w:tcPr>
                  <w:tcW w:w="572" w:type="pct"/>
                  <w:tcBorders>
                    <w:bottom w:val="single" w:color="auto" w:sz="12" w:space="0"/>
                  </w:tcBorders>
                  <w:noWrap w:val="0"/>
                  <w:vAlign w:val="center"/>
                </w:tcPr>
                <w:p>
                  <w:pPr>
                    <w:pStyle w:val="15"/>
                    <w:rPr>
                      <w:rFonts w:hint="eastAsia"/>
                      <w:color w:val="auto"/>
                      <w:highlight w:val="none"/>
                      <w:u w:val="none"/>
                    </w:rPr>
                  </w:pPr>
                  <w:r>
                    <w:rPr>
                      <w:rFonts w:hint="eastAsia"/>
                      <w:color w:val="auto"/>
                      <w:highlight w:val="none"/>
                      <w:u w:val="none"/>
                    </w:rPr>
                    <w:t>0.239</w:t>
                  </w:r>
                </w:p>
              </w:tc>
              <w:tc>
                <w:tcPr>
                  <w:tcW w:w="572" w:type="pct"/>
                  <w:tcBorders>
                    <w:bottom w:val="single" w:color="auto" w:sz="12" w:space="0"/>
                  </w:tcBorders>
                  <w:noWrap w:val="0"/>
                  <w:vAlign w:val="center"/>
                </w:tcPr>
                <w:p>
                  <w:pPr>
                    <w:pStyle w:val="15"/>
                    <w:rPr>
                      <w:rFonts w:hint="eastAsia"/>
                      <w:color w:val="auto"/>
                      <w:highlight w:val="none"/>
                      <w:u w:val="none"/>
                    </w:rPr>
                  </w:pPr>
                  <w:r>
                    <w:rPr>
                      <w:rFonts w:hint="eastAsia"/>
                      <w:color w:val="auto"/>
                      <w:highlight w:val="none"/>
                      <w:u w:val="none"/>
                    </w:rPr>
                    <w:t>0.804</w:t>
                  </w:r>
                </w:p>
              </w:tc>
              <w:tc>
                <w:tcPr>
                  <w:tcW w:w="572" w:type="pct"/>
                  <w:tcBorders>
                    <w:bottom w:val="single" w:color="auto" w:sz="12" w:space="0"/>
                  </w:tcBorders>
                  <w:noWrap w:val="0"/>
                  <w:vAlign w:val="center"/>
                </w:tcPr>
                <w:p>
                  <w:pPr>
                    <w:pStyle w:val="15"/>
                    <w:rPr>
                      <w:rFonts w:hint="eastAsia"/>
                      <w:color w:val="auto"/>
                      <w:highlight w:val="none"/>
                      <w:u w:val="none"/>
                    </w:rPr>
                  </w:pPr>
                  <w:r>
                    <w:rPr>
                      <w:rFonts w:hint="eastAsia"/>
                      <w:color w:val="auto"/>
                      <w:highlight w:val="none"/>
                      <w:u w:val="none"/>
                    </w:rPr>
                    <w:t>1.005</w:t>
                  </w:r>
                </w:p>
              </w:tc>
              <w:tc>
                <w:tcPr>
                  <w:tcW w:w="571" w:type="pct"/>
                  <w:tcBorders>
                    <w:bottom w:val="single" w:color="auto" w:sz="12" w:space="0"/>
                    <w:right w:val="nil"/>
                  </w:tcBorders>
                  <w:noWrap w:val="0"/>
                  <w:vAlign w:val="center"/>
                </w:tcPr>
                <w:p>
                  <w:pPr>
                    <w:pStyle w:val="15"/>
                    <w:rPr>
                      <w:rFonts w:hint="eastAsia"/>
                      <w:color w:val="auto"/>
                      <w:highlight w:val="none"/>
                      <w:u w:val="none"/>
                    </w:rPr>
                  </w:pPr>
                  <w:r>
                    <w:rPr>
                      <w:rFonts w:hint="eastAsia"/>
                      <w:color w:val="auto"/>
                      <w:highlight w:val="none"/>
                      <w:u w:val="none"/>
                    </w:rPr>
                    <w:t>1.829</w:t>
                  </w:r>
                </w:p>
              </w:tc>
            </w:tr>
          </w:tbl>
          <w:p>
            <w:pPr>
              <w:ind w:firstLine="480"/>
              <w:rPr>
                <w:rFonts w:hint="eastAsia"/>
                <w:color w:val="auto"/>
                <w:highlight w:val="none"/>
                <w:u w:val="none"/>
              </w:rPr>
            </w:pPr>
            <w:r>
              <w:rPr>
                <w:rFonts w:hint="eastAsia"/>
                <w:color w:val="auto"/>
                <w:highlight w:val="none"/>
                <w:u w:val="none"/>
              </w:rPr>
              <w:t>由上表可知，粉尘的沉降速度随粒径的增大而迅速增大，当粒径为250</w:t>
            </w:r>
            <w:r>
              <w:rPr>
                <w:color w:val="auto"/>
                <w:highlight w:val="none"/>
                <w:u w:val="none"/>
              </w:rPr>
              <w:t>υ</w:t>
            </w:r>
            <w:r>
              <w:rPr>
                <w:rFonts w:hint="eastAsia"/>
                <w:color w:val="auto"/>
                <w:highlight w:val="none"/>
                <w:u w:val="none"/>
              </w:rPr>
              <w:t>m时，沉降速度为1.005m/s，因此可认为当尘粒大于250</w:t>
            </w:r>
            <w:r>
              <w:rPr>
                <w:color w:val="auto"/>
                <w:highlight w:val="none"/>
                <w:u w:val="none"/>
              </w:rPr>
              <w:t>υ</w:t>
            </w:r>
            <w:r>
              <w:rPr>
                <w:rFonts w:hint="eastAsia"/>
                <w:color w:val="auto"/>
                <w:highlight w:val="none"/>
                <w:u w:val="none"/>
              </w:rPr>
              <w:t>m时，主要影响范围在扬尘点下风向附近范围内，而真正对外环境产生影响的是一些微小粒径的粉尘。</w:t>
            </w:r>
          </w:p>
          <w:p>
            <w:pPr>
              <w:ind w:firstLine="480"/>
              <w:rPr>
                <w:rFonts w:hint="eastAsia"/>
                <w:color w:val="auto"/>
                <w:highlight w:val="none"/>
                <w:u w:val="none"/>
              </w:rPr>
            </w:pPr>
            <w:r>
              <w:rPr>
                <w:rFonts w:hint="eastAsia"/>
                <w:color w:val="auto"/>
                <w:highlight w:val="none"/>
                <w:u w:val="none"/>
              </w:rPr>
              <w:t>一般来说，建筑工地扬尘对大气的影响范围主要在工地围墙外100m以内。由于距离的不同，其污染影响程度也不同。根据类比调查，施工扬尘的影响范围一般在下风向50m范围内为重污染带、50m～100m为中污染带、100m～150m为轻污染带、150m以外基本不受影响。</w:t>
            </w:r>
          </w:p>
          <w:p>
            <w:pPr>
              <w:bidi w:val="0"/>
              <w:rPr>
                <w:color w:val="auto"/>
                <w:highlight w:val="none"/>
                <w:u w:val="none"/>
                <w:lang w:bidi="en-US"/>
              </w:rPr>
            </w:pPr>
            <w:r>
              <w:rPr>
                <w:rFonts w:hint="eastAsia"/>
                <w:color w:val="auto"/>
                <w:highlight w:val="none"/>
                <w:u w:val="none"/>
              </w:rPr>
              <w:t>本项目施工扬尘影响主要集中在</w:t>
            </w:r>
            <w:r>
              <w:rPr>
                <w:rFonts w:hint="eastAsia"/>
                <w:color w:val="auto"/>
                <w:highlight w:val="none"/>
                <w:u w:val="none"/>
                <w:lang w:val="en-US" w:eastAsia="zh-CN"/>
              </w:rPr>
              <w:t>施工工区</w:t>
            </w:r>
            <w:r>
              <w:rPr>
                <w:rFonts w:hint="eastAsia"/>
                <w:color w:val="auto"/>
                <w:highlight w:val="none"/>
                <w:u w:val="none"/>
              </w:rPr>
              <w:t>场地内及施工场界附近</w:t>
            </w:r>
            <w:r>
              <w:rPr>
                <w:rFonts w:hint="eastAsia"/>
                <w:color w:val="auto"/>
                <w:highlight w:val="none"/>
                <w:u w:val="none"/>
                <w:lang w:eastAsia="zh-CN"/>
              </w:rPr>
              <w:t>，</w:t>
            </w:r>
            <w:r>
              <w:rPr>
                <w:rFonts w:hint="eastAsia"/>
                <w:color w:val="auto"/>
                <w:highlight w:val="none"/>
                <w:u w:val="none"/>
                <w:lang w:val="en-US" w:eastAsia="zh-CN"/>
              </w:rPr>
              <w:t>施工工区位于堤防左岸和右岸，胡家河施工工区与附近居民最近距离</w:t>
            </w:r>
            <w:r>
              <w:rPr>
                <w:rFonts w:hint="default" w:ascii="Times New Roman" w:hAnsi="Times New Roman" w:eastAsia="微软雅黑" w:cs="Times New Roman"/>
                <w:color w:val="auto"/>
                <w:highlight w:val="none"/>
                <w:u w:val="none"/>
                <w:lang w:val="en-US" w:eastAsia="zh-CN"/>
              </w:rPr>
              <w:t>&lt;</w:t>
            </w:r>
            <w:r>
              <w:rPr>
                <w:rFonts w:hint="default" w:ascii="Times New Roman" w:hAnsi="Times New Roman" w:cs="Times New Roman"/>
                <w:color w:val="auto"/>
                <w:highlight w:val="none"/>
                <w:u w:val="none"/>
                <w:lang w:val="en-US" w:eastAsia="zh-CN"/>
              </w:rPr>
              <w:t>50m</w:t>
            </w:r>
            <w:r>
              <w:rPr>
                <w:rFonts w:hint="eastAsia"/>
                <w:color w:val="auto"/>
                <w:highlight w:val="none"/>
                <w:u w:val="none"/>
              </w:rPr>
              <w:t>。因此，建设单位</w:t>
            </w:r>
            <w:r>
              <w:rPr>
                <w:rFonts w:hint="eastAsia"/>
                <w:color w:val="auto"/>
                <w:highlight w:val="none"/>
                <w:u w:val="none"/>
                <w:lang w:val="en-US" w:eastAsia="zh-CN"/>
              </w:rPr>
              <w:t>必须</w:t>
            </w:r>
            <w:r>
              <w:rPr>
                <w:color w:val="auto"/>
                <w:highlight w:val="none"/>
                <w:u w:val="none"/>
              </w:rPr>
              <w:t>制定严格、规范管理制度和措施，贯彻执行国家及四川省有关建筑施工的有关规定</w:t>
            </w:r>
            <w:r>
              <w:rPr>
                <w:rFonts w:hint="eastAsia"/>
                <w:color w:val="auto"/>
                <w:highlight w:val="none"/>
                <w:u w:val="none"/>
                <w:lang w:eastAsia="zh-CN"/>
              </w:rPr>
              <w:t>，</w:t>
            </w:r>
            <w:r>
              <w:rPr>
                <w:rFonts w:hint="eastAsia"/>
                <w:color w:val="auto"/>
                <w:highlight w:val="none"/>
                <w:u w:val="none"/>
                <w:lang w:val="en-US" w:eastAsia="zh-CN"/>
              </w:rPr>
              <w:t>必须</w:t>
            </w:r>
            <w:r>
              <w:rPr>
                <w:rFonts w:hint="eastAsia"/>
                <w:color w:val="auto"/>
                <w:highlight w:val="none"/>
                <w:u w:val="none"/>
              </w:rPr>
              <w:t>加强对施工场地的洒水降尘，场界处应建立防护围挡，减少施工扬尘溢出，</w:t>
            </w:r>
            <w:r>
              <w:rPr>
                <w:color w:val="auto"/>
                <w:highlight w:val="none"/>
                <w:u w:val="none"/>
                <w:lang w:bidi="en-US"/>
              </w:rPr>
              <w:t>随着施工期的结束，粉尘影响也随之消失。</w:t>
            </w:r>
          </w:p>
          <w:p>
            <w:pPr>
              <w:ind w:firstLine="480"/>
              <w:rPr>
                <w:rFonts w:hint="eastAsia"/>
                <w:color w:val="auto"/>
                <w:highlight w:val="none"/>
                <w:u w:val="none"/>
                <w:lang w:val="en-US" w:eastAsia="zh-CN"/>
              </w:rPr>
            </w:pPr>
            <w:r>
              <w:rPr>
                <w:rFonts w:hint="eastAsia"/>
                <w:color w:val="auto"/>
                <w:highlight w:val="none"/>
                <w:u w:val="none"/>
                <w:lang w:val="en-US" w:eastAsia="zh-CN"/>
              </w:rPr>
              <w:t>为了将产生的影响减小到最小，建设单位应参照《防治城市扬尘技术规范》要求，采取切实有效的降尘措施，具体如下：</w:t>
            </w:r>
          </w:p>
          <w:p>
            <w:pPr>
              <w:ind w:firstLine="480"/>
              <w:rPr>
                <w:rFonts w:hint="eastAsia"/>
                <w:color w:val="auto"/>
                <w:highlight w:val="none"/>
                <w:u w:val="none"/>
              </w:rPr>
            </w:pPr>
            <w:r>
              <w:rPr>
                <w:rFonts w:hint="eastAsia"/>
                <w:color w:val="auto"/>
                <w:highlight w:val="none"/>
                <w:u w:val="none"/>
                <w:lang w:val="en-US" w:eastAsia="zh-CN"/>
              </w:rPr>
              <w:t>A、</w:t>
            </w:r>
            <w:r>
              <w:rPr>
                <w:rFonts w:hint="eastAsia"/>
                <w:color w:val="auto"/>
                <w:highlight w:val="none"/>
                <w:u w:val="none"/>
              </w:rPr>
              <w:t>围挡、围栏及防溢座的设置</w:t>
            </w:r>
          </w:p>
          <w:p>
            <w:pPr>
              <w:ind w:firstLine="480"/>
              <w:rPr>
                <w:color w:val="auto"/>
                <w:highlight w:val="none"/>
                <w:u w:val="none"/>
              </w:rPr>
            </w:pPr>
            <w:r>
              <w:rPr>
                <w:rFonts w:hint="eastAsia"/>
                <w:color w:val="auto"/>
                <w:highlight w:val="none"/>
                <w:u w:val="none"/>
              </w:rPr>
              <w:t>施工期间，施工场地边界应设置高度</w:t>
            </w:r>
            <w:r>
              <w:rPr>
                <w:color w:val="auto"/>
                <w:highlight w:val="none"/>
                <w:u w:val="none"/>
              </w:rPr>
              <w:t>2.5</w:t>
            </w:r>
            <w:r>
              <w:rPr>
                <w:rFonts w:hint="eastAsia"/>
                <w:color w:val="auto"/>
                <w:highlight w:val="none"/>
                <w:u w:val="none"/>
              </w:rPr>
              <w:t>m以上的围挡。围挡底端应设置防溢座，围挡之间以及围挡与防溢座之间无缝隙。对于特殊地点无法设置围挡、围栏及防溢座的，应设置警示牌。</w:t>
            </w:r>
          </w:p>
          <w:p>
            <w:pPr>
              <w:ind w:firstLine="480"/>
              <w:rPr>
                <w:rFonts w:hint="eastAsia"/>
                <w:color w:val="auto"/>
                <w:highlight w:val="none"/>
                <w:u w:val="none"/>
              </w:rPr>
            </w:pPr>
            <w:r>
              <w:rPr>
                <w:rFonts w:hint="eastAsia"/>
                <w:color w:val="auto"/>
                <w:highlight w:val="none"/>
                <w:u w:val="none"/>
                <w:lang w:val="en-US" w:eastAsia="zh-CN"/>
              </w:rPr>
              <w:t>B、</w:t>
            </w:r>
            <w:r>
              <w:rPr>
                <w:rFonts w:hint="eastAsia"/>
                <w:color w:val="auto"/>
                <w:highlight w:val="none"/>
                <w:u w:val="none"/>
              </w:rPr>
              <w:t>土方工程防尘措施</w:t>
            </w:r>
          </w:p>
          <w:p>
            <w:pPr>
              <w:ind w:firstLine="480"/>
              <w:rPr>
                <w:color w:val="auto"/>
                <w:highlight w:val="none"/>
                <w:u w:val="none"/>
              </w:rPr>
            </w:pPr>
            <w:r>
              <w:rPr>
                <w:rFonts w:hint="eastAsia"/>
                <w:color w:val="auto"/>
                <w:highlight w:val="none"/>
                <w:u w:val="none"/>
              </w:rPr>
              <w:t>土方工程包括土的开挖、运输和填筑等施工过程，有时还需进行排水、降水、土壁支撑等准备工作。遇到干燥、易起尘的土方工程作业时，应辅以洒水压尘，尽量缩短起尘操作时间。遇到四级或四级以上大风天气，应停止土方作业，同时作业处覆以防尘网。</w:t>
            </w:r>
          </w:p>
          <w:p>
            <w:pPr>
              <w:ind w:firstLine="480"/>
              <w:rPr>
                <w:rFonts w:hint="eastAsia"/>
                <w:color w:val="auto"/>
                <w:highlight w:val="none"/>
                <w:u w:val="none"/>
              </w:rPr>
            </w:pPr>
            <w:r>
              <w:rPr>
                <w:rFonts w:hint="eastAsia"/>
                <w:color w:val="auto"/>
                <w:highlight w:val="none"/>
                <w:u w:val="none"/>
                <w:lang w:val="en-US" w:eastAsia="zh-CN"/>
              </w:rPr>
              <w:t>C、</w:t>
            </w:r>
            <w:r>
              <w:rPr>
                <w:rFonts w:hint="eastAsia"/>
                <w:color w:val="auto"/>
                <w:highlight w:val="none"/>
                <w:u w:val="none"/>
              </w:rPr>
              <w:t>建筑材料防尘措施</w:t>
            </w:r>
          </w:p>
          <w:p>
            <w:pPr>
              <w:ind w:firstLine="480"/>
              <w:rPr>
                <w:color w:val="auto"/>
                <w:highlight w:val="none"/>
                <w:u w:val="none"/>
              </w:rPr>
            </w:pPr>
            <w:r>
              <w:rPr>
                <w:rFonts w:hint="eastAsia"/>
                <w:color w:val="auto"/>
                <w:highlight w:val="none"/>
                <w:u w:val="none"/>
              </w:rPr>
              <w:t>施工过程中使用水泥、石灰、砂石、涂料、铺装材料等易产生扬尘的建筑材料，应采取下列措施之一：</w:t>
            </w:r>
          </w:p>
          <w:p>
            <w:pPr>
              <w:ind w:firstLine="480"/>
              <w:rPr>
                <w:color w:val="auto"/>
                <w:highlight w:val="none"/>
                <w:u w:val="none"/>
              </w:rPr>
            </w:pPr>
            <w:r>
              <w:rPr>
                <w:rFonts w:hint="eastAsia"/>
                <w:color w:val="auto"/>
                <w:highlight w:val="none"/>
                <w:u w:val="none"/>
                <w:lang w:val="en-US" w:eastAsia="zh-CN"/>
              </w:rPr>
              <w:t>a、</w:t>
            </w:r>
            <w:r>
              <w:rPr>
                <w:rFonts w:hint="eastAsia"/>
                <w:color w:val="auto"/>
                <w:highlight w:val="none"/>
                <w:u w:val="none"/>
              </w:rPr>
              <w:t>密闭存储；</w:t>
            </w:r>
          </w:p>
          <w:p>
            <w:pPr>
              <w:ind w:firstLine="480"/>
              <w:rPr>
                <w:color w:val="auto"/>
                <w:highlight w:val="none"/>
                <w:u w:val="none"/>
              </w:rPr>
            </w:pPr>
            <w:r>
              <w:rPr>
                <w:rFonts w:hint="eastAsia"/>
                <w:color w:val="auto"/>
                <w:highlight w:val="none"/>
                <w:u w:val="none"/>
                <w:lang w:val="en-US" w:eastAsia="zh-CN"/>
              </w:rPr>
              <w:t>b、</w:t>
            </w:r>
            <w:r>
              <w:rPr>
                <w:rFonts w:hint="eastAsia"/>
                <w:color w:val="auto"/>
                <w:highlight w:val="none"/>
                <w:u w:val="none"/>
              </w:rPr>
              <w:t>设置围挡或堆砌围墙；</w:t>
            </w:r>
          </w:p>
          <w:p>
            <w:pPr>
              <w:ind w:firstLine="480"/>
              <w:rPr>
                <w:color w:val="auto"/>
                <w:highlight w:val="none"/>
                <w:u w:val="none"/>
              </w:rPr>
            </w:pPr>
            <w:r>
              <w:rPr>
                <w:rFonts w:hint="eastAsia" w:ascii="宋体" w:hAnsi="宋体" w:cs="宋体"/>
                <w:color w:val="auto"/>
                <w:highlight w:val="none"/>
                <w:u w:val="none"/>
                <w:lang w:val="en-US" w:eastAsia="zh-CN"/>
              </w:rPr>
              <w:t>c</w:t>
            </w:r>
            <w:r>
              <w:rPr>
                <w:rFonts w:hint="eastAsia" w:ascii="宋体" w:hAnsi="宋体" w:cs="宋体"/>
                <w:color w:val="auto"/>
                <w:highlight w:val="none"/>
                <w:u w:val="none"/>
                <w:lang w:eastAsia="zh-CN"/>
              </w:rPr>
              <w:t>、</w:t>
            </w:r>
            <w:r>
              <w:rPr>
                <w:rFonts w:hint="eastAsia"/>
                <w:color w:val="auto"/>
                <w:highlight w:val="none"/>
                <w:u w:val="none"/>
              </w:rPr>
              <w:t>采用防尘布苫盖；</w:t>
            </w:r>
          </w:p>
          <w:p>
            <w:pPr>
              <w:ind w:firstLine="480"/>
              <w:rPr>
                <w:color w:val="auto"/>
                <w:highlight w:val="none"/>
                <w:u w:val="none"/>
              </w:rPr>
            </w:pPr>
            <w:r>
              <w:rPr>
                <w:rFonts w:hint="eastAsia"/>
                <w:color w:val="auto"/>
                <w:highlight w:val="none"/>
                <w:u w:val="none"/>
                <w:lang w:val="en-US" w:eastAsia="zh-CN"/>
              </w:rPr>
              <w:t>d</w:t>
            </w:r>
            <w:r>
              <w:rPr>
                <w:rFonts w:hint="eastAsia"/>
                <w:color w:val="auto"/>
                <w:highlight w:val="none"/>
                <w:u w:val="none"/>
                <w:lang w:eastAsia="zh-CN"/>
              </w:rPr>
              <w:t>、</w:t>
            </w:r>
            <w:r>
              <w:rPr>
                <w:rFonts w:hint="eastAsia"/>
                <w:color w:val="auto"/>
                <w:highlight w:val="none"/>
                <w:u w:val="none"/>
              </w:rPr>
              <w:t>其他有效的防尘措施。</w:t>
            </w:r>
          </w:p>
          <w:p>
            <w:pPr>
              <w:ind w:firstLine="480"/>
              <w:rPr>
                <w:rFonts w:hint="eastAsia"/>
                <w:color w:val="auto"/>
                <w:highlight w:val="none"/>
                <w:u w:val="none"/>
              </w:rPr>
            </w:pPr>
            <w:r>
              <w:rPr>
                <w:rFonts w:hint="eastAsia"/>
                <w:color w:val="auto"/>
                <w:highlight w:val="none"/>
                <w:u w:val="none"/>
                <w:lang w:val="en-US" w:eastAsia="zh-CN"/>
              </w:rPr>
              <w:t>D、</w:t>
            </w:r>
            <w:r>
              <w:rPr>
                <w:rFonts w:hint="eastAsia"/>
                <w:color w:val="auto"/>
                <w:highlight w:val="none"/>
                <w:u w:val="none"/>
              </w:rPr>
              <w:t>建筑垃圾防尘措施</w:t>
            </w:r>
          </w:p>
          <w:p>
            <w:pPr>
              <w:ind w:firstLine="480"/>
              <w:rPr>
                <w:color w:val="auto"/>
                <w:highlight w:val="none"/>
                <w:u w:val="none"/>
              </w:rPr>
            </w:pPr>
            <w:r>
              <w:rPr>
                <w:rFonts w:hint="eastAsia"/>
                <w:color w:val="auto"/>
                <w:highlight w:val="none"/>
                <w:u w:val="none"/>
              </w:rPr>
              <w:t>施工工程中产生的弃土、弃料及其他建筑垃圾，应及时清运。若在工地内堆置超过一周的，则应采取下列措施之一，防止风蚀起尘及水蚀迁移：</w:t>
            </w:r>
          </w:p>
          <w:p>
            <w:pPr>
              <w:ind w:firstLine="480"/>
              <w:rPr>
                <w:color w:val="auto"/>
                <w:highlight w:val="none"/>
                <w:u w:val="none"/>
              </w:rPr>
            </w:pPr>
            <w:r>
              <w:rPr>
                <w:rFonts w:hint="eastAsia"/>
                <w:color w:val="auto"/>
                <w:highlight w:val="none"/>
                <w:u w:val="none"/>
                <w:lang w:val="en-US" w:eastAsia="zh-CN"/>
              </w:rPr>
              <w:t>a、</w:t>
            </w:r>
            <w:r>
              <w:rPr>
                <w:rFonts w:hint="eastAsia"/>
                <w:color w:val="auto"/>
                <w:highlight w:val="none"/>
                <w:u w:val="none"/>
              </w:rPr>
              <w:t>覆盖防尘布、防尘网；</w:t>
            </w:r>
          </w:p>
          <w:p>
            <w:pPr>
              <w:ind w:firstLine="480"/>
              <w:rPr>
                <w:color w:val="auto"/>
                <w:highlight w:val="none"/>
                <w:u w:val="none"/>
              </w:rPr>
            </w:pPr>
            <w:r>
              <w:rPr>
                <w:rFonts w:hint="eastAsia"/>
                <w:color w:val="auto"/>
                <w:highlight w:val="none"/>
                <w:u w:val="none"/>
                <w:lang w:val="en-US" w:eastAsia="zh-CN"/>
              </w:rPr>
              <w:t>b、</w:t>
            </w:r>
            <w:r>
              <w:rPr>
                <w:rFonts w:hint="eastAsia"/>
                <w:color w:val="auto"/>
                <w:highlight w:val="none"/>
                <w:u w:val="none"/>
              </w:rPr>
              <w:t>定期喷洒抑尘剂；</w:t>
            </w:r>
          </w:p>
          <w:p>
            <w:pPr>
              <w:ind w:firstLine="480"/>
              <w:rPr>
                <w:color w:val="auto"/>
                <w:highlight w:val="none"/>
                <w:u w:val="none"/>
              </w:rPr>
            </w:pPr>
            <w:r>
              <w:rPr>
                <w:rFonts w:hint="eastAsia" w:ascii="宋体" w:hAnsi="宋体" w:cs="宋体"/>
                <w:color w:val="auto"/>
                <w:highlight w:val="none"/>
                <w:u w:val="none"/>
                <w:lang w:val="en-US" w:eastAsia="zh-CN"/>
              </w:rPr>
              <w:t>c</w:t>
            </w:r>
            <w:r>
              <w:rPr>
                <w:rFonts w:hint="eastAsia" w:ascii="宋体" w:hAnsi="宋体" w:cs="宋体"/>
                <w:color w:val="auto"/>
                <w:highlight w:val="none"/>
                <w:u w:val="none"/>
                <w:lang w:eastAsia="zh-CN"/>
              </w:rPr>
              <w:t>、</w:t>
            </w:r>
            <w:r>
              <w:rPr>
                <w:rFonts w:hint="eastAsia"/>
                <w:color w:val="auto"/>
                <w:highlight w:val="none"/>
                <w:u w:val="none"/>
              </w:rPr>
              <w:t>定期喷水压尘；</w:t>
            </w:r>
          </w:p>
          <w:p>
            <w:pPr>
              <w:ind w:firstLine="480"/>
              <w:rPr>
                <w:color w:val="auto"/>
                <w:highlight w:val="none"/>
                <w:u w:val="none"/>
              </w:rPr>
            </w:pPr>
            <w:r>
              <w:rPr>
                <w:rFonts w:hint="eastAsia"/>
                <w:color w:val="auto"/>
                <w:highlight w:val="none"/>
                <w:u w:val="none"/>
                <w:lang w:val="en-US" w:eastAsia="zh-CN"/>
              </w:rPr>
              <w:t>d</w:t>
            </w:r>
            <w:r>
              <w:rPr>
                <w:rFonts w:hint="eastAsia"/>
                <w:color w:val="auto"/>
                <w:highlight w:val="none"/>
                <w:u w:val="none"/>
                <w:lang w:eastAsia="zh-CN"/>
              </w:rPr>
              <w:t>、</w:t>
            </w:r>
            <w:r>
              <w:rPr>
                <w:rFonts w:hint="eastAsia"/>
                <w:color w:val="auto"/>
                <w:highlight w:val="none"/>
                <w:u w:val="none"/>
              </w:rPr>
              <w:t>其他有效的防尘措施。</w:t>
            </w:r>
          </w:p>
          <w:p>
            <w:pPr>
              <w:ind w:firstLine="480"/>
              <w:rPr>
                <w:color w:val="auto"/>
                <w:highlight w:val="none"/>
                <w:u w:val="none"/>
              </w:rPr>
            </w:pPr>
            <w:r>
              <w:rPr>
                <w:rFonts w:hint="eastAsia"/>
                <w:color w:val="auto"/>
                <w:highlight w:val="none"/>
                <w:u w:val="none"/>
                <w:lang w:val="en-US" w:eastAsia="zh-CN"/>
              </w:rPr>
              <w:t>E、</w:t>
            </w:r>
            <w:r>
              <w:rPr>
                <w:rFonts w:hint="eastAsia"/>
                <w:color w:val="auto"/>
                <w:highlight w:val="none"/>
                <w:u w:val="none"/>
              </w:rPr>
              <w:t>设置洗车平台，完善排水设施，防止泥土粘带。施工期间，应在物料、渣土、垃圾运输车辆的出口内侧设置洗车平台，车辆驶离工地前，应在洗车平台清洗轮胎及车身，不得带泥上路。</w:t>
            </w:r>
          </w:p>
          <w:p>
            <w:pPr>
              <w:ind w:firstLine="480"/>
              <w:rPr>
                <w:rFonts w:hint="eastAsia"/>
                <w:color w:val="auto"/>
                <w:highlight w:val="none"/>
                <w:u w:val="none"/>
              </w:rPr>
            </w:pPr>
            <w:r>
              <w:rPr>
                <w:rFonts w:hint="eastAsia"/>
                <w:color w:val="auto"/>
                <w:highlight w:val="none"/>
                <w:u w:val="none"/>
                <w:lang w:val="en-US" w:eastAsia="zh-CN"/>
              </w:rPr>
              <w:t>F、</w:t>
            </w:r>
            <w:r>
              <w:rPr>
                <w:rFonts w:hint="eastAsia"/>
                <w:color w:val="auto"/>
                <w:highlight w:val="none"/>
                <w:u w:val="none"/>
              </w:rPr>
              <w:t>施工工地</w:t>
            </w:r>
            <w:r>
              <w:rPr>
                <w:rFonts w:hint="eastAsia"/>
                <w:color w:val="auto"/>
                <w:highlight w:val="none"/>
                <w:u w:val="none"/>
                <w:lang w:val="en-US" w:eastAsia="zh-CN"/>
              </w:rPr>
              <w:t>便道</w:t>
            </w:r>
            <w:r>
              <w:rPr>
                <w:rFonts w:hint="eastAsia"/>
                <w:color w:val="auto"/>
                <w:highlight w:val="none"/>
                <w:u w:val="none"/>
              </w:rPr>
              <w:t>防尘措施</w:t>
            </w:r>
          </w:p>
          <w:p>
            <w:pPr>
              <w:ind w:firstLine="480"/>
              <w:rPr>
                <w:color w:val="auto"/>
                <w:highlight w:val="none"/>
                <w:u w:val="none"/>
              </w:rPr>
            </w:pPr>
            <w:r>
              <w:rPr>
                <w:rFonts w:hint="eastAsia"/>
                <w:color w:val="auto"/>
                <w:highlight w:val="none"/>
                <w:u w:val="none"/>
              </w:rPr>
              <w:t>施工期间，施工工地内及工地出口至铺装道路间的车行道路，应采取下列措施之一，并保持路面清洁，防止机动车扬尘：</w:t>
            </w:r>
          </w:p>
          <w:p>
            <w:pPr>
              <w:ind w:firstLine="480"/>
              <w:rPr>
                <w:color w:val="auto"/>
                <w:highlight w:val="none"/>
                <w:u w:val="none"/>
              </w:rPr>
            </w:pPr>
            <w:r>
              <w:rPr>
                <w:rFonts w:hint="eastAsia"/>
                <w:color w:val="auto"/>
                <w:highlight w:val="none"/>
                <w:u w:val="none"/>
                <w:lang w:val="en-US" w:eastAsia="zh-CN"/>
              </w:rPr>
              <w:t>a、</w:t>
            </w:r>
            <w:r>
              <w:rPr>
                <w:rFonts w:hint="eastAsia"/>
                <w:color w:val="auto"/>
                <w:highlight w:val="none"/>
                <w:u w:val="none"/>
              </w:rPr>
              <w:t>铺设钢板；</w:t>
            </w:r>
          </w:p>
          <w:p>
            <w:pPr>
              <w:ind w:firstLine="480"/>
              <w:rPr>
                <w:color w:val="auto"/>
                <w:highlight w:val="none"/>
                <w:u w:val="none"/>
              </w:rPr>
            </w:pPr>
            <w:r>
              <w:rPr>
                <w:rFonts w:hint="eastAsia"/>
                <w:color w:val="auto"/>
                <w:highlight w:val="none"/>
                <w:u w:val="none"/>
                <w:lang w:val="en-US" w:eastAsia="zh-CN"/>
              </w:rPr>
              <w:t>b、</w:t>
            </w:r>
            <w:r>
              <w:rPr>
                <w:rFonts w:hint="eastAsia"/>
                <w:color w:val="auto"/>
                <w:highlight w:val="none"/>
                <w:u w:val="none"/>
              </w:rPr>
              <w:t>铺设水泥混凝土；</w:t>
            </w:r>
          </w:p>
          <w:p>
            <w:pPr>
              <w:ind w:firstLine="480"/>
              <w:rPr>
                <w:color w:val="auto"/>
                <w:highlight w:val="none"/>
                <w:u w:val="none"/>
              </w:rPr>
            </w:pPr>
            <w:r>
              <w:rPr>
                <w:rFonts w:hint="eastAsia" w:ascii="宋体" w:hAnsi="宋体" w:cs="宋体"/>
                <w:color w:val="auto"/>
                <w:highlight w:val="none"/>
                <w:u w:val="none"/>
                <w:lang w:val="en-US" w:eastAsia="zh-CN"/>
              </w:rPr>
              <w:t>c</w:t>
            </w:r>
            <w:r>
              <w:rPr>
                <w:rFonts w:hint="eastAsia" w:ascii="宋体" w:hAnsi="宋体" w:cs="宋体"/>
                <w:color w:val="auto"/>
                <w:highlight w:val="none"/>
                <w:u w:val="none"/>
                <w:lang w:eastAsia="zh-CN"/>
              </w:rPr>
              <w:t>、</w:t>
            </w:r>
            <w:r>
              <w:rPr>
                <w:rFonts w:hint="eastAsia"/>
                <w:color w:val="auto"/>
                <w:highlight w:val="none"/>
                <w:u w:val="none"/>
              </w:rPr>
              <w:t>铺设用礁渣、细石或其它功能相当的材料等，并辅以洒水、喷洒抑尘剂等措施；</w:t>
            </w:r>
          </w:p>
          <w:p>
            <w:pPr>
              <w:ind w:firstLine="480"/>
              <w:rPr>
                <w:color w:val="auto"/>
                <w:highlight w:val="none"/>
                <w:u w:val="none"/>
              </w:rPr>
            </w:pPr>
            <w:r>
              <w:rPr>
                <w:rFonts w:hint="eastAsia"/>
                <w:color w:val="auto"/>
                <w:highlight w:val="none"/>
                <w:u w:val="none"/>
                <w:lang w:val="en-US" w:eastAsia="zh-CN"/>
              </w:rPr>
              <w:t>d</w:t>
            </w:r>
            <w:r>
              <w:rPr>
                <w:rFonts w:hint="eastAsia"/>
                <w:color w:val="auto"/>
                <w:highlight w:val="none"/>
                <w:u w:val="none"/>
                <w:lang w:eastAsia="zh-CN"/>
              </w:rPr>
              <w:t>、</w:t>
            </w:r>
            <w:r>
              <w:rPr>
                <w:rFonts w:hint="eastAsia"/>
                <w:color w:val="auto"/>
                <w:highlight w:val="none"/>
                <w:u w:val="none"/>
              </w:rPr>
              <w:t>其他有效的防尘措施。</w:t>
            </w:r>
          </w:p>
          <w:p>
            <w:pPr>
              <w:ind w:firstLine="480"/>
              <w:rPr>
                <w:rFonts w:hint="eastAsia"/>
                <w:color w:val="auto"/>
                <w:highlight w:val="none"/>
                <w:u w:val="none"/>
              </w:rPr>
            </w:pPr>
            <w:r>
              <w:rPr>
                <w:rFonts w:hint="eastAsia"/>
                <w:color w:val="auto"/>
                <w:highlight w:val="none"/>
                <w:u w:val="none"/>
                <w:lang w:val="en-US" w:eastAsia="zh-CN"/>
              </w:rPr>
              <w:t>G、</w:t>
            </w:r>
            <w:r>
              <w:rPr>
                <w:rFonts w:hint="eastAsia"/>
                <w:color w:val="auto"/>
                <w:highlight w:val="none"/>
                <w:u w:val="none"/>
              </w:rPr>
              <w:t>施工工地内部裸地防尘措施</w:t>
            </w:r>
          </w:p>
          <w:p>
            <w:pPr>
              <w:ind w:firstLine="480"/>
              <w:rPr>
                <w:color w:val="auto"/>
                <w:highlight w:val="none"/>
                <w:u w:val="none"/>
              </w:rPr>
            </w:pPr>
            <w:r>
              <w:rPr>
                <w:rFonts w:hint="eastAsia"/>
                <w:color w:val="auto"/>
                <w:highlight w:val="none"/>
                <w:u w:val="none"/>
              </w:rPr>
              <w:t>施工期间，对于工地内裸露地面，应采取下列防尘措施之一：</w:t>
            </w:r>
          </w:p>
          <w:p>
            <w:pPr>
              <w:ind w:firstLine="480"/>
              <w:rPr>
                <w:color w:val="auto"/>
                <w:highlight w:val="none"/>
                <w:u w:val="none"/>
              </w:rPr>
            </w:pPr>
            <w:r>
              <w:rPr>
                <w:rFonts w:hint="eastAsia"/>
                <w:color w:val="auto"/>
                <w:highlight w:val="none"/>
                <w:u w:val="none"/>
                <w:lang w:val="en-US" w:eastAsia="zh-CN"/>
              </w:rPr>
              <w:t>a、</w:t>
            </w:r>
            <w:r>
              <w:rPr>
                <w:rFonts w:hint="eastAsia"/>
                <w:color w:val="auto"/>
                <w:highlight w:val="none"/>
                <w:u w:val="none"/>
              </w:rPr>
              <w:t>覆盖防尘布或防尘网；</w:t>
            </w:r>
          </w:p>
          <w:p>
            <w:pPr>
              <w:ind w:firstLine="480"/>
              <w:rPr>
                <w:color w:val="auto"/>
                <w:highlight w:val="none"/>
                <w:u w:val="none"/>
              </w:rPr>
            </w:pPr>
            <w:r>
              <w:rPr>
                <w:rFonts w:hint="eastAsia"/>
                <w:color w:val="auto"/>
                <w:highlight w:val="none"/>
                <w:u w:val="none"/>
                <w:lang w:val="en-US" w:eastAsia="zh-CN"/>
              </w:rPr>
              <w:t>b、</w:t>
            </w:r>
            <w:r>
              <w:rPr>
                <w:rFonts w:hint="eastAsia"/>
                <w:color w:val="auto"/>
                <w:highlight w:val="none"/>
                <w:u w:val="none"/>
              </w:rPr>
              <w:t>铺设礁渣、细石或其他功能相当的材料；</w:t>
            </w:r>
          </w:p>
          <w:p>
            <w:pPr>
              <w:ind w:firstLine="480"/>
              <w:rPr>
                <w:color w:val="auto"/>
                <w:highlight w:val="none"/>
                <w:u w:val="none"/>
              </w:rPr>
            </w:pPr>
            <w:r>
              <w:rPr>
                <w:rFonts w:hint="eastAsia" w:ascii="宋体" w:hAnsi="宋体" w:cs="宋体"/>
                <w:color w:val="auto"/>
                <w:highlight w:val="none"/>
                <w:u w:val="none"/>
                <w:lang w:val="en-US" w:eastAsia="zh-CN"/>
              </w:rPr>
              <w:t>c</w:t>
            </w:r>
            <w:r>
              <w:rPr>
                <w:rFonts w:hint="eastAsia" w:ascii="宋体" w:hAnsi="宋体" w:cs="宋体"/>
                <w:color w:val="auto"/>
                <w:highlight w:val="none"/>
                <w:u w:val="none"/>
                <w:lang w:eastAsia="zh-CN"/>
              </w:rPr>
              <w:t>、</w:t>
            </w:r>
            <w:r>
              <w:rPr>
                <w:rFonts w:hint="eastAsia"/>
                <w:color w:val="auto"/>
                <w:highlight w:val="none"/>
                <w:u w:val="none"/>
              </w:rPr>
              <w:t>植被绿化；</w:t>
            </w:r>
          </w:p>
          <w:p>
            <w:pPr>
              <w:ind w:firstLine="480"/>
              <w:rPr>
                <w:color w:val="auto"/>
                <w:highlight w:val="none"/>
                <w:u w:val="none"/>
              </w:rPr>
            </w:pPr>
            <w:r>
              <w:rPr>
                <w:rFonts w:hint="eastAsia"/>
                <w:color w:val="auto"/>
                <w:highlight w:val="none"/>
                <w:u w:val="none"/>
                <w:lang w:val="en-US" w:eastAsia="zh-CN"/>
              </w:rPr>
              <w:t>d</w:t>
            </w:r>
            <w:r>
              <w:rPr>
                <w:rFonts w:hint="eastAsia"/>
                <w:color w:val="auto"/>
                <w:highlight w:val="none"/>
                <w:u w:val="none"/>
                <w:lang w:eastAsia="zh-CN"/>
              </w:rPr>
              <w:t>、</w:t>
            </w:r>
            <w:r>
              <w:rPr>
                <w:rFonts w:hint="eastAsia"/>
                <w:color w:val="auto"/>
                <w:highlight w:val="none"/>
                <w:u w:val="none"/>
              </w:rPr>
              <w:t>晴朗天气时，视情况每周等时间隔洒水二至七次，扬尘严重时应加大洒水频率；</w:t>
            </w:r>
          </w:p>
          <w:p>
            <w:pPr>
              <w:ind w:firstLine="480"/>
              <w:rPr>
                <w:color w:val="auto"/>
                <w:highlight w:val="none"/>
                <w:u w:val="none"/>
              </w:rPr>
            </w:pPr>
            <w:r>
              <w:rPr>
                <w:rFonts w:hint="eastAsia" w:ascii="宋体" w:hAnsi="宋体" w:cs="宋体"/>
                <w:color w:val="auto"/>
                <w:highlight w:val="none"/>
                <w:u w:val="none"/>
                <w:lang w:val="en-US" w:eastAsia="zh-CN"/>
              </w:rPr>
              <w:t>e、</w:t>
            </w:r>
            <w:r>
              <w:rPr>
                <w:rFonts w:hint="eastAsia"/>
                <w:color w:val="auto"/>
                <w:highlight w:val="none"/>
                <w:u w:val="none"/>
              </w:rPr>
              <w:t>根据抑尘剂性能，定期喷洒抑尘剂；</w:t>
            </w:r>
          </w:p>
          <w:p>
            <w:pPr>
              <w:ind w:firstLine="480"/>
              <w:rPr>
                <w:color w:val="auto"/>
                <w:highlight w:val="none"/>
                <w:u w:val="none"/>
              </w:rPr>
            </w:pPr>
            <w:r>
              <w:rPr>
                <w:rFonts w:hint="eastAsia" w:ascii="宋体" w:hAnsi="宋体" w:cs="宋体"/>
                <w:color w:val="auto"/>
                <w:highlight w:val="none"/>
                <w:u w:val="none"/>
                <w:lang w:val="en-US" w:eastAsia="zh-CN"/>
              </w:rPr>
              <w:t>f、</w:t>
            </w:r>
            <w:r>
              <w:rPr>
                <w:rFonts w:hint="eastAsia"/>
                <w:color w:val="auto"/>
                <w:highlight w:val="none"/>
                <w:u w:val="none"/>
              </w:rPr>
              <w:t>其他有效的防尘措施。</w:t>
            </w:r>
          </w:p>
          <w:p>
            <w:pPr>
              <w:ind w:firstLine="480"/>
              <w:rPr>
                <w:rFonts w:hint="eastAsia"/>
                <w:color w:val="auto"/>
                <w:highlight w:val="none"/>
                <w:u w:val="none"/>
              </w:rPr>
            </w:pPr>
            <w:r>
              <w:rPr>
                <w:rFonts w:hint="eastAsia"/>
                <w:color w:val="auto"/>
                <w:highlight w:val="none"/>
                <w:u w:val="none"/>
                <w:lang w:val="en-US" w:eastAsia="zh-CN"/>
              </w:rPr>
              <w:t>H、</w:t>
            </w:r>
            <w:r>
              <w:rPr>
                <w:rFonts w:hint="eastAsia"/>
                <w:color w:val="auto"/>
                <w:highlight w:val="none"/>
                <w:u w:val="none"/>
              </w:rPr>
              <w:t>混凝土的防尘措施</w:t>
            </w:r>
          </w:p>
          <w:p>
            <w:pPr>
              <w:ind w:firstLine="0"/>
              <w:rPr>
                <w:rFonts w:hint="eastAsia"/>
                <w:color w:val="auto"/>
                <w:highlight w:val="none"/>
              </w:rPr>
            </w:pPr>
            <w:r>
              <w:rPr>
                <w:rFonts w:hint="eastAsia"/>
                <w:color w:val="auto"/>
                <w:highlight w:val="none"/>
              </w:rPr>
              <w:t>施工期间需使用混凝土时，可使用预拌商品混凝土或者进行密闭搅拌并配备防尘除尘装置，</w:t>
            </w:r>
            <w:r>
              <w:rPr>
                <w:rFonts w:hint="eastAsia"/>
                <w:color w:val="auto"/>
                <w:highlight w:val="none"/>
                <w:lang w:val="en-US" w:eastAsia="zh-CN"/>
              </w:rPr>
              <w:t>采取湿法作业，</w:t>
            </w:r>
            <w:r>
              <w:rPr>
                <w:rFonts w:hint="eastAsia"/>
                <w:color w:val="auto"/>
                <w:highlight w:val="none"/>
              </w:rPr>
              <w:t>不得现场露天搅拌混凝土、消化石灰及拌石灰土等</w:t>
            </w:r>
            <w:r>
              <w:rPr>
                <w:rFonts w:hint="eastAsia"/>
                <w:color w:val="auto"/>
                <w:highlight w:val="none"/>
                <w:lang w:eastAsia="zh-CN"/>
              </w:rPr>
              <w:t>，</w:t>
            </w:r>
            <w:r>
              <w:rPr>
                <w:rFonts w:hint="eastAsia"/>
                <w:color w:val="auto"/>
                <w:sz w:val="24"/>
                <w:highlight w:val="none"/>
              </w:rPr>
              <w:t>采取</w:t>
            </w:r>
            <w:r>
              <w:rPr>
                <w:rFonts w:hint="eastAsia"/>
                <w:color w:val="auto"/>
                <w:sz w:val="24"/>
                <w:highlight w:val="none"/>
                <w:lang w:val="en-US" w:eastAsia="zh-CN"/>
              </w:rPr>
              <w:t>喷淋</w:t>
            </w:r>
            <w:r>
              <w:rPr>
                <w:rFonts w:hint="eastAsia"/>
                <w:color w:val="auto"/>
                <w:sz w:val="24"/>
                <w:highlight w:val="none"/>
              </w:rPr>
              <w:t>洒水降尘</w:t>
            </w:r>
            <w:r>
              <w:rPr>
                <w:rFonts w:hint="eastAsia"/>
                <w:color w:val="auto"/>
                <w:highlight w:val="none"/>
              </w:rPr>
              <w:t>。应尽量采用石材、木制等成品或半成品，实施装配式施工，减少因石材、木制品切割所造成的扬尘污染。</w:t>
            </w:r>
          </w:p>
          <w:p>
            <w:pPr>
              <w:bidi w:val="0"/>
              <w:rPr>
                <w:rFonts w:hint="eastAsia"/>
                <w:color w:val="auto"/>
                <w:highlight w:val="none"/>
                <w:u w:val="none"/>
                <w:lang w:val="en-US" w:eastAsia="zh-CN"/>
              </w:rPr>
            </w:pPr>
            <w:r>
              <w:rPr>
                <w:rFonts w:hint="eastAsia"/>
                <w:color w:val="auto"/>
                <w:highlight w:val="none"/>
                <w:u w:val="none"/>
                <w:lang w:val="en-US" w:eastAsia="zh-CN"/>
              </w:rPr>
              <w:t>采取以上扬尘治理措施后，其浓度可得到有效控制，能够实现达标排放，对区域大气环境影响不大。</w:t>
            </w:r>
          </w:p>
          <w:p>
            <w:pPr>
              <w:bidi w:val="0"/>
              <w:rPr>
                <w:color w:val="auto"/>
                <w:highlight w:val="none"/>
                <w:u w:val="none"/>
              </w:rPr>
            </w:pPr>
            <w:r>
              <w:rPr>
                <w:rFonts w:hint="default" w:ascii="Times New Roman" w:hAnsi="Times New Roman" w:cs="Times New Roman"/>
                <w:color w:val="auto"/>
                <w:highlight w:val="none"/>
                <w:u w:val="none"/>
                <w:lang w:val="en-US" w:eastAsia="zh-CN"/>
              </w:rPr>
              <w:t>②</w:t>
            </w:r>
            <w:r>
              <w:rPr>
                <w:color w:val="auto"/>
                <w:highlight w:val="none"/>
                <w:u w:val="none"/>
              </w:rPr>
              <w:t>道路运输扬尘</w:t>
            </w:r>
          </w:p>
          <w:p>
            <w:pPr>
              <w:bidi w:val="0"/>
              <w:rPr>
                <w:rFonts w:hint="default"/>
                <w:color w:val="auto"/>
                <w:highlight w:val="none"/>
                <w:lang w:val="en-US" w:eastAsia="zh-CN"/>
              </w:rPr>
            </w:pPr>
            <w:r>
              <w:rPr>
                <w:rFonts w:hint="eastAsia"/>
                <w:color w:val="auto"/>
                <w:highlight w:val="none"/>
                <w:lang w:eastAsia="zh-CN"/>
              </w:rPr>
              <w:t>运输车辆</w:t>
            </w:r>
            <w:r>
              <w:rPr>
                <w:color w:val="auto"/>
                <w:highlight w:val="none"/>
              </w:rPr>
              <w:t>在运输土石方、建筑原料的过程中，车轮从施工场地、未铺装道路等携带的泥块、沙尘、物料以及车载土石方、建筑原料均会抖落遗撒，经往来车辆的碾压后形成粒径较小的颗粒物进入空气，形成道路运输扬尘。为减少交通运输产生的扬尘对环境的影响。建设单位应采取以下治理措施：限制汽车超载，运输时用篷布遮盖，防止物料洒落；无雨日</w:t>
            </w:r>
            <w:r>
              <w:rPr>
                <w:rFonts w:hint="eastAsia"/>
                <w:color w:val="auto"/>
                <w:highlight w:val="none"/>
                <w:lang w:val="en-US" w:eastAsia="zh-CN"/>
              </w:rPr>
              <w:t>采用洒水车喷水降尘</w:t>
            </w:r>
            <w:r>
              <w:rPr>
                <w:color w:val="auto"/>
                <w:highlight w:val="none"/>
              </w:rPr>
              <w:t>；严格管理车辆，在经过村庄时减速行驶。搞好施工临时</w:t>
            </w:r>
            <w:r>
              <w:rPr>
                <w:rFonts w:hint="eastAsia"/>
                <w:color w:val="auto"/>
                <w:highlight w:val="none"/>
                <w:lang w:val="en-US" w:eastAsia="zh-CN"/>
              </w:rPr>
              <w:t>便道</w:t>
            </w:r>
            <w:r>
              <w:rPr>
                <w:color w:val="auto"/>
                <w:highlight w:val="none"/>
              </w:rPr>
              <w:t>的绿化，栽植行道树，降低粉尘。</w:t>
            </w:r>
          </w:p>
          <w:p>
            <w:pPr>
              <w:numPr>
                <w:ilvl w:val="0"/>
                <w:numId w:val="0"/>
              </w:numPr>
              <w:ind w:leftChars="200"/>
              <w:rPr>
                <w:rFonts w:hint="eastAsia"/>
                <w:color w:val="auto"/>
                <w:highlight w:val="none"/>
                <w:u w:val="none"/>
                <w:lang w:val="en-US" w:eastAsia="zh-CN"/>
              </w:rPr>
            </w:pPr>
            <w:r>
              <w:rPr>
                <w:rFonts w:hint="default" w:ascii="Times New Roman" w:hAnsi="Times New Roman" w:cs="Times New Roman"/>
                <w:color w:val="auto"/>
                <w:highlight w:val="none"/>
                <w:u w:val="none"/>
                <w:lang w:val="en-US" w:eastAsia="zh-CN"/>
              </w:rPr>
              <w:t>③</w:t>
            </w:r>
            <w:r>
              <w:rPr>
                <w:rFonts w:hint="eastAsia"/>
                <w:color w:val="auto"/>
                <w:highlight w:val="none"/>
                <w:u w:val="none"/>
                <w:lang w:val="en-US" w:eastAsia="zh-CN"/>
              </w:rPr>
              <w:t>动力燃油废气</w:t>
            </w:r>
          </w:p>
          <w:p>
            <w:pPr>
              <w:bidi w:val="0"/>
              <w:rPr>
                <w:rFonts w:hint="eastAsia"/>
                <w:color w:val="auto"/>
                <w:highlight w:val="none"/>
                <w:u w:val="none"/>
                <w:lang w:val="en-US" w:eastAsia="zh-CN"/>
              </w:rPr>
            </w:pPr>
            <w:r>
              <w:rPr>
                <w:rFonts w:hint="eastAsia"/>
                <w:color w:val="auto"/>
                <w:highlight w:val="none"/>
                <w:u w:val="none"/>
                <w:lang w:val="en-US" w:eastAsia="zh-CN"/>
              </w:rPr>
              <w:t>施工单位在运输原材料、施工设备以及施工机械设备在运行过程中均会排放一定量的CO、NOx以及未完全燃烧的THC等，其特点是排放量小，属间断性排放。加之本项目施工场地开阔，扩散条件良好，因此施工机械废气可实现达标排放。施工单位在施工期内安排专人加强施工机械维护，确保机械设备正常运行，</w:t>
            </w:r>
            <w:r>
              <w:rPr>
                <w:color w:val="auto"/>
                <w:highlight w:val="none"/>
                <w:u w:val="none"/>
              </w:rPr>
              <w:t>对运输车辆安装尾气净化器</w:t>
            </w:r>
            <w:r>
              <w:rPr>
                <w:rFonts w:hint="eastAsia"/>
                <w:color w:val="auto"/>
                <w:highlight w:val="none"/>
                <w:u w:val="none"/>
                <w:lang w:eastAsia="zh-CN"/>
              </w:rPr>
              <w:t>，</w:t>
            </w:r>
            <w:r>
              <w:rPr>
                <w:color w:val="auto"/>
                <w:highlight w:val="none"/>
                <w:u w:val="none"/>
              </w:rPr>
              <w:t>保证尾气达标排放</w:t>
            </w:r>
            <w:r>
              <w:rPr>
                <w:rFonts w:hint="eastAsia"/>
                <w:color w:val="auto"/>
                <w:highlight w:val="none"/>
                <w:u w:val="none"/>
                <w:lang w:val="en-US" w:eastAsia="zh-CN"/>
              </w:rPr>
              <w:t>。</w:t>
            </w:r>
          </w:p>
          <w:p>
            <w:pPr>
              <w:bidi w:val="0"/>
              <w:rPr>
                <w:rFonts w:hint="eastAsia"/>
                <w:color w:val="auto"/>
                <w:highlight w:val="none"/>
                <w:u w:val="none"/>
                <w:lang w:val="en-US" w:eastAsia="zh-CN"/>
              </w:rPr>
            </w:pPr>
            <w:r>
              <w:rPr>
                <w:rFonts w:hint="default" w:ascii="Times New Roman" w:hAnsi="Times New Roman" w:eastAsia="微软雅黑" w:cs="Times New Roman"/>
                <w:color w:val="auto"/>
                <w:highlight w:val="none"/>
                <w:u w:val="none"/>
                <w:lang w:val="en-US" w:eastAsia="zh-CN"/>
              </w:rPr>
              <w:t>④</w:t>
            </w:r>
            <w:r>
              <w:rPr>
                <w:rFonts w:hint="eastAsia"/>
                <w:color w:val="auto"/>
                <w:highlight w:val="none"/>
                <w:u w:val="none"/>
                <w:lang w:val="en-US" w:eastAsia="zh-CN"/>
              </w:rPr>
              <w:t>柴油发电机废气</w:t>
            </w:r>
          </w:p>
          <w:p>
            <w:pPr>
              <w:bidi w:val="0"/>
              <w:rPr>
                <w:rFonts w:hint="default"/>
                <w:color w:val="auto"/>
                <w:highlight w:val="none"/>
                <w:u w:val="none"/>
                <w:lang w:val="en-US" w:eastAsia="zh-CN"/>
              </w:rPr>
            </w:pPr>
            <w:r>
              <w:rPr>
                <w:rFonts w:hint="eastAsia"/>
                <w:color w:val="auto"/>
                <w:highlight w:val="none"/>
                <w:u w:val="none"/>
                <w:lang w:val="en-US" w:eastAsia="zh-CN"/>
              </w:rPr>
              <w:t>本项目配备2台30kw的柴油发电机，一备一用，安装在左岸堤防附近的施工工区，作为应急电源。本项目柴油使用含硫率小于0.2%的0#优质轻柴油，柴油使用量为26.7t（柴油随用随购），本项目施工采用附近市政电网供电，并设置备用柴油发电机作为应急电源，发电机位置较固定，根据环评工程师注册培训教材《社会区域》给出的计算参数可知，柴油燃烧的污染物排放系数为：SO</w:t>
            </w:r>
            <w:r>
              <w:rPr>
                <w:rFonts w:hint="eastAsia"/>
                <w:color w:val="auto"/>
                <w:highlight w:val="none"/>
                <w:u w:val="none"/>
                <w:vertAlign w:val="subscript"/>
                <w:lang w:val="en-US" w:eastAsia="zh-CN"/>
              </w:rPr>
              <w:t>2</w:t>
            </w:r>
            <w:r>
              <w:rPr>
                <w:rFonts w:hint="eastAsia"/>
                <w:color w:val="auto"/>
                <w:highlight w:val="none"/>
                <w:u w:val="none"/>
                <w:lang w:val="en-US" w:eastAsia="zh-CN"/>
              </w:rPr>
              <w:t>：2.24kg/t，烟尘：0.31kg/t，NOx：2.92kg/t。故本项目柴油发电机排污产生量为：SO</w:t>
            </w:r>
            <w:r>
              <w:rPr>
                <w:rFonts w:hint="eastAsia"/>
                <w:color w:val="auto"/>
                <w:highlight w:val="none"/>
                <w:u w:val="none"/>
                <w:vertAlign w:val="subscript"/>
                <w:lang w:val="en-US" w:eastAsia="zh-CN"/>
              </w:rPr>
              <w:t>2</w:t>
            </w:r>
            <w:r>
              <w:rPr>
                <w:rFonts w:hint="eastAsia"/>
                <w:color w:val="auto"/>
                <w:highlight w:val="none"/>
                <w:u w:val="none"/>
                <w:lang w:val="en-US" w:eastAsia="zh-CN"/>
              </w:rPr>
              <w:t>：60.48kg，烟尘：8.28kg，NOx：77.96kg。</w:t>
            </w:r>
          </w:p>
          <w:p>
            <w:pPr>
              <w:bidi w:val="0"/>
              <w:rPr>
                <w:rFonts w:hint="eastAsia"/>
                <w:color w:val="auto"/>
                <w:highlight w:val="none"/>
                <w:u w:val="none"/>
                <w:lang w:val="en-US" w:eastAsia="zh-CN"/>
              </w:rPr>
            </w:pPr>
            <w:r>
              <w:rPr>
                <w:rFonts w:hint="eastAsia"/>
                <w:color w:val="auto"/>
                <w:highlight w:val="none"/>
                <w:u w:val="none"/>
                <w:lang w:val="en-US" w:eastAsia="zh-CN"/>
              </w:rPr>
              <w:t>柴油发电机作为应急电源，使用频次较少，产生的烟气经自带的烟气净化系统处理后排放，自然扩散，施工场地开阔，对周围环境空气影响较小。另一方面，由于施工期较短，施工期结束后这种影响就会消失。</w:t>
            </w:r>
          </w:p>
          <w:p>
            <w:pPr>
              <w:bidi w:val="0"/>
              <w:rPr>
                <w:rFonts w:hint="default" w:cs="Times New Roman"/>
                <w:color w:val="auto"/>
                <w:highlight w:val="none"/>
                <w:u w:val="none"/>
                <w:lang w:val="en-US" w:eastAsia="zh-CN"/>
              </w:rPr>
            </w:pPr>
            <w:r>
              <w:rPr>
                <w:rFonts w:hint="eastAsia" w:cs="Times New Roman"/>
                <w:color w:val="auto"/>
                <w:highlight w:val="none"/>
                <w:u w:val="none"/>
                <w:lang w:val="en-US" w:eastAsia="zh-CN"/>
              </w:rPr>
              <w:t>综上所述，本工程施工期间废气对周边环境影响较小。</w:t>
            </w:r>
          </w:p>
          <w:p>
            <w:pPr>
              <w:numPr>
                <w:ilvl w:val="0"/>
                <w:numId w:val="7"/>
              </w:numPr>
              <w:ind w:left="0" w:leftChars="0" w:firstLine="482" w:firstLineChars="200"/>
              <w:rPr>
                <w:rFonts w:hint="eastAsia"/>
                <w:b/>
                <w:bCs/>
                <w:color w:val="auto"/>
                <w:highlight w:val="none"/>
                <w:lang w:val="en-US" w:eastAsia="zh-CN"/>
              </w:rPr>
            </w:pPr>
            <w:r>
              <w:rPr>
                <w:rFonts w:hint="eastAsia"/>
                <w:b/>
                <w:bCs/>
                <w:color w:val="auto"/>
                <w:highlight w:val="none"/>
                <w:lang w:val="en-US" w:eastAsia="zh-CN"/>
              </w:rPr>
              <w:t>声环境影响分析</w:t>
            </w:r>
          </w:p>
          <w:p>
            <w:pPr>
              <w:bidi w:val="0"/>
              <w:rPr>
                <w:rFonts w:hint="eastAsia"/>
                <w:bCs/>
                <w:color w:val="auto"/>
                <w:sz w:val="24"/>
                <w:highlight w:val="none"/>
              </w:rPr>
            </w:pPr>
            <w:r>
              <w:rPr>
                <w:rFonts w:hint="eastAsia" w:ascii="Times New Roman" w:hAnsi="Times New Roman" w:cs="Times New Roman"/>
                <w:b w:val="0"/>
                <w:bCs/>
                <w:color w:val="auto"/>
                <w:sz w:val="24"/>
                <w:szCs w:val="24"/>
                <w:highlight w:val="none"/>
                <w:u w:val="none"/>
                <w:lang w:val="en-US" w:eastAsia="zh-CN"/>
              </w:rPr>
              <w:t>工程施工噪声主要来自开挖、填筑等施工活动以及施工机械运行、车辆运输等</w:t>
            </w:r>
            <w:r>
              <w:rPr>
                <w:rFonts w:hint="eastAsia" w:cs="Times New Roman"/>
                <w:b w:val="0"/>
                <w:bCs/>
                <w:color w:val="auto"/>
                <w:sz w:val="24"/>
                <w:szCs w:val="24"/>
                <w:highlight w:val="none"/>
                <w:u w:val="none"/>
                <w:lang w:val="en-US" w:eastAsia="zh-CN"/>
              </w:rPr>
              <w:t>，</w:t>
            </w:r>
            <w:r>
              <w:rPr>
                <w:rFonts w:hint="default"/>
                <w:color w:val="auto"/>
                <w:highlight w:val="none"/>
                <w:u w:val="none"/>
                <w:lang w:val="en-US" w:eastAsia="zh-CN"/>
              </w:rPr>
              <w:t>主要位于工程现场和施工基地</w:t>
            </w:r>
            <w:r>
              <w:rPr>
                <w:rFonts w:hint="eastAsia"/>
                <w:color w:val="auto"/>
                <w:highlight w:val="none"/>
                <w:u w:val="none"/>
                <w:lang w:val="en-US" w:eastAsia="zh-CN"/>
              </w:rPr>
              <w:t>。</w:t>
            </w:r>
            <w:r>
              <w:rPr>
                <w:rFonts w:hint="eastAsia"/>
                <w:bCs/>
                <w:color w:val="auto"/>
                <w:sz w:val="24"/>
                <w:highlight w:val="none"/>
              </w:rPr>
              <w:t>施工期主要产噪声设备、运输车辆及其所产生的噪声值见下表。</w:t>
            </w:r>
          </w:p>
          <w:p>
            <w:pPr>
              <w:pStyle w:val="16"/>
              <w:bidi w:val="0"/>
              <w:rPr>
                <w:color w:val="auto"/>
                <w:highlight w:val="none"/>
              </w:rPr>
            </w:pPr>
            <w:r>
              <w:rPr>
                <w:rFonts w:hint="eastAsia"/>
                <w:color w:val="auto"/>
                <w:highlight w:val="none"/>
              </w:rPr>
              <w:t>表4-</w:t>
            </w:r>
            <w:r>
              <w:rPr>
                <w:rFonts w:hint="eastAsia"/>
                <w:color w:val="auto"/>
                <w:highlight w:val="none"/>
                <w:lang w:val="en-US" w:eastAsia="zh-CN"/>
              </w:rPr>
              <w:t>3</w:t>
            </w:r>
            <w:r>
              <w:rPr>
                <w:rFonts w:hint="eastAsia"/>
                <w:color w:val="auto"/>
                <w:highlight w:val="none"/>
              </w:rPr>
              <w:t xml:space="preserve">  施工期主要设备噪声源强度表</w:t>
            </w:r>
          </w:p>
          <w:tbl>
            <w:tblPr>
              <w:tblStyle w:val="11"/>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30"/>
              <w:gridCol w:w="3099"/>
              <w:gridCol w:w="2024"/>
              <w:gridCol w:w="223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65" w:type="pct"/>
                  <w:noWrap w:val="0"/>
                  <w:vAlign w:val="center"/>
                </w:tcPr>
                <w:p>
                  <w:pPr>
                    <w:pStyle w:val="15"/>
                    <w:bidi w:val="0"/>
                    <w:rPr>
                      <w:b/>
                      <w:bCs/>
                      <w:color w:val="auto"/>
                      <w:highlight w:val="none"/>
                    </w:rPr>
                  </w:pPr>
                  <w:r>
                    <w:rPr>
                      <w:rFonts w:hint="eastAsia"/>
                      <w:b/>
                      <w:bCs/>
                      <w:color w:val="auto"/>
                      <w:highlight w:val="none"/>
                    </w:rPr>
                    <w:t>序号</w:t>
                  </w:r>
                </w:p>
              </w:tc>
              <w:tc>
                <w:tcPr>
                  <w:tcW w:w="1824" w:type="pct"/>
                  <w:noWrap w:val="0"/>
                  <w:vAlign w:val="center"/>
                </w:tcPr>
                <w:p>
                  <w:pPr>
                    <w:pStyle w:val="15"/>
                    <w:bidi w:val="0"/>
                    <w:rPr>
                      <w:rFonts w:hint="eastAsia"/>
                      <w:b/>
                      <w:bCs/>
                      <w:color w:val="auto"/>
                      <w:highlight w:val="none"/>
                    </w:rPr>
                  </w:pPr>
                  <w:r>
                    <w:rPr>
                      <w:rFonts w:hint="eastAsia"/>
                      <w:b/>
                      <w:bCs/>
                      <w:color w:val="auto"/>
                      <w:highlight w:val="none"/>
                    </w:rPr>
                    <w:t>机械名称</w:t>
                  </w:r>
                </w:p>
              </w:tc>
              <w:tc>
                <w:tcPr>
                  <w:tcW w:w="1191" w:type="pct"/>
                  <w:noWrap w:val="0"/>
                  <w:vAlign w:val="center"/>
                </w:tcPr>
                <w:p>
                  <w:pPr>
                    <w:pStyle w:val="15"/>
                    <w:bidi w:val="0"/>
                    <w:rPr>
                      <w:b/>
                      <w:bCs/>
                      <w:color w:val="auto"/>
                      <w:highlight w:val="none"/>
                    </w:rPr>
                  </w:pPr>
                  <w:r>
                    <w:rPr>
                      <w:rFonts w:hint="eastAsia"/>
                      <w:b/>
                      <w:bCs/>
                      <w:color w:val="auto"/>
                      <w:highlight w:val="none"/>
                    </w:rPr>
                    <w:t>Lmax(dB(A))</w:t>
                  </w:r>
                </w:p>
              </w:tc>
              <w:tc>
                <w:tcPr>
                  <w:tcW w:w="1318" w:type="pct"/>
                  <w:noWrap w:val="0"/>
                  <w:vAlign w:val="center"/>
                </w:tcPr>
                <w:p>
                  <w:pPr>
                    <w:pStyle w:val="15"/>
                    <w:bidi w:val="0"/>
                    <w:rPr>
                      <w:rFonts w:hint="eastAsia"/>
                      <w:b/>
                      <w:bCs/>
                      <w:color w:val="auto"/>
                      <w:highlight w:val="none"/>
                    </w:rPr>
                  </w:pPr>
                  <w:r>
                    <w:rPr>
                      <w:rFonts w:hint="eastAsia"/>
                      <w:b/>
                      <w:bCs/>
                      <w:color w:val="auto"/>
                      <w:highlight w:val="none"/>
                    </w:rPr>
                    <w:t>声源特点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3" w:hRule="atLeast"/>
                <w:jc w:val="center"/>
              </w:trPr>
              <w:tc>
                <w:tcPr>
                  <w:tcW w:w="665" w:type="pct"/>
                  <w:noWrap w:val="0"/>
                  <w:vAlign w:val="center"/>
                </w:tcPr>
                <w:p>
                  <w:pPr>
                    <w:pStyle w:val="15"/>
                    <w:bidi w:val="0"/>
                    <w:rPr>
                      <w:rFonts w:hint="eastAsia"/>
                      <w:color w:val="auto"/>
                      <w:highlight w:val="none"/>
                      <w:lang w:val="en-US"/>
                    </w:rPr>
                  </w:pPr>
                  <w:r>
                    <w:rPr>
                      <w:rFonts w:hint="eastAsia"/>
                      <w:color w:val="auto"/>
                      <w:highlight w:val="none"/>
                      <w:lang w:val="en-US"/>
                    </w:rPr>
                    <w:t>1</w:t>
                  </w:r>
                </w:p>
              </w:tc>
              <w:tc>
                <w:tcPr>
                  <w:tcW w:w="3099" w:type="dxa"/>
                  <w:noWrap w:val="0"/>
                  <w:vAlign w:val="top"/>
                </w:tcPr>
                <w:p>
                  <w:pPr>
                    <w:pStyle w:val="15"/>
                    <w:bidi w:val="0"/>
                    <w:ind w:firstLine="0" w:firstLineChars="0"/>
                    <w:rPr>
                      <w:color w:val="auto"/>
                      <w:highlight w:val="none"/>
                    </w:rPr>
                  </w:pPr>
                  <w:r>
                    <w:rPr>
                      <w:color w:val="auto"/>
                      <w:highlight w:val="none"/>
                    </w:rPr>
                    <w:t>挖土机</w:t>
                  </w:r>
                </w:p>
              </w:tc>
              <w:tc>
                <w:tcPr>
                  <w:tcW w:w="2024" w:type="dxa"/>
                  <w:noWrap w:val="0"/>
                  <w:vAlign w:val="center"/>
                </w:tcPr>
                <w:p>
                  <w:pPr>
                    <w:pStyle w:val="15"/>
                    <w:keepNext w:val="0"/>
                    <w:keepLines w:val="0"/>
                    <w:widowControl/>
                    <w:suppressLineNumbers w:val="0"/>
                    <w:bidi w:val="0"/>
                    <w:spacing w:before="0" w:beforeAutospacing="0" w:after="0" w:afterAutospacing="0"/>
                    <w:ind w:left="0" w:leftChars="0" w:right="0" w:rightChars="0" w:firstLine="0" w:firstLineChars="0"/>
                    <w:jc w:val="center"/>
                    <w:rPr>
                      <w:color w:val="auto"/>
                      <w:highlight w:val="none"/>
                      <w:lang w:val="en-US"/>
                    </w:rPr>
                  </w:pPr>
                  <w:r>
                    <w:rPr>
                      <w:rFonts w:hint="eastAsia" w:cs="Times New Roman"/>
                      <w:color w:val="auto"/>
                      <w:highlight w:val="none"/>
                      <w:u w:val="none"/>
                      <w:lang w:val="en-US" w:eastAsia="zh-CN"/>
                    </w:rPr>
                    <w:t>85</w:t>
                  </w:r>
                </w:p>
              </w:tc>
              <w:tc>
                <w:tcPr>
                  <w:tcW w:w="1318" w:type="pct"/>
                  <w:noWrap w:val="0"/>
                  <w:vAlign w:val="top"/>
                </w:tcPr>
                <w:p>
                  <w:pPr>
                    <w:pStyle w:val="15"/>
                    <w:bidi w:val="0"/>
                    <w:rPr>
                      <w:rFonts w:hint="eastAsia"/>
                      <w:color w:val="auto"/>
                      <w:highlight w:val="none"/>
                    </w:rPr>
                  </w:pPr>
                  <w:r>
                    <w:rPr>
                      <w:rFonts w:hint="eastAsia"/>
                      <w:color w:val="auto"/>
                      <w:highlight w:val="none"/>
                    </w:rPr>
                    <w:t>不稳态源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4" w:hRule="atLeast"/>
                <w:jc w:val="center"/>
              </w:trPr>
              <w:tc>
                <w:tcPr>
                  <w:tcW w:w="665" w:type="pct"/>
                  <w:noWrap w:val="0"/>
                  <w:vAlign w:val="center"/>
                </w:tcPr>
                <w:p>
                  <w:pPr>
                    <w:pStyle w:val="15"/>
                    <w:bidi w:val="0"/>
                    <w:rPr>
                      <w:rFonts w:hint="eastAsia"/>
                      <w:color w:val="auto"/>
                      <w:highlight w:val="none"/>
                      <w:lang w:val="en-US"/>
                    </w:rPr>
                  </w:pPr>
                  <w:r>
                    <w:rPr>
                      <w:rFonts w:hint="eastAsia"/>
                      <w:color w:val="auto"/>
                      <w:highlight w:val="none"/>
                      <w:lang w:val="en-US"/>
                    </w:rPr>
                    <w:t>2</w:t>
                  </w:r>
                </w:p>
              </w:tc>
              <w:tc>
                <w:tcPr>
                  <w:tcW w:w="3099" w:type="dxa"/>
                  <w:noWrap w:val="0"/>
                  <w:vAlign w:val="top"/>
                </w:tcPr>
                <w:p>
                  <w:pPr>
                    <w:pStyle w:val="15"/>
                    <w:bidi w:val="0"/>
                    <w:ind w:firstLine="0" w:firstLineChars="0"/>
                    <w:rPr>
                      <w:rFonts w:hint="eastAsia"/>
                      <w:color w:val="auto"/>
                      <w:highlight w:val="none"/>
                    </w:rPr>
                  </w:pPr>
                  <w:r>
                    <w:rPr>
                      <w:color w:val="auto"/>
                      <w:highlight w:val="none"/>
                    </w:rPr>
                    <w:t>推土机</w:t>
                  </w:r>
                </w:p>
              </w:tc>
              <w:tc>
                <w:tcPr>
                  <w:tcW w:w="2024" w:type="dxa"/>
                  <w:noWrap w:val="0"/>
                  <w:vAlign w:val="center"/>
                </w:tcPr>
                <w:p>
                  <w:pPr>
                    <w:pStyle w:val="15"/>
                    <w:keepNext w:val="0"/>
                    <w:keepLines w:val="0"/>
                    <w:widowControl/>
                    <w:suppressLineNumbers w:val="0"/>
                    <w:bidi w:val="0"/>
                    <w:spacing w:before="0" w:beforeAutospacing="0" w:after="0" w:afterAutospacing="0"/>
                    <w:ind w:left="0" w:leftChars="0" w:right="0" w:rightChars="0" w:firstLine="0" w:firstLineChars="0"/>
                    <w:jc w:val="center"/>
                    <w:rPr>
                      <w:color w:val="auto"/>
                      <w:highlight w:val="none"/>
                      <w:lang w:val="en-US"/>
                    </w:rPr>
                  </w:pPr>
                  <w:r>
                    <w:rPr>
                      <w:rFonts w:hint="eastAsia" w:cs="Times New Roman"/>
                      <w:color w:val="auto"/>
                      <w:highlight w:val="none"/>
                      <w:u w:val="none"/>
                      <w:lang w:val="en-US" w:eastAsia="zh-CN"/>
                    </w:rPr>
                    <w:t>85</w:t>
                  </w:r>
                </w:p>
              </w:tc>
              <w:tc>
                <w:tcPr>
                  <w:tcW w:w="1318" w:type="pct"/>
                  <w:noWrap w:val="0"/>
                  <w:vAlign w:val="top"/>
                </w:tcPr>
                <w:p>
                  <w:pPr>
                    <w:pStyle w:val="15"/>
                    <w:bidi w:val="0"/>
                    <w:rPr>
                      <w:rFonts w:hint="eastAsia"/>
                      <w:color w:val="auto"/>
                      <w:highlight w:val="none"/>
                    </w:rPr>
                  </w:pPr>
                  <w:r>
                    <w:rPr>
                      <w:rFonts w:hint="eastAsia"/>
                      <w:color w:val="auto"/>
                      <w:highlight w:val="none"/>
                    </w:rPr>
                    <w:t>不稳态源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4" w:hRule="atLeast"/>
                <w:jc w:val="center"/>
              </w:trPr>
              <w:tc>
                <w:tcPr>
                  <w:tcW w:w="665" w:type="pct"/>
                  <w:noWrap w:val="0"/>
                  <w:vAlign w:val="center"/>
                </w:tcPr>
                <w:p>
                  <w:pPr>
                    <w:pStyle w:val="15"/>
                    <w:bidi w:val="0"/>
                    <w:rPr>
                      <w:rFonts w:hint="eastAsia"/>
                      <w:color w:val="auto"/>
                      <w:highlight w:val="none"/>
                      <w:lang w:val="en-US"/>
                    </w:rPr>
                  </w:pPr>
                  <w:r>
                    <w:rPr>
                      <w:rFonts w:hint="eastAsia"/>
                      <w:color w:val="auto"/>
                      <w:highlight w:val="none"/>
                      <w:lang w:val="en-US"/>
                    </w:rPr>
                    <w:t>3</w:t>
                  </w:r>
                </w:p>
              </w:tc>
              <w:tc>
                <w:tcPr>
                  <w:tcW w:w="3099" w:type="dxa"/>
                  <w:noWrap w:val="0"/>
                  <w:vAlign w:val="top"/>
                </w:tcPr>
                <w:p>
                  <w:pPr>
                    <w:pStyle w:val="15"/>
                    <w:bidi w:val="0"/>
                    <w:ind w:firstLine="0" w:firstLineChars="0"/>
                    <w:rPr>
                      <w:color w:val="auto"/>
                      <w:highlight w:val="none"/>
                      <w:lang w:val="en-US"/>
                    </w:rPr>
                  </w:pPr>
                  <w:r>
                    <w:rPr>
                      <w:color w:val="auto"/>
                      <w:highlight w:val="none"/>
                    </w:rPr>
                    <w:t>装载机</w:t>
                  </w:r>
                </w:p>
              </w:tc>
              <w:tc>
                <w:tcPr>
                  <w:tcW w:w="2024" w:type="dxa"/>
                  <w:noWrap w:val="0"/>
                  <w:vAlign w:val="center"/>
                </w:tcPr>
                <w:p>
                  <w:pPr>
                    <w:pStyle w:val="15"/>
                    <w:keepNext w:val="0"/>
                    <w:keepLines w:val="0"/>
                    <w:widowControl/>
                    <w:suppressLineNumbers w:val="0"/>
                    <w:bidi w:val="0"/>
                    <w:spacing w:before="0" w:beforeAutospacing="0" w:after="0" w:afterAutospacing="0"/>
                    <w:ind w:left="0" w:leftChars="0" w:right="0" w:rightChars="0" w:firstLine="0" w:firstLineChars="0"/>
                    <w:jc w:val="center"/>
                    <w:rPr>
                      <w:color w:val="auto"/>
                      <w:highlight w:val="none"/>
                      <w:lang w:val="en-US"/>
                    </w:rPr>
                  </w:pPr>
                  <w:r>
                    <w:rPr>
                      <w:rFonts w:hint="eastAsia" w:cs="Times New Roman"/>
                      <w:color w:val="auto"/>
                      <w:highlight w:val="none"/>
                      <w:u w:val="none"/>
                      <w:lang w:val="en-US" w:eastAsia="zh-CN"/>
                    </w:rPr>
                    <w:t>85</w:t>
                  </w:r>
                </w:p>
              </w:tc>
              <w:tc>
                <w:tcPr>
                  <w:tcW w:w="1318" w:type="pct"/>
                  <w:noWrap w:val="0"/>
                  <w:vAlign w:val="top"/>
                </w:tcPr>
                <w:p>
                  <w:pPr>
                    <w:pStyle w:val="15"/>
                    <w:bidi w:val="0"/>
                    <w:rPr>
                      <w:rFonts w:hint="eastAsia"/>
                      <w:color w:val="auto"/>
                      <w:highlight w:val="none"/>
                    </w:rPr>
                  </w:pPr>
                  <w:r>
                    <w:rPr>
                      <w:rFonts w:hint="eastAsia"/>
                      <w:color w:val="auto"/>
                      <w:highlight w:val="none"/>
                    </w:rPr>
                    <w:t>不稳态源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4" w:hRule="atLeast"/>
                <w:jc w:val="center"/>
              </w:trPr>
              <w:tc>
                <w:tcPr>
                  <w:tcW w:w="665" w:type="pct"/>
                  <w:noWrap w:val="0"/>
                  <w:vAlign w:val="center"/>
                </w:tcPr>
                <w:p>
                  <w:pPr>
                    <w:pStyle w:val="15"/>
                    <w:bidi w:val="0"/>
                    <w:rPr>
                      <w:color w:val="auto"/>
                      <w:highlight w:val="none"/>
                      <w:lang w:val="en-US"/>
                    </w:rPr>
                  </w:pPr>
                  <w:r>
                    <w:rPr>
                      <w:rFonts w:hint="eastAsia"/>
                      <w:color w:val="auto"/>
                      <w:highlight w:val="none"/>
                      <w:lang w:val="en-US"/>
                    </w:rPr>
                    <w:t>4</w:t>
                  </w:r>
                </w:p>
              </w:tc>
              <w:tc>
                <w:tcPr>
                  <w:tcW w:w="3099" w:type="dxa"/>
                  <w:noWrap w:val="0"/>
                  <w:vAlign w:val="top"/>
                </w:tcPr>
                <w:p>
                  <w:pPr>
                    <w:pStyle w:val="15"/>
                    <w:bidi w:val="0"/>
                    <w:ind w:firstLine="0" w:firstLineChars="0"/>
                    <w:rPr>
                      <w:rFonts w:hint="eastAsia"/>
                      <w:color w:val="auto"/>
                      <w:highlight w:val="none"/>
                    </w:rPr>
                  </w:pPr>
                  <w:r>
                    <w:rPr>
                      <w:color w:val="auto"/>
                      <w:highlight w:val="none"/>
                    </w:rPr>
                    <w:t>蛙夯机</w:t>
                  </w:r>
                </w:p>
              </w:tc>
              <w:tc>
                <w:tcPr>
                  <w:tcW w:w="2024" w:type="dxa"/>
                  <w:noWrap w:val="0"/>
                  <w:vAlign w:val="center"/>
                </w:tcPr>
                <w:p>
                  <w:pPr>
                    <w:pStyle w:val="15"/>
                    <w:keepNext w:val="0"/>
                    <w:keepLines w:val="0"/>
                    <w:widowControl/>
                    <w:suppressLineNumbers w:val="0"/>
                    <w:bidi w:val="0"/>
                    <w:spacing w:before="0" w:beforeAutospacing="0" w:after="0" w:afterAutospacing="0"/>
                    <w:ind w:left="0" w:leftChars="0" w:right="0" w:rightChars="0" w:firstLine="0" w:firstLineChars="0"/>
                    <w:jc w:val="center"/>
                    <w:rPr>
                      <w:color w:val="auto"/>
                      <w:highlight w:val="none"/>
                      <w:lang w:val="en-US"/>
                    </w:rPr>
                  </w:pPr>
                  <w:r>
                    <w:rPr>
                      <w:rFonts w:hint="eastAsia" w:cs="Times New Roman"/>
                      <w:color w:val="auto"/>
                      <w:highlight w:val="none"/>
                      <w:u w:val="none"/>
                      <w:lang w:val="en-US" w:eastAsia="zh-CN"/>
                    </w:rPr>
                    <w:t>90</w:t>
                  </w:r>
                </w:p>
              </w:tc>
              <w:tc>
                <w:tcPr>
                  <w:tcW w:w="1318" w:type="pct"/>
                  <w:noWrap w:val="0"/>
                  <w:vAlign w:val="top"/>
                </w:tcPr>
                <w:p>
                  <w:pPr>
                    <w:pStyle w:val="15"/>
                    <w:bidi w:val="0"/>
                    <w:rPr>
                      <w:rFonts w:hint="eastAsia"/>
                      <w:color w:val="auto"/>
                      <w:highlight w:val="none"/>
                    </w:rPr>
                  </w:pPr>
                  <w:r>
                    <w:rPr>
                      <w:rFonts w:hint="eastAsia"/>
                      <w:color w:val="auto"/>
                      <w:highlight w:val="none"/>
                    </w:rPr>
                    <w:t>不稳态源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4" w:hRule="atLeast"/>
                <w:jc w:val="center"/>
              </w:trPr>
              <w:tc>
                <w:tcPr>
                  <w:tcW w:w="665" w:type="pct"/>
                  <w:noWrap w:val="0"/>
                  <w:vAlign w:val="center"/>
                </w:tcPr>
                <w:p>
                  <w:pPr>
                    <w:pStyle w:val="15"/>
                    <w:bidi w:val="0"/>
                    <w:rPr>
                      <w:color w:val="auto"/>
                      <w:highlight w:val="none"/>
                      <w:lang w:val="en-US"/>
                    </w:rPr>
                  </w:pPr>
                  <w:r>
                    <w:rPr>
                      <w:rFonts w:hint="eastAsia"/>
                      <w:color w:val="auto"/>
                      <w:highlight w:val="none"/>
                      <w:lang w:val="en-US"/>
                    </w:rPr>
                    <w:t>5</w:t>
                  </w:r>
                </w:p>
              </w:tc>
              <w:tc>
                <w:tcPr>
                  <w:tcW w:w="3099" w:type="dxa"/>
                  <w:noWrap w:val="0"/>
                  <w:vAlign w:val="top"/>
                </w:tcPr>
                <w:p>
                  <w:pPr>
                    <w:pStyle w:val="15"/>
                    <w:bidi w:val="0"/>
                    <w:ind w:firstLine="0" w:firstLineChars="0"/>
                    <w:rPr>
                      <w:rFonts w:hint="eastAsia"/>
                      <w:color w:val="auto"/>
                      <w:highlight w:val="none"/>
                    </w:rPr>
                  </w:pPr>
                  <w:r>
                    <w:rPr>
                      <w:color w:val="auto"/>
                      <w:highlight w:val="none"/>
                    </w:rPr>
                    <w:t>气腿式风钻</w:t>
                  </w:r>
                </w:p>
              </w:tc>
              <w:tc>
                <w:tcPr>
                  <w:tcW w:w="2024" w:type="dxa"/>
                  <w:noWrap w:val="0"/>
                  <w:vAlign w:val="center"/>
                </w:tcPr>
                <w:p>
                  <w:pPr>
                    <w:pStyle w:val="15"/>
                    <w:keepNext w:val="0"/>
                    <w:keepLines w:val="0"/>
                    <w:widowControl/>
                    <w:suppressLineNumbers w:val="0"/>
                    <w:bidi w:val="0"/>
                    <w:spacing w:before="0" w:beforeAutospacing="0" w:after="0" w:afterAutospacing="0"/>
                    <w:ind w:left="0" w:leftChars="0" w:right="0" w:rightChars="0" w:firstLine="0" w:firstLineChars="0"/>
                    <w:jc w:val="center"/>
                    <w:rPr>
                      <w:color w:val="auto"/>
                      <w:highlight w:val="none"/>
                      <w:lang w:val="en-US"/>
                    </w:rPr>
                  </w:pPr>
                  <w:r>
                    <w:rPr>
                      <w:rFonts w:hint="eastAsia" w:cs="Times New Roman"/>
                      <w:color w:val="auto"/>
                      <w:highlight w:val="none"/>
                      <w:u w:val="none"/>
                      <w:lang w:val="en-US" w:eastAsia="zh-CN"/>
                    </w:rPr>
                    <w:t>90</w:t>
                  </w:r>
                </w:p>
              </w:tc>
              <w:tc>
                <w:tcPr>
                  <w:tcW w:w="1318" w:type="pct"/>
                  <w:noWrap w:val="0"/>
                  <w:vAlign w:val="top"/>
                </w:tcPr>
                <w:p>
                  <w:pPr>
                    <w:pStyle w:val="15"/>
                    <w:bidi w:val="0"/>
                    <w:rPr>
                      <w:rFonts w:hint="eastAsia"/>
                      <w:color w:val="auto"/>
                      <w:highlight w:val="none"/>
                    </w:rPr>
                  </w:pPr>
                  <w:r>
                    <w:rPr>
                      <w:rFonts w:hint="eastAsia"/>
                      <w:color w:val="auto"/>
                      <w:highlight w:val="none"/>
                    </w:rPr>
                    <w:t>不稳态源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4" w:hRule="atLeast"/>
                <w:jc w:val="center"/>
              </w:trPr>
              <w:tc>
                <w:tcPr>
                  <w:tcW w:w="665" w:type="pct"/>
                  <w:noWrap w:val="0"/>
                  <w:vAlign w:val="center"/>
                </w:tcPr>
                <w:p>
                  <w:pPr>
                    <w:pStyle w:val="15"/>
                    <w:bidi w:val="0"/>
                    <w:rPr>
                      <w:color w:val="auto"/>
                      <w:highlight w:val="none"/>
                      <w:lang w:val="en-US"/>
                    </w:rPr>
                  </w:pPr>
                  <w:r>
                    <w:rPr>
                      <w:rFonts w:hint="eastAsia"/>
                      <w:color w:val="auto"/>
                      <w:highlight w:val="none"/>
                      <w:lang w:val="en-US"/>
                    </w:rPr>
                    <w:t>6</w:t>
                  </w:r>
                </w:p>
              </w:tc>
              <w:tc>
                <w:tcPr>
                  <w:tcW w:w="3099" w:type="dxa"/>
                  <w:noWrap w:val="0"/>
                  <w:vAlign w:val="top"/>
                </w:tcPr>
                <w:p>
                  <w:pPr>
                    <w:pStyle w:val="15"/>
                    <w:bidi w:val="0"/>
                    <w:ind w:firstLine="0" w:firstLineChars="0"/>
                    <w:rPr>
                      <w:rFonts w:hint="eastAsia"/>
                      <w:color w:val="auto"/>
                      <w:highlight w:val="none"/>
                    </w:rPr>
                  </w:pPr>
                  <w:r>
                    <w:rPr>
                      <w:color w:val="auto"/>
                      <w:highlight w:val="none"/>
                    </w:rPr>
                    <w:t>自卸汽车</w:t>
                  </w:r>
                </w:p>
              </w:tc>
              <w:tc>
                <w:tcPr>
                  <w:tcW w:w="2024" w:type="dxa"/>
                  <w:noWrap w:val="0"/>
                  <w:vAlign w:val="center"/>
                </w:tcPr>
                <w:p>
                  <w:pPr>
                    <w:pStyle w:val="15"/>
                    <w:keepNext w:val="0"/>
                    <w:keepLines w:val="0"/>
                    <w:widowControl/>
                    <w:suppressLineNumbers w:val="0"/>
                    <w:bidi w:val="0"/>
                    <w:spacing w:before="0" w:beforeAutospacing="0" w:after="0" w:afterAutospacing="0"/>
                    <w:ind w:left="0" w:leftChars="0" w:right="0" w:rightChars="0" w:firstLine="0" w:firstLineChars="0"/>
                    <w:jc w:val="center"/>
                    <w:rPr>
                      <w:rFonts w:hint="eastAsia"/>
                      <w:color w:val="auto"/>
                      <w:highlight w:val="none"/>
                      <w:lang w:val="en-US"/>
                    </w:rPr>
                  </w:pPr>
                  <w:r>
                    <w:rPr>
                      <w:rFonts w:hint="eastAsia" w:cs="Times New Roman"/>
                      <w:color w:val="auto"/>
                      <w:highlight w:val="none"/>
                      <w:u w:val="none"/>
                      <w:lang w:val="en-US" w:eastAsia="zh-CN"/>
                    </w:rPr>
                    <w:t>80</w:t>
                  </w:r>
                </w:p>
              </w:tc>
              <w:tc>
                <w:tcPr>
                  <w:tcW w:w="1318" w:type="pct"/>
                  <w:noWrap w:val="0"/>
                  <w:vAlign w:val="top"/>
                </w:tcPr>
                <w:p>
                  <w:pPr>
                    <w:pStyle w:val="15"/>
                    <w:bidi w:val="0"/>
                    <w:rPr>
                      <w:rFonts w:hint="eastAsia"/>
                      <w:color w:val="auto"/>
                      <w:highlight w:val="none"/>
                    </w:rPr>
                  </w:pPr>
                  <w:r>
                    <w:rPr>
                      <w:rFonts w:hint="eastAsia"/>
                      <w:color w:val="auto"/>
                      <w:highlight w:val="none"/>
                    </w:rPr>
                    <w:t>不稳态源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4" w:hRule="atLeast"/>
                <w:jc w:val="center"/>
              </w:trPr>
              <w:tc>
                <w:tcPr>
                  <w:tcW w:w="665" w:type="pct"/>
                  <w:noWrap w:val="0"/>
                  <w:vAlign w:val="center"/>
                </w:tcPr>
                <w:p>
                  <w:pPr>
                    <w:pStyle w:val="15"/>
                    <w:bidi w:val="0"/>
                    <w:rPr>
                      <w:color w:val="auto"/>
                      <w:highlight w:val="none"/>
                      <w:lang w:val="en-US"/>
                    </w:rPr>
                  </w:pPr>
                  <w:r>
                    <w:rPr>
                      <w:rFonts w:hint="eastAsia"/>
                      <w:color w:val="auto"/>
                      <w:highlight w:val="none"/>
                      <w:lang w:val="en-US"/>
                    </w:rPr>
                    <w:t>7</w:t>
                  </w:r>
                </w:p>
              </w:tc>
              <w:tc>
                <w:tcPr>
                  <w:tcW w:w="3099" w:type="dxa"/>
                  <w:noWrap w:val="0"/>
                  <w:vAlign w:val="top"/>
                </w:tcPr>
                <w:p>
                  <w:pPr>
                    <w:pStyle w:val="15"/>
                    <w:bidi w:val="0"/>
                    <w:ind w:firstLine="0" w:firstLineChars="0"/>
                    <w:rPr>
                      <w:rFonts w:hint="eastAsia"/>
                      <w:color w:val="auto"/>
                      <w:highlight w:val="none"/>
                    </w:rPr>
                  </w:pPr>
                  <w:r>
                    <w:rPr>
                      <w:color w:val="auto"/>
                      <w:highlight w:val="none"/>
                    </w:rPr>
                    <w:t>自卸汽车</w:t>
                  </w:r>
                </w:p>
              </w:tc>
              <w:tc>
                <w:tcPr>
                  <w:tcW w:w="2024" w:type="dxa"/>
                  <w:noWrap w:val="0"/>
                  <w:vAlign w:val="center"/>
                </w:tcPr>
                <w:p>
                  <w:pPr>
                    <w:pStyle w:val="15"/>
                    <w:keepNext w:val="0"/>
                    <w:keepLines w:val="0"/>
                    <w:widowControl/>
                    <w:suppressLineNumbers w:val="0"/>
                    <w:bidi w:val="0"/>
                    <w:spacing w:before="0" w:beforeAutospacing="0" w:after="0" w:afterAutospacing="0"/>
                    <w:ind w:left="0" w:leftChars="0" w:right="0" w:rightChars="0" w:firstLine="0" w:firstLineChars="0"/>
                    <w:jc w:val="center"/>
                    <w:rPr>
                      <w:color w:val="auto"/>
                      <w:highlight w:val="none"/>
                      <w:lang w:val="en-US"/>
                    </w:rPr>
                  </w:pPr>
                  <w:r>
                    <w:rPr>
                      <w:rFonts w:hint="eastAsia" w:cs="Times New Roman"/>
                      <w:color w:val="auto"/>
                      <w:highlight w:val="none"/>
                      <w:u w:val="none"/>
                      <w:lang w:val="en-US" w:eastAsia="zh-CN"/>
                    </w:rPr>
                    <w:t>80</w:t>
                  </w:r>
                </w:p>
              </w:tc>
              <w:tc>
                <w:tcPr>
                  <w:tcW w:w="1318" w:type="pct"/>
                  <w:noWrap w:val="0"/>
                  <w:vAlign w:val="top"/>
                </w:tcPr>
                <w:p>
                  <w:pPr>
                    <w:pStyle w:val="15"/>
                    <w:bidi w:val="0"/>
                    <w:rPr>
                      <w:rFonts w:hint="eastAsia"/>
                      <w:color w:val="auto"/>
                      <w:highlight w:val="none"/>
                    </w:rPr>
                  </w:pPr>
                  <w:r>
                    <w:rPr>
                      <w:rFonts w:hint="eastAsia"/>
                      <w:color w:val="auto"/>
                      <w:highlight w:val="none"/>
                    </w:rPr>
                    <w:t>不稳态源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4" w:hRule="atLeast"/>
                <w:jc w:val="center"/>
              </w:trPr>
              <w:tc>
                <w:tcPr>
                  <w:tcW w:w="665" w:type="pct"/>
                  <w:noWrap w:val="0"/>
                  <w:vAlign w:val="center"/>
                </w:tcPr>
                <w:p>
                  <w:pPr>
                    <w:pStyle w:val="15"/>
                    <w:bidi w:val="0"/>
                    <w:rPr>
                      <w:color w:val="auto"/>
                      <w:highlight w:val="none"/>
                      <w:lang w:val="en-US"/>
                    </w:rPr>
                  </w:pPr>
                  <w:r>
                    <w:rPr>
                      <w:rFonts w:hint="eastAsia"/>
                      <w:color w:val="auto"/>
                      <w:highlight w:val="none"/>
                      <w:lang w:val="en-US"/>
                    </w:rPr>
                    <w:t>8</w:t>
                  </w:r>
                </w:p>
              </w:tc>
              <w:tc>
                <w:tcPr>
                  <w:tcW w:w="3099" w:type="dxa"/>
                  <w:noWrap w:val="0"/>
                  <w:vAlign w:val="top"/>
                </w:tcPr>
                <w:p>
                  <w:pPr>
                    <w:pStyle w:val="15"/>
                    <w:bidi w:val="0"/>
                    <w:ind w:firstLine="0" w:firstLineChars="0"/>
                    <w:rPr>
                      <w:rFonts w:hint="eastAsia"/>
                      <w:color w:val="auto"/>
                      <w:highlight w:val="none"/>
                    </w:rPr>
                  </w:pPr>
                  <w:r>
                    <w:rPr>
                      <w:color w:val="auto"/>
                      <w:highlight w:val="none"/>
                    </w:rPr>
                    <w:t>双胶轮车</w:t>
                  </w:r>
                </w:p>
              </w:tc>
              <w:tc>
                <w:tcPr>
                  <w:tcW w:w="2024" w:type="dxa"/>
                  <w:noWrap w:val="0"/>
                  <w:vAlign w:val="center"/>
                </w:tcPr>
                <w:p>
                  <w:pPr>
                    <w:pStyle w:val="15"/>
                    <w:keepNext w:val="0"/>
                    <w:keepLines w:val="0"/>
                    <w:widowControl/>
                    <w:suppressLineNumbers w:val="0"/>
                    <w:bidi w:val="0"/>
                    <w:spacing w:before="0" w:beforeAutospacing="0" w:after="0" w:afterAutospacing="0"/>
                    <w:ind w:left="0" w:leftChars="0" w:right="0" w:rightChars="0" w:firstLine="0" w:firstLineChars="0"/>
                    <w:jc w:val="center"/>
                    <w:rPr>
                      <w:color w:val="auto"/>
                      <w:highlight w:val="none"/>
                      <w:lang w:val="en-US"/>
                    </w:rPr>
                  </w:pPr>
                  <w:r>
                    <w:rPr>
                      <w:rFonts w:hint="eastAsia" w:cs="Times New Roman"/>
                      <w:color w:val="auto"/>
                      <w:highlight w:val="none"/>
                      <w:u w:val="none"/>
                      <w:lang w:val="en-US" w:eastAsia="zh-CN"/>
                    </w:rPr>
                    <w:t>75</w:t>
                  </w:r>
                </w:p>
              </w:tc>
              <w:tc>
                <w:tcPr>
                  <w:tcW w:w="1318" w:type="pct"/>
                  <w:noWrap w:val="0"/>
                  <w:vAlign w:val="top"/>
                </w:tcPr>
                <w:p>
                  <w:pPr>
                    <w:pStyle w:val="15"/>
                    <w:bidi w:val="0"/>
                    <w:rPr>
                      <w:rFonts w:hint="eastAsia"/>
                      <w:color w:val="auto"/>
                      <w:highlight w:val="none"/>
                    </w:rPr>
                  </w:pPr>
                  <w:r>
                    <w:rPr>
                      <w:rFonts w:hint="eastAsia"/>
                      <w:color w:val="auto"/>
                      <w:highlight w:val="none"/>
                    </w:rPr>
                    <w:t>不稳态源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4" w:hRule="atLeast"/>
                <w:jc w:val="center"/>
              </w:trPr>
              <w:tc>
                <w:tcPr>
                  <w:tcW w:w="665" w:type="pct"/>
                  <w:noWrap w:val="0"/>
                  <w:vAlign w:val="center"/>
                </w:tcPr>
                <w:p>
                  <w:pPr>
                    <w:pStyle w:val="15"/>
                    <w:bidi w:val="0"/>
                    <w:rPr>
                      <w:rFonts w:hint="eastAsia" w:eastAsia="宋体"/>
                      <w:color w:val="auto"/>
                      <w:highlight w:val="none"/>
                      <w:lang w:val="en-US" w:eastAsia="zh-CN"/>
                    </w:rPr>
                  </w:pPr>
                  <w:r>
                    <w:rPr>
                      <w:rFonts w:hint="eastAsia"/>
                      <w:color w:val="auto"/>
                      <w:highlight w:val="none"/>
                      <w:lang w:val="en-US" w:eastAsia="zh-CN"/>
                    </w:rPr>
                    <w:t>9</w:t>
                  </w:r>
                </w:p>
              </w:tc>
              <w:tc>
                <w:tcPr>
                  <w:tcW w:w="3099" w:type="dxa"/>
                  <w:noWrap w:val="0"/>
                  <w:vAlign w:val="center"/>
                </w:tcPr>
                <w:p>
                  <w:pPr>
                    <w:pStyle w:val="15"/>
                    <w:bidi w:val="0"/>
                    <w:ind w:firstLine="0" w:firstLineChars="0"/>
                    <w:rPr>
                      <w:rFonts w:hint="eastAsia"/>
                      <w:color w:val="auto"/>
                      <w:highlight w:val="none"/>
                      <w:lang w:val="en-US" w:eastAsia="zh-CN"/>
                    </w:rPr>
                  </w:pPr>
                  <w:r>
                    <w:rPr>
                      <w:color w:val="auto"/>
                      <w:highlight w:val="none"/>
                    </w:rPr>
                    <w:t>砼振动器</w:t>
                  </w:r>
                </w:p>
              </w:tc>
              <w:tc>
                <w:tcPr>
                  <w:tcW w:w="2024" w:type="dxa"/>
                  <w:noWrap w:val="0"/>
                  <w:vAlign w:val="center"/>
                </w:tcPr>
                <w:p>
                  <w:pPr>
                    <w:pStyle w:val="15"/>
                    <w:keepNext w:val="0"/>
                    <w:keepLines w:val="0"/>
                    <w:widowControl/>
                    <w:suppressLineNumbers w:val="0"/>
                    <w:bidi w:val="0"/>
                    <w:spacing w:before="0" w:beforeAutospacing="0" w:after="0" w:afterAutospacing="0"/>
                    <w:ind w:left="0" w:leftChars="0" w:right="0" w:rightChars="0" w:firstLine="0" w:firstLineChars="0"/>
                    <w:jc w:val="center"/>
                    <w:rPr>
                      <w:rFonts w:hint="eastAsia"/>
                      <w:color w:val="auto"/>
                      <w:highlight w:val="none"/>
                      <w:lang w:val="en-US" w:eastAsia="zh-CN"/>
                    </w:rPr>
                  </w:pPr>
                  <w:r>
                    <w:rPr>
                      <w:rFonts w:hint="eastAsia" w:cs="Times New Roman"/>
                      <w:color w:val="auto"/>
                      <w:highlight w:val="none"/>
                      <w:u w:val="none"/>
                      <w:lang w:val="en-US" w:eastAsia="zh-CN"/>
                    </w:rPr>
                    <w:t>90</w:t>
                  </w:r>
                </w:p>
              </w:tc>
              <w:tc>
                <w:tcPr>
                  <w:tcW w:w="1318" w:type="pct"/>
                  <w:noWrap w:val="0"/>
                  <w:vAlign w:val="top"/>
                </w:tcPr>
                <w:p>
                  <w:pPr>
                    <w:pStyle w:val="15"/>
                    <w:bidi w:val="0"/>
                    <w:rPr>
                      <w:rFonts w:hint="eastAsia"/>
                      <w:color w:val="auto"/>
                      <w:highlight w:val="none"/>
                    </w:rPr>
                  </w:pPr>
                  <w:r>
                    <w:rPr>
                      <w:rFonts w:hint="eastAsia"/>
                      <w:color w:val="auto"/>
                      <w:highlight w:val="none"/>
                    </w:rPr>
                    <w:t>不稳态源</w:t>
                  </w:r>
                </w:p>
              </w:tc>
            </w:tr>
          </w:tbl>
          <w:p>
            <w:pPr>
              <w:bidi w:val="0"/>
              <w:rPr>
                <w:rFonts w:hint="eastAsia"/>
                <w:color w:val="auto"/>
                <w:highlight w:val="none"/>
                <w:u w:val="none"/>
                <w:lang w:val="en-US" w:eastAsia="zh-CN"/>
              </w:rPr>
            </w:pPr>
            <w:r>
              <w:rPr>
                <w:rFonts w:hint="eastAsia"/>
                <w:color w:val="auto"/>
                <w:highlight w:val="none"/>
                <w:u w:val="none"/>
                <w:lang w:val="en-US" w:eastAsia="zh-CN"/>
              </w:rPr>
              <w:t>本项目施工机械产生的噪声可以近似作为点声源处理，根据点声源随距离的衰减模式，可估算其施工期间离噪声源不同距离处的噪声值，点声源预测模式为：</w:t>
            </w:r>
          </w:p>
          <w:p>
            <w:pPr>
              <w:bidi w:val="0"/>
              <w:rPr>
                <w:rFonts w:hint="eastAsia" w:ascii="Times New Roman" w:hAnsi="Times New Roman" w:eastAsia="宋体" w:cs="宋体"/>
                <w:color w:val="auto"/>
                <w:highlight w:val="none"/>
                <w:u w:val="none"/>
                <w:lang w:val="en-US" w:eastAsia="zh-CN"/>
              </w:rPr>
            </w:pPr>
            <m:oMathPara>
              <m:oMath>
                <m:sSub>
                  <m:sSubPr>
                    <m:ctrlPr>
                      <w:rPr>
                        <w:rFonts w:hint="eastAsia" w:ascii="Cambria Math" w:hAnsi="Cambria Math" w:eastAsia="宋体" w:cs="宋体"/>
                        <w:color w:val="auto"/>
                        <w:highlight w:val="none"/>
                        <w:u w:val="none"/>
                        <w:lang w:val="en-US" w:eastAsia="zh-CN"/>
                      </w:rPr>
                    </m:ctrlPr>
                  </m:sSubPr>
                  <m:e>
                    <m:r>
                      <m:rPr>
                        <m:sty m:val="p"/>
                      </m:rPr>
                      <w:rPr>
                        <w:rFonts w:hint="eastAsia" w:ascii="Cambria Math" w:hAnsi="Cambria Math" w:eastAsia="宋体" w:cs="宋体"/>
                        <w:color w:val="auto"/>
                        <w:highlight w:val="none"/>
                        <w:u w:val="none"/>
                        <w:lang w:val="en-US" w:eastAsia="zh-CN"/>
                      </w:rPr>
                      <m:t>L</m:t>
                    </m:r>
                    <m:ctrlPr>
                      <w:rPr>
                        <w:rFonts w:hint="eastAsia" w:ascii="Cambria Math" w:hAnsi="Cambria Math" w:eastAsia="宋体" w:cs="宋体"/>
                        <w:color w:val="auto"/>
                        <w:highlight w:val="none"/>
                        <w:u w:val="none"/>
                        <w:lang w:val="en-US" w:eastAsia="zh-CN"/>
                      </w:rPr>
                    </m:ctrlPr>
                  </m:e>
                  <m:sub>
                    <m:r>
                      <m:rPr>
                        <m:sty m:val="p"/>
                      </m:rPr>
                      <w:rPr>
                        <w:rFonts w:hint="eastAsia" w:ascii="Cambria Math" w:hAnsi="Cambria Math" w:eastAsia="宋体" w:cs="宋体"/>
                        <w:color w:val="auto"/>
                        <w:highlight w:val="none"/>
                        <w:u w:val="none"/>
                        <w:lang w:val="en-US" w:eastAsia="zh-CN"/>
                      </w:rPr>
                      <m:t>p</m:t>
                    </m:r>
                    <m:ctrlPr>
                      <w:rPr>
                        <w:rFonts w:hint="eastAsia" w:ascii="Cambria Math" w:hAnsi="Cambria Math" w:eastAsia="宋体" w:cs="宋体"/>
                        <w:color w:val="auto"/>
                        <w:highlight w:val="none"/>
                        <w:u w:val="none"/>
                        <w:lang w:val="en-US" w:eastAsia="zh-CN"/>
                      </w:rPr>
                    </m:ctrlPr>
                  </m:sub>
                </m:sSub>
                <m:r>
                  <m:rPr>
                    <m:sty m:val="p"/>
                  </m:rPr>
                  <w:rPr>
                    <w:rFonts w:hint="eastAsia" w:ascii="Cambria Math" w:hAnsi="Cambria Math" w:eastAsia="宋体" w:cs="宋体"/>
                    <w:color w:val="auto"/>
                    <w:highlight w:val="none"/>
                    <w:u w:val="none"/>
                    <w:lang w:val="en-US" w:eastAsia="zh-CN"/>
                  </w:rPr>
                  <m:t>(r)=</m:t>
                </m:r>
                <m:sSub>
                  <m:sSubPr>
                    <m:ctrlPr>
                      <w:rPr>
                        <w:rFonts w:hint="eastAsia" w:ascii="Cambria Math" w:hAnsi="Cambria Math" w:eastAsia="宋体" w:cs="宋体"/>
                        <w:color w:val="auto"/>
                        <w:highlight w:val="none"/>
                        <w:u w:val="none"/>
                        <w:lang w:val="en-US" w:eastAsia="zh-CN"/>
                      </w:rPr>
                    </m:ctrlPr>
                  </m:sSubPr>
                  <m:e>
                    <m:r>
                      <m:rPr>
                        <m:sty m:val="p"/>
                      </m:rPr>
                      <w:rPr>
                        <w:rFonts w:hint="eastAsia" w:ascii="Cambria Math" w:hAnsi="Cambria Math" w:eastAsia="宋体" w:cs="宋体"/>
                        <w:color w:val="auto"/>
                        <w:highlight w:val="none"/>
                        <w:u w:val="none"/>
                        <w:lang w:val="en-US" w:eastAsia="zh-CN"/>
                      </w:rPr>
                      <m:t>L</m:t>
                    </m:r>
                    <m:ctrlPr>
                      <w:rPr>
                        <w:rFonts w:hint="eastAsia" w:ascii="Cambria Math" w:hAnsi="Cambria Math" w:eastAsia="宋体" w:cs="宋体"/>
                        <w:color w:val="auto"/>
                        <w:highlight w:val="none"/>
                        <w:u w:val="none"/>
                        <w:lang w:val="en-US" w:eastAsia="zh-CN"/>
                      </w:rPr>
                    </m:ctrlPr>
                  </m:e>
                  <m:sub>
                    <m:r>
                      <m:rPr>
                        <m:sty m:val="p"/>
                      </m:rPr>
                      <w:rPr>
                        <w:rFonts w:hint="eastAsia" w:ascii="Cambria Math" w:hAnsi="Cambria Math" w:eastAsia="宋体" w:cs="宋体"/>
                        <w:color w:val="auto"/>
                        <w:highlight w:val="none"/>
                        <w:u w:val="none"/>
                        <w:lang w:val="en-US" w:eastAsia="zh-CN"/>
                      </w:rPr>
                      <m:t>p</m:t>
                    </m:r>
                    <m:ctrlPr>
                      <w:rPr>
                        <w:rFonts w:hint="eastAsia" w:ascii="Cambria Math" w:hAnsi="Cambria Math" w:eastAsia="宋体" w:cs="宋体"/>
                        <w:color w:val="auto"/>
                        <w:highlight w:val="none"/>
                        <w:u w:val="none"/>
                        <w:lang w:val="en-US" w:eastAsia="zh-CN"/>
                      </w:rPr>
                    </m:ctrlPr>
                  </m:sub>
                </m:sSub>
                <m:r>
                  <m:rPr>
                    <m:sty m:val="p"/>
                  </m:rPr>
                  <w:rPr>
                    <w:rFonts w:hint="eastAsia" w:ascii="Cambria Math" w:hAnsi="Cambria Math" w:eastAsia="宋体" w:cs="宋体"/>
                    <w:color w:val="auto"/>
                    <w:highlight w:val="none"/>
                    <w:u w:val="none"/>
                    <w:lang w:val="en-US" w:eastAsia="zh-CN"/>
                  </w:rPr>
                  <m:t>(</m:t>
                </m:r>
                <m:sSub>
                  <m:sSubPr>
                    <m:ctrlPr>
                      <w:rPr>
                        <w:rFonts w:hint="eastAsia" w:ascii="Cambria Math" w:hAnsi="Cambria Math" w:eastAsia="宋体" w:cs="宋体"/>
                        <w:color w:val="auto"/>
                        <w:highlight w:val="none"/>
                        <w:u w:val="none"/>
                        <w:lang w:val="en-US" w:eastAsia="zh-CN"/>
                      </w:rPr>
                    </m:ctrlPr>
                  </m:sSubPr>
                  <m:e>
                    <m:r>
                      <m:rPr>
                        <m:sty m:val="p"/>
                      </m:rPr>
                      <w:rPr>
                        <w:rFonts w:hint="eastAsia" w:ascii="Cambria Math" w:hAnsi="Cambria Math" w:eastAsia="宋体" w:cs="宋体"/>
                        <w:color w:val="auto"/>
                        <w:highlight w:val="none"/>
                        <w:u w:val="none"/>
                        <w:lang w:val="en-US" w:eastAsia="zh-CN"/>
                      </w:rPr>
                      <m:t>r</m:t>
                    </m:r>
                    <m:ctrlPr>
                      <w:rPr>
                        <w:rFonts w:hint="eastAsia" w:ascii="Cambria Math" w:hAnsi="Cambria Math" w:eastAsia="宋体" w:cs="宋体"/>
                        <w:color w:val="auto"/>
                        <w:highlight w:val="none"/>
                        <w:u w:val="none"/>
                        <w:lang w:val="en-US" w:eastAsia="zh-CN"/>
                      </w:rPr>
                    </m:ctrlPr>
                  </m:e>
                  <m:sub>
                    <m:r>
                      <m:rPr>
                        <m:sty m:val="p"/>
                      </m:rPr>
                      <w:rPr>
                        <w:rFonts w:hint="eastAsia" w:ascii="Cambria Math" w:hAnsi="Cambria Math" w:eastAsia="宋体" w:cs="宋体"/>
                        <w:color w:val="auto"/>
                        <w:highlight w:val="none"/>
                        <w:u w:val="none"/>
                        <w:lang w:val="en-US" w:eastAsia="zh-CN"/>
                      </w:rPr>
                      <m:t>0</m:t>
                    </m:r>
                    <m:ctrlPr>
                      <w:rPr>
                        <w:rFonts w:hint="eastAsia" w:ascii="Cambria Math" w:hAnsi="Cambria Math" w:eastAsia="宋体" w:cs="宋体"/>
                        <w:color w:val="auto"/>
                        <w:highlight w:val="none"/>
                        <w:u w:val="none"/>
                        <w:lang w:val="en-US" w:eastAsia="zh-CN"/>
                      </w:rPr>
                    </m:ctrlPr>
                  </m:sub>
                </m:sSub>
                <m:r>
                  <m:rPr>
                    <m:sty m:val="p"/>
                  </m:rPr>
                  <w:rPr>
                    <w:rFonts w:hint="eastAsia" w:ascii="Cambria Math" w:hAnsi="Cambria Math" w:eastAsia="宋体" w:cs="宋体"/>
                    <w:color w:val="auto"/>
                    <w:highlight w:val="none"/>
                    <w:u w:val="none"/>
                    <w:lang w:val="en-US" w:eastAsia="zh-CN"/>
                  </w:rPr>
                  <m:t>)−20lg(r/</m:t>
                </m:r>
                <m:sSub>
                  <m:sSubPr>
                    <m:ctrlPr>
                      <w:rPr>
                        <w:rFonts w:hint="eastAsia" w:ascii="Cambria Math" w:hAnsi="Cambria Math" w:eastAsia="宋体" w:cs="宋体"/>
                        <w:color w:val="auto"/>
                        <w:highlight w:val="none"/>
                        <w:u w:val="none"/>
                        <w:lang w:val="en-US" w:eastAsia="zh-CN"/>
                      </w:rPr>
                    </m:ctrlPr>
                  </m:sSubPr>
                  <m:e>
                    <m:r>
                      <m:rPr>
                        <m:sty m:val="p"/>
                      </m:rPr>
                      <w:rPr>
                        <w:rFonts w:hint="eastAsia" w:ascii="Cambria Math" w:hAnsi="Cambria Math" w:eastAsia="宋体" w:cs="宋体"/>
                        <w:color w:val="auto"/>
                        <w:highlight w:val="none"/>
                        <w:u w:val="none"/>
                        <w:lang w:val="en-US" w:eastAsia="zh-CN"/>
                      </w:rPr>
                      <m:t>r</m:t>
                    </m:r>
                    <m:ctrlPr>
                      <w:rPr>
                        <w:rFonts w:hint="eastAsia" w:ascii="Cambria Math" w:hAnsi="Cambria Math" w:eastAsia="宋体" w:cs="宋体"/>
                        <w:color w:val="auto"/>
                        <w:highlight w:val="none"/>
                        <w:u w:val="none"/>
                        <w:lang w:val="en-US" w:eastAsia="zh-CN"/>
                      </w:rPr>
                    </m:ctrlPr>
                  </m:e>
                  <m:sub>
                    <m:r>
                      <m:rPr>
                        <m:sty m:val="p"/>
                      </m:rPr>
                      <w:rPr>
                        <w:rFonts w:hint="eastAsia" w:ascii="Cambria Math" w:hAnsi="Cambria Math" w:eastAsia="宋体" w:cs="宋体"/>
                        <w:color w:val="auto"/>
                        <w:highlight w:val="none"/>
                        <w:u w:val="none"/>
                        <w:lang w:val="en-US" w:eastAsia="zh-CN"/>
                      </w:rPr>
                      <m:t>0</m:t>
                    </m:r>
                    <m:ctrlPr>
                      <w:rPr>
                        <w:rFonts w:hint="eastAsia" w:ascii="Cambria Math" w:hAnsi="Cambria Math" w:eastAsia="宋体" w:cs="宋体"/>
                        <w:color w:val="auto"/>
                        <w:highlight w:val="none"/>
                        <w:u w:val="none"/>
                        <w:lang w:val="en-US" w:eastAsia="zh-CN"/>
                      </w:rPr>
                    </m:ctrlPr>
                  </m:sub>
                </m:sSub>
                <m:r>
                  <m:rPr>
                    <m:sty m:val="p"/>
                  </m:rPr>
                  <w:rPr>
                    <w:rFonts w:hint="eastAsia" w:ascii="Cambria Math" w:hAnsi="Cambria Math" w:eastAsia="宋体" w:cs="宋体"/>
                    <w:color w:val="auto"/>
                    <w:highlight w:val="none"/>
                    <w:u w:val="none"/>
                    <w:lang w:val="en-US" w:eastAsia="zh-CN"/>
                  </w:rPr>
                  <m:t>)−∆L</m:t>
                </m:r>
              </m:oMath>
            </m:oMathPara>
          </w:p>
          <w:p>
            <w:pPr>
              <w:bidi w:val="0"/>
              <w:rPr>
                <w:rFonts w:hint="eastAsia" w:ascii="Times New Roman" w:hAnsi="Times New Roman" w:eastAsia="宋体" w:cs="宋体"/>
                <w:color w:val="auto"/>
                <w:highlight w:val="none"/>
                <w:u w:val="none"/>
                <w:lang w:val="en-US" w:eastAsia="zh-CN"/>
              </w:rPr>
            </w:pPr>
            <w:r>
              <w:rPr>
                <w:rFonts w:hint="eastAsia" w:ascii="Times New Roman" w:hAnsi="Times New Roman" w:eastAsia="宋体" w:cs="宋体"/>
                <w:color w:val="auto"/>
                <w:highlight w:val="none"/>
                <w:u w:val="none"/>
                <w:lang w:val="en-US" w:eastAsia="zh-CN"/>
              </w:rPr>
              <w:t>式中：Lp(r)--预测点处声压级，dB(A)；</w:t>
            </w:r>
          </w:p>
          <w:p>
            <w:pPr>
              <w:bidi w:val="0"/>
              <w:rPr>
                <w:rFonts w:hint="eastAsia" w:ascii="Times New Roman" w:hAnsi="Times New Roman" w:eastAsia="宋体" w:cs="宋体"/>
                <w:color w:val="auto"/>
                <w:highlight w:val="none"/>
                <w:u w:val="none"/>
                <w:lang w:val="en-US" w:eastAsia="zh-CN"/>
              </w:rPr>
            </w:pPr>
            <w:r>
              <w:rPr>
                <w:rFonts w:hint="eastAsia" w:ascii="Times New Roman" w:hAnsi="Times New Roman" w:eastAsia="宋体" w:cs="宋体"/>
                <w:color w:val="auto"/>
                <w:highlight w:val="none"/>
                <w:u w:val="none"/>
                <w:lang w:val="en-US" w:eastAsia="zh-CN"/>
              </w:rPr>
              <w:t>Lp(r0)--参考位置r0处的声压级，dB(A)；</w:t>
            </w:r>
          </w:p>
          <w:p>
            <w:pPr>
              <w:bidi w:val="0"/>
              <w:rPr>
                <w:rFonts w:hint="eastAsia" w:ascii="Times New Roman" w:hAnsi="Times New Roman" w:eastAsia="宋体" w:cs="宋体"/>
                <w:color w:val="auto"/>
                <w:highlight w:val="none"/>
                <w:u w:val="none"/>
                <w:lang w:val="en-US" w:eastAsia="zh-CN"/>
              </w:rPr>
            </w:pPr>
            <w:r>
              <w:rPr>
                <w:rFonts w:hint="eastAsia" w:ascii="Times New Roman" w:hAnsi="Times New Roman" w:eastAsia="宋体" w:cs="宋体"/>
                <w:color w:val="auto"/>
                <w:highlight w:val="none"/>
                <w:u w:val="none"/>
                <w:lang w:val="en-US" w:eastAsia="zh-CN"/>
              </w:rPr>
              <w:t>r--预测点距声源的距离；</w:t>
            </w:r>
          </w:p>
          <w:p>
            <w:pPr>
              <w:bidi w:val="0"/>
              <w:rPr>
                <w:rFonts w:hint="eastAsia" w:ascii="Times New Roman" w:hAnsi="Times New Roman" w:eastAsia="宋体" w:cs="宋体"/>
                <w:color w:val="auto"/>
                <w:highlight w:val="none"/>
                <w:u w:val="none"/>
                <w:lang w:val="en-US" w:eastAsia="zh-CN"/>
              </w:rPr>
            </w:pPr>
            <w:r>
              <w:rPr>
                <w:rFonts w:hint="eastAsia" w:ascii="Times New Roman" w:hAnsi="Times New Roman" w:eastAsia="宋体" w:cs="宋体"/>
                <w:color w:val="auto"/>
                <w:highlight w:val="none"/>
                <w:u w:val="none"/>
                <w:lang w:val="en-US" w:eastAsia="zh-CN"/>
              </w:rPr>
              <w:t>r0--参考位置距声源的距离。</w:t>
            </w:r>
          </w:p>
          <w:p>
            <w:pPr>
              <w:bidi w:val="0"/>
              <w:rPr>
                <w:rFonts w:hint="eastAsia" w:ascii="Times New Roman" w:hAnsi="Times New Roman" w:eastAsia="宋体" w:cs="宋体"/>
                <w:color w:val="auto"/>
                <w:highlight w:val="none"/>
                <w:u w:val="none"/>
                <w:lang w:val="en-US" w:eastAsia="zh-CN"/>
              </w:rPr>
            </w:pPr>
            <w:r>
              <w:rPr>
                <w:rFonts w:hint="eastAsia" w:ascii="Times New Roman" w:hAnsi="Times New Roman" w:eastAsia="宋体" w:cs="宋体"/>
                <w:color w:val="auto"/>
                <w:highlight w:val="none"/>
                <w:u w:val="none"/>
                <w:lang w:val="en-US" w:eastAsia="zh-CN"/>
              </w:rPr>
              <w:t>ΔL--各种因素引起的衰减量（包括声屏障、空气吸收等引起的衰减量），本次评价取10dB(A)。</w:t>
            </w:r>
          </w:p>
          <w:p>
            <w:pPr>
              <w:bidi w:val="0"/>
              <w:rPr>
                <w:rFonts w:hint="eastAsia" w:ascii="Times New Roman" w:hAnsi="Times New Roman" w:eastAsia="宋体" w:cs="宋体"/>
                <w:color w:val="auto"/>
                <w:highlight w:val="none"/>
                <w:u w:val="none"/>
                <w:lang w:val="en-US" w:eastAsia="zh-CN"/>
              </w:rPr>
            </w:pPr>
            <w:r>
              <w:rPr>
                <w:rFonts w:hint="eastAsia" w:ascii="Times New Roman" w:hAnsi="Times New Roman" w:eastAsia="宋体" w:cs="宋体"/>
                <w:color w:val="auto"/>
                <w:highlight w:val="none"/>
                <w:u w:val="none"/>
                <w:lang w:val="en-US" w:eastAsia="zh-CN"/>
              </w:rPr>
              <w:t>对于多台施工机械对某个预测点的影响，应进行声级叠加，叠加公式如下：</w:t>
            </w:r>
          </w:p>
          <w:p>
            <w:pPr>
              <w:bidi w:val="0"/>
              <w:rPr>
                <w:rFonts w:hint="eastAsia" w:ascii="Times New Roman" w:hAnsi="Times New Roman" w:eastAsia="宋体" w:cs="宋体"/>
                <w:color w:val="auto"/>
                <w:highlight w:val="none"/>
                <w:u w:val="none"/>
                <w:lang w:val="en-US" w:eastAsia="zh-CN"/>
              </w:rPr>
            </w:pPr>
            <m:oMathPara>
              <m:oMath>
                <m:r>
                  <m:rPr>
                    <m:sty m:val="p"/>
                  </m:rPr>
                  <w:rPr>
                    <w:rFonts w:hint="eastAsia" w:ascii="Cambria Math" w:hAnsi="Cambria Math" w:eastAsia="宋体" w:cs="宋体"/>
                    <w:color w:val="auto"/>
                    <w:highlight w:val="none"/>
                    <w:u w:val="none"/>
                    <w:lang w:val="en-US" w:eastAsia="zh-CN"/>
                  </w:rPr>
                  <m:t>L=10</m:t>
                </m:r>
                <m:func>
                  <m:funcPr>
                    <m:ctrlPr>
                      <w:rPr>
                        <w:rFonts w:hint="eastAsia" w:ascii="Cambria Math" w:hAnsi="Cambria Math" w:eastAsia="宋体" w:cs="宋体"/>
                        <w:color w:val="auto"/>
                        <w:highlight w:val="none"/>
                        <w:u w:val="none"/>
                        <w:lang w:val="en-US" w:eastAsia="zh-CN"/>
                      </w:rPr>
                    </m:ctrlPr>
                  </m:funcPr>
                  <m:fName>
                    <m:r>
                      <m:rPr>
                        <m:sty m:val="p"/>
                      </m:rPr>
                      <w:rPr>
                        <w:rFonts w:hint="eastAsia" w:ascii="Cambria Math" w:hAnsi="Cambria Math" w:eastAsia="宋体" w:cs="宋体"/>
                        <w:color w:val="auto"/>
                        <w:highlight w:val="none"/>
                        <w:u w:val="none"/>
                        <w:lang w:val="en-US" w:eastAsia="zh-CN"/>
                      </w:rPr>
                      <m:t>log</m:t>
                    </m:r>
                    <m:ctrlPr>
                      <w:rPr>
                        <w:rFonts w:hint="eastAsia" w:ascii="Cambria Math" w:hAnsi="Cambria Math" w:eastAsia="宋体" w:cs="宋体"/>
                        <w:color w:val="auto"/>
                        <w:highlight w:val="none"/>
                        <w:u w:val="none"/>
                        <w:lang w:val="en-US" w:eastAsia="zh-CN"/>
                      </w:rPr>
                    </m:ctrlPr>
                  </m:fName>
                  <m:e>
                    <m:nary>
                      <m:naryPr>
                        <m:chr m:val="∑"/>
                        <m:limLoc m:val="undOvr"/>
                        <m:ctrlPr>
                          <w:rPr>
                            <w:rFonts w:hint="eastAsia" w:ascii="Cambria Math" w:hAnsi="Cambria Math" w:eastAsia="宋体" w:cs="宋体"/>
                            <w:color w:val="auto"/>
                            <w:highlight w:val="none"/>
                            <w:u w:val="none"/>
                            <w:lang w:val="en-US" w:eastAsia="zh-CN"/>
                          </w:rPr>
                        </m:ctrlPr>
                      </m:naryPr>
                      <m:sub>
                        <m:r>
                          <m:rPr>
                            <m:sty m:val="p"/>
                          </m:rPr>
                          <w:rPr>
                            <w:rFonts w:hint="eastAsia" w:ascii="Cambria Math" w:hAnsi="Cambria Math" w:eastAsia="宋体" w:cs="宋体"/>
                            <w:color w:val="auto"/>
                            <w:highlight w:val="none"/>
                            <w:u w:val="none"/>
                            <w:lang w:val="en-US" w:eastAsia="zh-CN"/>
                          </w:rPr>
                          <m:t>i=1</m:t>
                        </m:r>
                        <m:ctrlPr>
                          <w:rPr>
                            <w:rFonts w:hint="eastAsia" w:ascii="Cambria Math" w:hAnsi="Cambria Math" w:eastAsia="宋体" w:cs="宋体"/>
                            <w:color w:val="auto"/>
                            <w:highlight w:val="none"/>
                            <w:u w:val="none"/>
                            <w:lang w:val="en-US" w:eastAsia="zh-CN"/>
                          </w:rPr>
                        </m:ctrlPr>
                      </m:sub>
                      <m:sup>
                        <m:r>
                          <m:rPr>
                            <m:sty m:val="p"/>
                          </m:rPr>
                          <w:rPr>
                            <w:rFonts w:hint="eastAsia" w:ascii="Cambria Math" w:hAnsi="Cambria Math" w:eastAsia="宋体" w:cs="宋体"/>
                            <w:color w:val="auto"/>
                            <w:highlight w:val="none"/>
                            <w:u w:val="none"/>
                            <w:lang w:val="en-US" w:eastAsia="zh-CN"/>
                          </w:rPr>
                          <m:t>n</m:t>
                        </m:r>
                        <m:ctrlPr>
                          <w:rPr>
                            <w:rFonts w:hint="eastAsia" w:ascii="Cambria Math" w:hAnsi="Cambria Math" w:eastAsia="宋体" w:cs="宋体"/>
                            <w:color w:val="auto"/>
                            <w:highlight w:val="none"/>
                            <w:u w:val="none"/>
                            <w:lang w:val="en-US" w:eastAsia="zh-CN"/>
                          </w:rPr>
                        </m:ctrlPr>
                      </m:sup>
                      <m:e>
                        <m:sSup>
                          <m:sSupPr>
                            <m:ctrlPr>
                              <w:rPr>
                                <w:rFonts w:hint="eastAsia" w:ascii="Cambria Math" w:hAnsi="Cambria Math" w:eastAsia="宋体" w:cs="宋体"/>
                                <w:color w:val="auto"/>
                                <w:highlight w:val="none"/>
                                <w:u w:val="none"/>
                                <w:lang w:val="en-US" w:eastAsia="zh-CN"/>
                              </w:rPr>
                            </m:ctrlPr>
                          </m:sSupPr>
                          <m:e>
                            <m:r>
                              <m:rPr>
                                <m:sty m:val="p"/>
                              </m:rPr>
                              <w:rPr>
                                <w:rFonts w:hint="eastAsia" w:ascii="Cambria Math" w:hAnsi="Cambria Math" w:eastAsia="宋体" w:cs="宋体"/>
                                <w:color w:val="auto"/>
                                <w:highlight w:val="none"/>
                                <w:u w:val="none"/>
                                <w:lang w:val="en-US" w:eastAsia="zh-CN"/>
                              </w:rPr>
                              <m:t>10</m:t>
                            </m:r>
                            <m:ctrlPr>
                              <w:rPr>
                                <w:rFonts w:hint="eastAsia" w:ascii="Cambria Math" w:hAnsi="Cambria Math" w:eastAsia="宋体" w:cs="宋体"/>
                                <w:color w:val="auto"/>
                                <w:highlight w:val="none"/>
                                <w:u w:val="none"/>
                                <w:lang w:val="en-US" w:eastAsia="zh-CN"/>
                              </w:rPr>
                            </m:ctrlPr>
                          </m:e>
                          <m:sup>
                            <m:r>
                              <m:rPr>
                                <m:sty m:val="p"/>
                              </m:rPr>
                              <w:rPr>
                                <w:rFonts w:hint="eastAsia" w:ascii="Cambria Math" w:hAnsi="Cambria Math" w:eastAsia="宋体" w:cs="宋体"/>
                                <w:color w:val="auto"/>
                                <w:highlight w:val="none"/>
                                <w:u w:val="none"/>
                                <w:lang w:val="en-US" w:eastAsia="zh-CN"/>
                              </w:rPr>
                              <m:t>0.1Li</m:t>
                            </m:r>
                            <m:ctrlPr>
                              <w:rPr>
                                <w:rFonts w:hint="eastAsia" w:ascii="Cambria Math" w:hAnsi="Cambria Math" w:eastAsia="宋体" w:cs="宋体"/>
                                <w:color w:val="auto"/>
                                <w:highlight w:val="none"/>
                                <w:u w:val="none"/>
                                <w:lang w:val="en-US" w:eastAsia="zh-CN"/>
                              </w:rPr>
                            </m:ctrlPr>
                          </m:sup>
                        </m:sSup>
                        <m:ctrlPr>
                          <w:rPr>
                            <w:rFonts w:hint="eastAsia" w:ascii="Cambria Math" w:hAnsi="Cambria Math" w:eastAsia="宋体" w:cs="宋体"/>
                            <w:color w:val="auto"/>
                            <w:highlight w:val="none"/>
                            <w:u w:val="none"/>
                            <w:lang w:val="en-US" w:eastAsia="zh-CN"/>
                          </w:rPr>
                        </m:ctrlPr>
                      </m:e>
                    </m:nary>
                    <m:ctrlPr>
                      <w:rPr>
                        <w:rFonts w:hint="eastAsia" w:ascii="Cambria Math" w:hAnsi="Cambria Math" w:eastAsia="宋体" w:cs="宋体"/>
                        <w:color w:val="auto"/>
                        <w:highlight w:val="none"/>
                        <w:u w:val="none"/>
                        <w:lang w:val="en-US" w:eastAsia="zh-CN"/>
                      </w:rPr>
                    </m:ctrlPr>
                  </m:e>
                </m:func>
              </m:oMath>
            </m:oMathPara>
          </w:p>
          <w:p>
            <w:pPr>
              <w:bidi w:val="0"/>
              <w:rPr>
                <w:rFonts w:hint="eastAsia" w:ascii="Times New Roman" w:hAnsi="Times New Roman" w:eastAsia="宋体" w:cs="宋体"/>
                <w:color w:val="auto"/>
                <w:highlight w:val="none"/>
                <w:u w:val="none"/>
                <w:lang w:val="en-US" w:eastAsia="zh-CN"/>
              </w:rPr>
            </w:pPr>
            <w:r>
              <w:rPr>
                <w:rFonts w:hint="eastAsia" w:ascii="Times New Roman" w:hAnsi="Times New Roman" w:eastAsia="宋体" w:cs="宋体"/>
                <w:color w:val="auto"/>
                <w:highlight w:val="none"/>
                <w:u w:val="none"/>
                <w:lang w:val="en-US" w:eastAsia="zh-CN"/>
              </w:rPr>
              <w:t>式中：L--总声压级，dB(A)；</w:t>
            </w:r>
          </w:p>
          <w:p>
            <w:pPr>
              <w:bidi w:val="0"/>
              <w:rPr>
                <w:rFonts w:hint="eastAsia" w:ascii="Times New Roman" w:hAnsi="Times New Roman" w:eastAsia="宋体" w:cs="宋体"/>
                <w:color w:val="auto"/>
                <w:highlight w:val="none"/>
                <w:u w:val="none"/>
                <w:lang w:val="en-US" w:eastAsia="zh-CN"/>
              </w:rPr>
            </w:pPr>
            <w:r>
              <w:rPr>
                <w:rFonts w:hint="eastAsia" w:ascii="Times New Roman" w:hAnsi="Times New Roman" w:eastAsia="宋体" w:cs="宋体"/>
                <w:color w:val="auto"/>
                <w:highlight w:val="none"/>
                <w:u w:val="none"/>
                <w:lang w:val="en-US" w:eastAsia="zh-CN"/>
              </w:rPr>
              <w:t>n--噪声源数。</w:t>
            </w:r>
          </w:p>
          <w:p>
            <w:pPr>
              <w:bidi w:val="0"/>
              <w:ind w:firstLine="480" w:firstLineChars="200"/>
              <w:rPr>
                <w:rFonts w:hint="eastAsia"/>
                <w:color w:val="auto"/>
                <w:highlight w:val="none"/>
                <w:u w:val="none"/>
                <w:lang w:val="en-US" w:eastAsia="zh-CN"/>
              </w:rPr>
            </w:pPr>
            <w:r>
              <w:rPr>
                <w:rFonts w:hint="eastAsia"/>
                <w:color w:val="auto"/>
                <w:highlight w:val="none"/>
                <w:u w:val="none"/>
                <w:lang w:val="en-US" w:eastAsia="zh-CN"/>
              </w:rPr>
              <w:t>各类常用施工机械噪声源及不同距离处影响情况统计见下表。</w:t>
            </w:r>
          </w:p>
          <w:p>
            <w:pPr>
              <w:pStyle w:val="16"/>
              <w:keepNext w:val="0"/>
              <w:keepLines w:val="0"/>
              <w:suppressLineNumbers w:val="0"/>
              <w:spacing w:beforeAutospacing="0" w:after="0" w:afterAutospacing="0"/>
              <w:ind w:left="0" w:right="0"/>
              <w:rPr>
                <w:rFonts w:hint="default" w:ascii="Times New Roman" w:hAnsi="Times New Roman" w:cs="Times New Roman"/>
                <w:b/>
                <w:color w:val="auto"/>
                <w:kern w:val="0"/>
                <w:sz w:val="24"/>
                <w:highlight w:val="none"/>
              </w:rPr>
            </w:pPr>
            <w:r>
              <w:rPr>
                <w:rFonts w:hint="default" w:ascii="Times New Roman" w:hAnsi="Times New Roman" w:cs="Times New Roman"/>
                <w:color w:val="auto"/>
                <w:highlight w:val="none"/>
                <w:lang w:val="en-US" w:eastAsia="zh-CN"/>
              </w:rPr>
              <w:t>表4-5  各种机械设备不同距离处的噪声源强   单位dB（A）</w:t>
            </w:r>
          </w:p>
          <w:tbl>
            <w:tblPr>
              <w:tblStyle w:val="11"/>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1365"/>
              <w:gridCol w:w="553"/>
              <w:gridCol w:w="558"/>
              <w:gridCol w:w="663"/>
              <w:gridCol w:w="661"/>
              <w:gridCol w:w="661"/>
              <w:gridCol w:w="661"/>
              <w:gridCol w:w="661"/>
              <w:gridCol w:w="661"/>
              <w:gridCol w:w="663"/>
              <w:gridCol w:w="663"/>
              <w:gridCol w:w="72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3" w:hRule="atLeast"/>
                <w:tblHeader/>
                <w:jc w:val="center"/>
              </w:trPr>
              <w:tc>
                <w:tcPr>
                  <w:tcW w:w="804" w:type="pct"/>
                  <w:vMerge w:val="restart"/>
                  <w:noWrap w:val="0"/>
                  <w:vAlign w:val="center"/>
                  <mc:AlternateContent>
                    <mc:Choice Requires="wpsCustomData">
                      <wpsCustomData:diagonals>
                        <wpsCustomData:diagonal from="10000" to="30000">
                          <wpsCustomData:border w:val="single" w:color="auto" w:sz="12" w:space="0"/>
                        </wpsCustomData:diagonal>
                      </wpsCustomData:diagonals>
                    </mc:Choice>
                  </mc:AlternateContent>
                </w:tcPr>
                <w:p>
                  <w:pPr>
                    <w:pStyle w:val="15"/>
                    <w:keepNext w:val="0"/>
                    <w:keepLines w:val="0"/>
                    <w:widowControl/>
                    <w:suppressLineNumbers w:val="0"/>
                    <w:bidi w:val="0"/>
                    <w:snapToGrid w:val="0"/>
                    <w:spacing w:before="0" w:beforeAutospacing="0" w:after="0" w:afterAutospacing="0" w:line="240" w:lineRule="auto"/>
                    <w:ind w:left="0" w:right="0"/>
                    <w:jc w:val="center"/>
                    <w:rPr>
                      <w:rFonts w:hint="default" w:ascii="Times New Roman" w:hAnsi="Times New Roman" w:cs="Times New Roman"/>
                      <w:b/>
                      <w:bCs/>
                      <w:color w:val="auto"/>
                      <w:highlight w:val="none"/>
                      <w:u w:val="none"/>
                      <w:lang w:val="en-US" w:eastAsia="zh-CN"/>
                    </w:rPr>
                  </w:pPr>
                </w:p>
                <w:p>
                  <w:pPr>
                    <w:pStyle w:val="15"/>
                    <w:keepNext w:val="0"/>
                    <w:keepLines w:val="0"/>
                    <w:widowControl/>
                    <w:suppressLineNumbers w:val="0"/>
                    <w:bidi w:val="0"/>
                    <w:snapToGrid w:val="0"/>
                    <w:spacing w:before="0" w:beforeAutospacing="0" w:after="0" w:afterAutospacing="0" w:line="240" w:lineRule="auto"/>
                    <w:ind w:left="0" w:right="0"/>
                    <w:jc w:val="center"/>
                    <w:rPr>
                      <w:rFonts w:hint="default" w:ascii="Times New Roman" w:hAnsi="Times New Roman" w:cs="Times New Roman"/>
                      <w:b/>
                      <w:bCs/>
                      <w:color w:val="auto"/>
                      <w:highlight w:val="none"/>
                      <w:u w:val="none"/>
                      <w:lang w:val="en-US" w:eastAsia="zh-CN"/>
                    </w:rPr>
                  </w:pPr>
                </w:p>
                <w:p>
                  <w:pPr>
                    <w:pStyle w:val="15"/>
                    <w:keepNext w:val="0"/>
                    <w:keepLines w:val="0"/>
                    <w:widowControl/>
                    <w:suppressLineNumbers w:val="0"/>
                    <w:bidi w:val="0"/>
                    <w:snapToGrid w:val="0"/>
                    <w:spacing w:before="0" w:beforeAutospacing="0" w:after="0" w:afterAutospacing="0" w:line="240" w:lineRule="auto"/>
                    <w:ind w:left="0" w:right="0"/>
                    <w:jc w:val="center"/>
                    <w:rPr>
                      <w:rFonts w:hint="default" w:ascii="Times New Roman" w:hAnsi="Times New Roman" w:cs="Times New Roman"/>
                      <w:b/>
                      <w:bCs/>
                      <w:color w:val="auto"/>
                      <w:highlight w:val="none"/>
                      <w:u w:val="none"/>
                      <w:lang w:val="en-US" w:eastAsia="zh-CN"/>
                    </w:rPr>
                  </w:pPr>
                </w:p>
                <w:p>
                  <w:pPr>
                    <w:pStyle w:val="15"/>
                    <w:keepNext w:val="0"/>
                    <w:keepLines w:val="0"/>
                    <w:widowControl/>
                    <w:suppressLineNumbers w:val="0"/>
                    <w:bidi w:val="0"/>
                    <w:snapToGrid w:val="0"/>
                    <w:spacing w:before="0" w:beforeAutospacing="0" w:after="0" w:afterAutospacing="0" w:line="240" w:lineRule="auto"/>
                    <w:ind w:left="0" w:right="0"/>
                    <w:jc w:val="center"/>
                    <mc:AlternateContent>
                      <mc:Choice Requires="wpsCustomData">
                        <wpsCustomData:diagonalParaType/>
                      </mc:Choice>
                    </mc:AlternateContent>
                    <w:rPr>
                      <w:rFonts w:hint="default" w:ascii="Times New Roman" w:hAnsi="Times New Roman" w:eastAsia="宋体" w:cs="Times New Roman"/>
                      <w:b/>
                      <w:bCs/>
                      <w:color w:val="auto"/>
                      <w:highlight w:val="none"/>
                      <w:u w:val="none"/>
                      <w:lang w:val="en-US" w:eastAsia="zh-CN"/>
                    </w:rPr>
                  </w:pPr>
                  <w:r>
                    <w:rPr>
                      <w:rFonts w:hint="default" w:ascii="Times New Roman" w:hAnsi="Times New Roman" w:cs="Times New Roman"/>
                      <w:b/>
                      <w:bCs/>
                      <w:color w:val="auto"/>
                      <w:highlight w:val="none"/>
                      <w:u w:val="none"/>
                      <w:lang w:val="en-US" w:eastAsia="zh-CN"/>
                    </w:rPr>
                    <w:t>噪声源</w:t>
                  </w:r>
                </w:p>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b/>
                      <w:bCs/>
                      <w:color w:val="auto"/>
                      <w:highlight w:val="none"/>
                      <w:u w:val="none"/>
                      <w:lang w:val="en-US" w:eastAsia="zh-CN"/>
                    </w:rPr>
                  </w:pPr>
                  <w:r>
                    <w:rPr>
                      <w:rFonts w:hint="default" w:ascii="Times New Roman" w:hAnsi="Times New Roman" w:cs="Times New Roman"/>
                      <w:b/>
                      <w:bCs/>
                      <w:color w:val="auto"/>
                      <w:highlight w:val="none"/>
                      <w:u w:val="none"/>
                      <w:lang w:val="en-US" w:eastAsia="zh-CN"/>
                    </w:rPr>
                    <w:t>距离/m</w:t>
                  </w:r>
                </w:p>
              </w:tc>
              <w:tc>
                <w:tcPr>
                  <w:tcW w:w="4195" w:type="pct"/>
                  <w:gridSpan w:val="11"/>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highlight w:val="none"/>
                      <w:u w:val="none"/>
                      <w:lang w:val="en-US" w:eastAsia="zh-CN" w:bidi="ar-SA"/>
                    </w:rPr>
                  </w:pPr>
                  <w:r>
                    <w:rPr>
                      <w:rFonts w:hint="default" w:ascii="Times New Roman" w:hAnsi="Times New Roman" w:cs="Times New Roman"/>
                      <w:b/>
                      <w:bCs/>
                      <w:color w:val="auto"/>
                      <w:highlight w:val="none"/>
                      <w:u w:val="none"/>
                      <w:lang w:val="en-US" w:eastAsia="zh-CN" w:bidi="ar-SA"/>
                    </w:rPr>
                    <w:t>距离场界不同距离噪声预测值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73" w:hRule="atLeast"/>
                <w:tblHeader/>
                <w:jc w:val="center"/>
              </w:trPr>
              <w:tc>
                <w:tcPr>
                  <w:tcW w:w="804" w:type="pct"/>
                  <w:vMerge w:val="continue"/>
                  <w:tcBorders>
                    <w:bottom w:val="single" w:color="auto" w:sz="12" w:space="0"/>
                  </w:tcBorders>
                  <w:noWrap w:val="0"/>
                  <w:vAlign w:val="center"/>
                </w:tcPr>
                <w:p>
                  <w:pPr>
                    <w:keepNext w:val="0"/>
                    <w:keepLines w:val="0"/>
                    <w:suppressLineNumbers w:val="0"/>
                    <w:bidi w:val="0"/>
                    <w:spacing w:before="0" w:beforeAutospacing="0" w:after="0" w:afterAutospacing="0"/>
                    <w:ind w:left="0" w:right="0"/>
                    <w:jc w:val="center"/>
                    <w:rPr>
                      <w:rFonts w:hint="default" w:ascii="Times New Roman" w:hAnsi="Times New Roman" w:cs="Times New Roman"/>
                      <w:b/>
                      <w:bCs/>
                      <w:color w:val="auto"/>
                      <w:highlight w:val="none"/>
                      <w:u w:val="none"/>
                    </w:rPr>
                  </w:pPr>
                </w:p>
              </w:tc>
              <w:tc>
                <w:tcPr>
                  <w:tcW w:w="326" w:type="pct"/>
                  <w:tcBorders>
                    <w:bottom w:val="single" w:color="auto" w:sz="12" w:space="0"/>
                  </w:tcBorders>
                  <w:noWrap w:val="0"/>
                  <w:vAlign w:val="center"/>
                </w:tcPr>
                <w:p>
                  <w:pPr>
                    <w:pStyle w:val="15"/>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lang w:val="en-US" w:eastAsia="zh-CN"/>
                    </w:rPr>
                    <w:t>1</w:t>
                  </w:r>
                </w:p>
              </w:tc>
              <w:tc>
                <w:tcPr>
                  <w:tcW w:w="329" w:type="pct"/>
                  <w:tcBorders>
                    <w:bottom w:val="single" w:color="auto" w:sz="12" w:space="0"/>
                  </w:tcBorders>
                  <w:noWrap w:val="0"/>
                  <w:vAlign w:val="center"/>
                </w:tcPr>
                <w:p>
                  <w:pPr>
                    <w:pStyle w:val="15"/>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lang w:val="en-US" w:eastAsia="zh-CN"/>
                    </w:rPr>
                    <w:t>源强衰减</w:t>
                  </w:r>
                </w:p>
              </w:tc>
              <w:tc>
                <w:tcPr>
                  <w:tcW w:w="390" w:type="pct"/>
                  <w:tcBorders>
                    <w:bottom w:val="single" w:color="auto" w:sz="12" w:space="0"/>
                  </w:tcBorders>
                  <w:noWrap w:val="0"/>
                  <w:vAlign w:val="center"/>
                </w:tcPr>
                <w:p>
                  <w:pPr>
                    <w:pStyle w:val="15"/>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lang w:val="en-US" w:eastAsia="zh-CN"/>
                    </w:rPr>
                    <w:t>10</w:t>
                  </w:r>
                </w:p>
              </w:tc>
              <w:tc>
                <w:tcPr>
                  <w:tcW w:w="389" w:type="pct"/>
                  <w:tcBorders>
                    <w:bottom w:val="single" w:color="auto" w:sz="12" w:space="0"/>
                  </w:tcBorders>
                  <w:noWrap w:val="0"/>
                  <w:vAlign w:val="center"/>
                </w:tcPr>
                <w:p>
                  <w:pPr>
                    <w:pStyle w:val="15"/>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lang w:val="en-US" w:eastAsia="zh-CN"/>
                    </w:rPr>
                    <w:t>20</w:t>
                  </w:r>
                </w:p>
              </w:tc>
              <w:tc>
                <w:tcPr>
                  <w:tcW w:w="389" w:type="pct"/>
                  <w:tcBorders>
                    <w:bottom w:val="single" w:color="auto" w:sz="12" w:space="0"/>
                  </w:tcBorders>
                  <w:noWrap w:val="0"/>
                  <w:vAlign w:val="center"/>
                </w:tcPr>
                <w:p>
                  <w:pPr>
                    <w:pStyle w:val="15"/>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lang w:val="en-US" w:eastAsia="zh-CN"/>
                    </w:rPr>
                    <w:t>30</w:t>
                  </w:r>
                </w:p>
              </w:tc>
              <w:tc>
                <w:tcPr>
                  <w:tcW w:w="389" w:type="pct"/>
                  <w:tcBorders>
                    <w:bottom w:val="single" w:color="auto" w:sz="12" w:space="0"/>
                  </w:tcBorders>
                  <w:noWrap w:val="0"/>
                  <w:vAlign w:val="center"/>
                </w:tcPr>
                <w:p>
                  <w:pPr>
                    <w:pStyle w:val="15"/>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lang w:val="en-US" w:eastAsia="zh-CN"/>
                    </w:rPr>
                    <w:t>40</w:t>
                  </w:r>
                </w:p>
              </w:tc>
              <w:tc>
                <w:tcPr>
                  <w:tcW w:w="389" w:type="pct"/>
                  <w:tcBorders>
                    <w:bottom w:val="single" w:color="auto" w:sz="12" w:space="0"/>
                  </w:tcBorders>
                  <w:noWrap w:val="0"/>
                  <w:vAlign w:val="center"/>
                </w:tcPr>
                <w:p>
                  <w:pPr>
                    <w:pStyle w:val="15"/>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lang w:val="en-US" w:eastAsia="zh-CN"/>
                    </w:rPr>
                    <w:t>60</w:t>
                  </w:r>
                </w:p>
              </w:tc>
              <w:tc>
                <w:tcPr>
                  <w:tcW w:w="389" w:type="pct"/>
                  <w:tcBorders>
                    <w:bottom w:val="single" w:color="auto" w:sz="12" w:space="0"/>
                  </w:tcBorders>
                  <w:noWrap w:val="0"/>
                  <w:vAlign w:val="center"/>
                </w:tcPr>
                <w:p>
                  <w:pPr>
                    <w:pStyle w:val="15"/>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lang w:val="en-US" w:eastAsia="zh-CN"/>
                    </w:rPr>
                    <w:t>80</w:t>
                  </w:r>
                </w:p>
              </w:tc>
              <w:tc>
                <w:tcPr>
                  <w:tcW w:w="390" w:type="pct"/>
                  <w:tcBorders>
                    <w:bottom w:val="single" w:color="auto" w:sz="12" w:space="0"/>
                  </w:tcBorders>
                  <w:noWrap w:val="0"/>
                  <w:vAlign w:val="center"/>
                </w:tcPr>
                <w:p>
                  <w:pPr>
                    <w:pStyle w:val="15"/>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lang w:val="en-US" w:eastAsia="zh-CN"/>
                    </w:rPr>
                    <w:t>100</w:t>
                  </w:r>
                </w:p>
              </w:tc>
              <w:tc>
                <w:tcPr>
                  <w:tcW w:w="390" w:type="pct"/>
                  <w:tcBorders>
                    <w:bottom w:val="single" w:color="auto" w:sz="12" w:space="0"/>
                  </w:tcBorders>
                  <w:noWrap w:val="0"/>
                  <w:vAlign w:val="center"/>
                </w:tcPr>
                <w:p>
                  <w:pPr>
                    <w:pStyle w:val="15"/>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lang w:val="en-US" w:eastAsia="zh-CN"/>
                    </w:rPr>
                    <w:t>150</w:t>
                  </w:r>
                </w:p>
              </w:tc>
              <w:tc>
                <w:tcPr>
                  <w:tcW w:w="423" w:type="pct"/>
                  <w:tcBorders>
                    <w:bottom w:val="single" w:color="auto" w:sz="12" w:space="0"/>
                  </w:tcBorders>
                  <w:noWrap w:val="0"/>
                  <w:vAlign w:val="center"/>
                </w:tcPr>
                <w:p>
                  <w:pPr>
                    <w:pStyle w:val="15"/>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200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804" w:type="pct"/>
                  <w:tcBorders>
                    <w:top w:val="single" w:color="auto" w:sz="12" w:space="0"/>
                    <w:tl2br w:val="nil"/>
                    <w:tr2bl w:val="nil"/>
                  </w:tcBorders>
                  <w:noWrap w:val="0"/>
                  <w:vAlign w:val="top"/>
                </w:tcPr>
                <w:p>
                  <w:pPr>
                    <w:pStyle w:val="15"/>
                    <w:bidi w:val="0"/>
                    <w:rPr>
                      <w:rFonts w:hint="default"/>
                      <w:color w:val="auto"/>
                      <w:highlight w:val="none"/>
                      <w:lang w:val="en-US" w:eastAsia="zh-CN"/>
                    </w:rPr>
                  </w:pPr>
                  <w:r>
                    <w:rPr>
                      <w:color w:val="auto"/>
                      <w:highlight w:val="none"/>
                    </w:rPr>
                    <w:t>挖土机</w:t>
                  </w:r>
                </w:p>
              </w:tc>
              <w:tc>
                <w:tcPr>
                  <w:tcW w:w="326" w:type="pct"/>
                  <w:tcBorders>
                    <w:top w:val="single" w:color="auto" w:sz="12" w:space="0"/>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highlight w:val="none"/>
                      <w:u w:val="none"/>
                      <w:lang w:val="en-US" w:eastAsia="zh-CN"/>
                    </w:rPr>
                  </w:pPr>
                  <w:r>
                    <w:rPr>
                      <w:rFonts w:hint="eastAsia" w:cs="Times New Roman"/>
                      <w:color w:val="auto"/>
                      <w:highlight w:val="none"/>
                      <w:u w:val="none"/>
                      <w:lang w:val="en-US" w:eastAsia="zh-CN"/>
                    </w:rPr>
                    <w:t>85</w:t>
                  </w:r>
                </w:p>
              </w:tc>
              <w:tc>
                <w:tcPr>
                  <w:tcW w:w="329" w:type="pct"/>
                  <w:tcBorders>
                    <w:top w:val="single" w:color="auto" w:sz="12" w:space="0"/>
                    <w:tl2br w:val="nil"/>
                    <w:tr2bl w:val="nil"/>
                  </w:tcBorders>
                  <w:noWrap w:val="0"/>
                  <w:vAlign w:val="center"/>
                </w:tcPr>
                <w:p>
                  <w:pPr>
                    <w:pStyle w:val="15"/>
                    <w:keepNext w:val="0"/>
                    <w:keepLines w:val="0"/>
                    <w:widowControl/>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highlight w:val="none"/>
                      <w:u w:val="none"/>
                      <w:lang w:val="en-US" w:eastAsia="zh-CN"/>
                    </w:rPr>
                  </w:pPr>
                  <w:r>
                    <w:rPr>
                      <w:rFonts w:hint="eastAsia" w:eastAsia="宋体" w:cs="Times New Roman"/>
                      <w:color w:val="auto"/>
                      <w:highlight w:val="none"/>
                      <w:u w:val="none"/>
                      <w:lang w:val="en-US" w:eastAsia="zh-CN"/>
                    </w:rPr>
                    <w:t>75</w:t>
                  </w:r>
                </w:p>
              </w:tc>
              <w:tc>
                <w:tcPr>
                  <w:tcW w:w="390" w:type="pct"/>
                  <w:tcBorders>
                    <w:top w:val="single" w:color="auto" w:sz="12" w:space="0"/>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kern w:val="2"/>
                      <w:sz w:val="21"/>
                      <w:szCs w:val="21"/>
                      <w:highlight w:val="none"/>
                      <w:u w:val="none"/>
                      <w:lang w:val="en-US" w:eastAsia="zh-CN" w:bidi="ar-SA"/>
                    </w:rPr>
                  </w:pPr>
                  <w:r>
                    <w:rPr>
                      <w:rFonts w:hint="eastAsia"/>
                      <w:color w:val="auto"/>
                      <w:highlight w:val="none"/>
                      <w:u w:val="none"/>
                      <w:lang w:val="en-US" w:eastAsia="zh-CN" w:bidi="ar-SA"/>
                    </w:rPr>
                    <w:t>65</w:t>
                  </w:r>
                </w:p>
              </w:tc>
              <w:tc>
                <w:tcPr>
                  <w:tcW w:w="389" w:type="pct"/>
                  <w:tcBorders>
                    <w:top w:val="single" w:color="auto" w:sz="12" w:space="0"/>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kern w:val="2"/>
                      <w:sz w:val="21"/>
                      <w:szCs w:val="21"/>
                      <w:highlight w:val="none"/>
                      <w:u w:val="none"/>
                      <w:lang w:val="en-US" w:eastAsia="zh-CN" w:bidi="ar-SA"/>
                    </w:rPr>
                  </w:pPr>
                  <w:r>
                    <w:rPr>
                      <w:rFonts w:hint="eastAsia"/>
                      <w:color w:val="auto"/>
                      <w:highlight w:val="none"/>
                      <w:u w:val="none"/>
                      <w:lang w:val="en-US" w:eastAsia="zh-CN" w:bidi="ar-SA"/>
                    </w:rPr>
                    <w:t>59</w:t>
                  </w:r>
                </w:p>
              </w:tc>
              <w:tc>
                <w:tcPr>
                  <w:tcW w:w="389" w:type="pct"/>
                  <w:tcBorders>
                    <w:top w:val="single" w:color="auto" w:sz="12" w:space="0"/>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kern w:val="2"/>
                      <w:sz w:val="21"/>
                      <w:szCs w:val="21"/>
                      <w:highlight w:val="none"/>
                      <w:u w:val="none"/>
                      <w:lang w:val="en-US" w:eastAsia="zh-CN" w:bidi="ar-SA"/>
                    </w:rPr>
                  </w:pPr>
                  <w:r>
                    <w:rPr>
                      <w:rFonts w:hint="eastAsia"/>
                      <w:color w:val="auto"/>
                      <w:highlight w:val="none"/>
                      <w:u w:val="none"/>
                      <w:lang w:val="en-US" w:eastAsia="zh-CN" w:bidi="ar-SA"/>
                    </w:rPr>
                    <w:t>55</w:t>
                  </w:r>
                </w:p>
              </w:tc>
              <w:tc>
                <w:tcPr>
                  <w:tcW w:w="389" w:type="pct"/>
                  <w:tcBorders>
                    <w:top w:val="single" w:color="auto" w:sz="12" w:space="0"/>
                    <w:tl2br w:val="nil"/>
                    <w:tr2bl w:val="nil"/>
                  </w:tcBorders>
                  <w:noWrap w:val="0"/>
                  <w:vAlign w:val="center"/>
                </w:tcPr>
                <w:p>
                  <w:pPr>
                    <w:pStyle w:val="15"/>
                    <w:bidi w:val="0"/>
                    <w:ind w:firstLine="0" w:firstLineChars="0"/>
                    <w:jc w:val="center"/>
                    <w:rPr>
                      <w:rFonts w:hint="default" w:ascii="宋体" w:hAnsi="宋体" w:eastAsia="宋体" w:cs="Times New Roman"/>
                      <w:color w:val="auto"/>
                      <w:kern w:val="2"/>
                      <w:sz w:val="21"/>
                      <w:szCs w:val="21"/>
                      <w:highlight w:val="none"/>
                      <w:u w:val="none"/>
                      <w:lang w:val="en-US" w:eastAsia="zh-CN" w:bidi="ar-SA"/>
                    </w:rPr>
                  </w:pPr>
                  <w:r>
                    <w:rPr>
                      <w:rFonts w:hint="eastAsia"/>
                      <w:color w:val="auto"/>
                      <w:highlight w:val="none"/>
                      <w:u w:val="none"/>
                      <w:lang w:val="en-US" w:eastAsia="zh-CN" w:bidi="ar-SA"/>
                    </w:rPr>
                    <w:t>53</w:t>
                  </w:r>
                </w:p>
              </w:tc>
              <w:tc>
                <w:tcPr>
                  <w:tcW w:w="389" w:type="pct"/>
                  <w:tcBorders>
                    <w:top w:val="single" w:color="auto" w:sz="12" w:space="0"/>
                    <w:tl2br w:val="nil"/>
                    <w:tr2bl w:val="nil"/>
                  </w:tcBorders>
                  <w:noWrap w:val="0"/>
                  <w:vAlign w:val="center"/>
                </w:tcPr>
                <w:p>
                  <w:pPr>
                    <w:pStyle w:val="15"/>
                    <w:bidi w:val="0"/>
                    <w:ind w:firstLine="0" w:firstLineChars="0"/>
                    <w:jc w:val="center"/>
                    <w:rPr>
                      <w:rFonts w:hint="default" w:ascii="宋体" w:hAnsi="宋体" w:eastAsia="宋体" w:cs="Times New Roman"/>
                      <w:color w:val="auto"/>
                      <w:kern w:val="2"/>
                      <w:sz w:val="21"/>
                      <w:szCs w:val="21"/>
                      <w:highlight w:val="none"/>
                      <w:u w:val="none"/>
                      <w:lang w:val="en-US" w:eastAsia="zh-CN" w:bidi="ar-SA"/>
                    </w:rPr>
                  </w:pPr>
                  <w:r>
                    <w:rPr>
                      <w:rFonts w:hint="eastAsia"/>
                      <w:color w:val="auto"/>
                      <w:highlight w:val="none"/>
                      <w:u w:val="none"/>
                      <w:lang w:val="en-US" w:eastAsia="zh-CN" w:bidi="ar-SA"/>
                    </w:rPr>
                    <w:t>49</w:t>
                  </w:r>
                </w:p>
              </w:tc>
              <w:tc>
                <w:tcPr>
                  <w:tcW w:w="389" w:type="pct"/>
                  <w:tcBorders>
                    <w:top w:val="single" w:color="auto" w:sz="12" w:space="0"/>
                    <w:tl2br w:val="nil"/>
                    <w:tr2bl w:val="nil"/>
                  </w:tcBorders>
                  <w:noWrap w:val="0"/>
                  <w:vAlign w:val="center"/>
                </w:tcPr>
                <w:p>
                  <w:pPr>
                    <w:pStyle w:val="15"/>
                    <w:bidi w:val="0"/>
                    <w:ind w:firstLine="0" w:firstLineChars="0"/>
                    <w:jc w:val="center"/>
                    <w:rPr>
                      <w:rFonts w:hint="default" w:ascii="宋体" w:hAnsi="宋体" w:eastAsia="宋体" w:cs="Times New Roman"/>
                      <w:color w:val="auto"/>
                      <w:kern w:val="2"/>
                      <w:sz w:val="21"/>
                      <w:szCs w:val="21"/>
                      <w:highlight w:val="none"/>
                      <w:u w:val="none"/>
                      <w:lang w:val="en-US" w:eastAsia="zh-CN" w:bidi="ar-SA"/>
                    </w:rPr>
                  </w:pPr>
                  <w:r>
                    <w:rPr>
                      <w:rFonts w:hint="eastAsia"/>
                      <w:color w:val="auto"/>
                      <w:highlight w:val="none"/>
                      <w:u w:val="none"/>
                      <w:lang w:val="en-US" w:eastAsia="zh-CN" w:bidi="ar-SA"/>
                    </w:rPr>
                    <w:t>47</w:t>
                  </w:r>
                </w:p>
              </w:tc>
              <w:tc>
                <w:tcPr>
                  <w:tcW w:w="390" w:type="pct"/>
                  <w:tcBorders>
                    <w:top w:val="single" w:color="auto" w:sz="12" w:space="0"/>
                    <w:tl2br w:val="nil"/>
                    <w:tr2bl w:val="nil"/>
                  </w:tcBorders>
                  <w:noWrap w:val="0"/>
                  <w:vAlign w:val="center"/>
                </w:tcPr>
                <w:p>
                  <w:pPr>
                    <w:pStyle w:val="15"/>
                    <w:bidi w:val="0"/>
                    <w:ind w:firstLine="0" w:firstLineChars="0"/>
                    <w:jc w:val="center"/>
                    <w:rPr>
                      <w:rFonts w:hint="default" w:ascii="宋体" w:hAnsi="宋体" w:eastAsia="宋体" w:cs="Times New Roman"/>
                      <w:color w:val="auto"/>
                      <w:kern w:val="2"/>
                      <w:sz w:val="21"/>
                      <w:szCs w:val="21"/>
                      <w:highlight w:val="none"/>
                      <w:u w:val="none"/>
                      <w:lang w:val="en-US" w:eastAsia="zh-CN" w:bidi="ar-SA"/>
                    </w:rPr>
                  </w:pPr>
                  <w:r>
                    <w:rPr>
                      <w:rFonts w:hint="eastAsia"/>
                      <w:color w:val="auto"/>
                      <w:highlight w:val="none"/>
                      <w:u w:val="none"/>
                      <w:lang w:val="en-US" w:eastAsia="zh-CN" w:bidi="ar-SA"/>
                    </w:rPr>
                    <w:t>45</w:t>
                  </w:r>
                </w:p>
              </w:tc>
              <w:tc>
                <w:tcPr>
                  <w:tcW w:w="390" w:type="pct"/>
                  <w:tcBorders>
                    <w:top w:val="single" w:color="auto" w:sz="12" w:space="0"/>
                    <w:tl2br w:val="nil"/>
                    <w:tr2bl w:val="nil"/>
                  </w:tcBorders>
                  <w:noWrap w:val="0"/>
                  <w:vAlign w:val="center"/>
                </w:tcPr>
                <w:p>
                  <w:pPr>
                    <w:pStyle w:val="15"/>
                    <w:bidi w:val="0"/>
                    <w:ind w:firstLine="0" w:firstLineChars="0"/>
                    <w:jc w:val="center"/>
                    <w:rPr>
                      <w:rFonts w:hint="default" w:ascii="宋体" w:hAnsi="宋体" w:eastAsia="宋体" w:cs="Times New Roman"/>
                      <w:color w:val="auto"/>
                      <w:kern w:val="2"/>
                      <w:sz w:val="21"/>
                      <w:szCs w:val="21"/>
                      <w:highlight w:val="none"/>
                      <w:u w:val="none"/>
                      <w:lang w:val="en-US" w:eastAsia="zh-CN" w:bidi="ar-SA"/>
                    </w:rPr>
                  </w:pPr>
                  <w:r>
                    <w:rPr>
                      <w:rFonts w:hint="eastAsia"/>
                      <w:color w:val="auto"/>
                      <w:highlight w:val="none"/>
                      <w:u w:val="none"/>
                      <w:lang w:val="en-US" w:eastAsia="zh-CN" w:bidi="ar-SA"/>
                    </w:rPr>
                    <w:t>41</w:t>
                  </w:r>
                </w:p>
              </w:tc>
              <w:tc>
                <w:tcPr>
                  <w:tcW w:w="423" w:type="pct"/>
                  <w:tcBorders>
                    <w:top w:val="single" w:color="auto" w:sz="12" w:space="0"/>
                    <w:tl2br w:val="nil"/>
                    <w:tr2bl w:val="nil"/>
                  </w:tcBorders>
                  <w:noWrap w:val="0"/>
                  <w:vAlign w:val="center"/>
                </w:tcPr>
                <w:p>
                  <w:pPr>
                    <w:pStyle w:val="15"/>
                    <w:bidi w:val="0"/>
                    <w:ind w:firstLine="0" w:firstLineChars="0"/>
                    <w:jc w:val="center"/>
                    <w:rPr>
                      <w:rFonts w:hint="default" w:ascii="宋体" w:hAnsi="宋体" w:eastAsia="宋体" w:cs="Times New Roman"/>
                      <w:color w:val="auto"/>
                      <w:kern w:val="2"/>
                      <w:sz w:val="21"/>
                      <w:szCs w:val="21"/>
                      <w:highlight w:val="none"/>
                      <w:u w:val="none"/>
                      <w:lang w:val="en-US" w:eastAsia="zh-CN" w:bidi="ar-SA"/>
                    </w:rPr>
                  </w:pPr>
                  <w:r>
                    <w:rPr>
                      <w:rFonts w:hint="eastAsia"/>
                      <w:color w:val="auto"/>
                      <w:highlight w:val="none"/>
                      <w:u w:val="none"/>
                      <w:lang w:val="en-US" w:eastAsia="zh-CN" w:bidi="ar-SA"/>
                    </w:rPr>
                    <w:t>39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804" w:type="pct"/>
                  <w:tcBorders>
                    <w:tl2br w:val="nil"/>
                    <w:tr2bl w:val="nil"/>
                  </w:tcBorders>
                  <w:noWrap w:val="0"/>
                  <w:vAlign w:val="top"/>
                </w:tcPr>
                <w:p>
                  <w:pPr>
                    <w:pStyle w:val="15"/>
                    <w:bidi w:val="0"/>
                    <w:rPr>
                      <w:rFonts w:hint="default"/>
                      <w:color w:val="auto"/>
                      <w:highlight w:val="none"/>
                      <w:lang w:val="en-US" w:eastAsia="zh-CN"/>
                    </w:rPr>
                  </w:pPr>
                  <w:r>
                    <w:rPr>
                      <w:color w:val="auto"/>
                      <w:highlight w:val="none"/>
                    </w:rPr>
                    <w:t>推土机</w:t>
                  </w:r>
                </w:p>
              </w:tc>
              <w:tc>
                <w:tcPr>
                  <w:tcW w:w="553" w:type="dxa"/>
                  <w:tcBorders>
                    <w:tl2br w:val="nil"/>
                    <w:tr2bl w:val="nil"/>
                  </w:tcBorders>
                  <w:noWrap w:val="0"/>
                  <w:vAlign w:val="center"/>
                </w:tcPr>
                <w:p>
                  <w:pPr>
                    <w:pStyle w:val="15"/>
                    <w:keepNext w:val="0"/>
                    <w:keepLines w:val="0"/>
                    <w:widowControl/>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highlight w:val="none"/>
                      <w:u w:val="none"/>
                      <w:lang w:val="en-US" w:eastAsia="zh-CN"/>
                    </w:rPr>
                  </w:pPr>
                  <w:r>
                    <w:rPr>
                      <w:rFonts w:hint="eastAsia" w:cs="Times New Roman"/>
                      <w:color w:val="auto"/>
                      <w:highlight w:val="none"/>
                      <w:u w:val="none"/>
                      <w:lang w:val="en-US" w:eastAsia="zh-CN"/>
                    </w:rPr>
                    <w:t>85</w:t>
                  </w:r>
                </w:p>
              </w:tc>
              <w:tc>
                <w:tcPr>
                  <w:tcW w:w="558" w:type="dxa"/>
                  <w:tcBorders>
                    <w:tl2br w:val="nil"/>
                    <w:tr2bl w:val="nil"/>
                  </w:tcBorders>
                  <w:noWrap w:val="0"/>
                  <w:vAlign w:val="center"/>
                </w:tcPr>
                <w:p>
                  <w:pPr>
                    <w:pStyle w:val="15"/>
                    <w:keepNext w:val="0"/>
                    <w:keepLines w:val="0"/>
                    <w:widowControl/>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kern w:val="2"/>
                      <w:sz w:val="21"/>
                      <w:szCs w:val="21"/>
                      <w:highlight w:val="none"/>
                      <w:u w:val="none"/>
                      <w:lang w:val="en-US" w:eastAsia="zh-CN" w:bidi="ar-SA"/>
                    </w:rPr>
                  </w:pPr>
                  <w:r>
                    <w:rPr>
                      <w:rFonts w:hint="eastAsia" w:eastAsia="宋体" w:cs="Times New Roman"/>
                      <w:color w:val="auto"/>
                      <w:highlight w:val="none"/>
                      <w:u w:val="none"/>
                      <w:lang w:val="en-US" w:eastAsia="zh-CN"/>
                    </w:rPr>
                    <w:t>75</w:t>
                  </w:r>
                </w:p>
              </w:tc>
              <w:tc>
                <w:tcPr>
                  <w:tcW w:w="663" w:type="dxa"/>
                  <w:tcBorders>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kern w:val="2"/>
                      <w:sz w:val="21"/>
                      <w:szCs w:val="21"/>
                      <w:highlight w:val="none"/>
                      <w:u w:val="none"/>
                      <w:lang w:val="en-US" w:eastAsia="zh-CN" w:bidi="ar-SA"/>
                    </w:rPr>
                  </w:pPr>
                  <w:r>
                    <w:rPr>
                      <w:rFonts w:hint="eastAsia"/>
                      <w:color w:val="auto"/>
                      <w:highlight w:val="none"/>
                      <w:u w:val="none"/>
                      <w:lang w:val="en-US" w:eastAsia="zh-CN" w:bidi="ar-SA"/>
                    </w:rPr>
                    <w:t>65</w:t>
                  </w:r>
                </w:p>
              </w:tc>
              <w:tc>
                <w:tcPr>
                  <w:tcW w:w="661" w:type="dxa"/>
                  <w:tcBorders>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kern w:val="2"/>
                      <w:sz w:val="21"/>
                      <w:szCs w:val="21"/>
                      <w:highlight w:val="none"/>
                      <w:u w:val="none"/>
                      <w:lang w:val="en-US" w:eastAsia="zh-CN" w:bidi="ar-SA"/>
                    </w:rPr>
                  </w:pPr>
                  <w:r>
                    <w:rPr>
                      <w:rFonts w:hint="eastAsia"/>
                      <w:color w:val="auto"/>
                      <w:highlight w:val="none"/>
                      <w:u w:val="none"/>
                      <w:lang w:val="en-US" w:eastAsia="zh-CN" w:bidi="ar-SA"/>
                    </w:rPr>
                    <w:t>59</w:t>
                  </w:r>
                </w:p>
              </w:tc>
              <w:tc>
                <w:tcPr>
                  <w:tcW w:w="661" w:type="dxa"/>
                  <w:tcBorders>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kern w:val="2"/>
                      <w:sz w:val="21"/>
                      <w:szCs w:val="21"/>
                      <w:highlight w:val="none"/>
                      <w:u w:val="none"/>
                      <w:lang w:val="en-US" w:eastAsia="zh-CN" w:bidi="ar-SA"/>
                    </w:rPr>
                  </w:pPr>
                  <w:r>
                    <w:rPr>
                      <w:rFonts w:hint="eastAsia"/>
                      <w:color w:val="auto"/>
                      <w:highlight w:val="none"/>
                      <w:u w:val="none"/>
                      <w:lang w:val="en-US" w:eastAsia="zh-CN" w:bidi="ar-SA"/>
                    </w:rPr>
                    <w:t>55</w:t>
                  </w:r>
                </w:p>
              </w:tc>
              <w:tc>
                <w:tcPr>
                  <w:tcW w:w="661" w:type="dxa"/>
                  <w:tcBorders>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kern w:val="2"/>
                      <w:sz w:val="21"/>
                      <w:szCs w:val="21"/>
                      <w:highlight w:val="none"/>
                      <w:u w:val="none"/>
                      <w:lang w:val="en-US" w:eastAsia="zh-CN" w:bidi="ar-SA"/>
                    </w:rPr>
                  </w:pPr>
                  <w:r>
                    <w:rPr>
                      <w:rFonts w:hint="eastAsia"/>
                      <w:color w:val="auto"/>
                      <w:highlight w:val="none"/>
                      <w:u w:val="none"/>
                      <w:lang w:val="en-US" w:eastAsia="zh-CN" w:bidi="ar-SA"/>
                    </w:rPr>
                    <w:t>53</w:t>
                  </w:r>
                </w:p>
              </w:tc>
              <w:tc>
                <w:tcPr>
                  <w:tcW w:w="661" w:type="dxa"/>
                  <w:tcBorders>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kern w:val="2"/>
                      <w:sz w:val="21"/>
                      <w:szCs w:val="21"/>
                      <w:highlight w:val="none"/>
                      <w:u w:val="none"/>
                      <w:lang w:val="en-US" w:eastAsia="zh-CN" w:bidi="ar-SA"/>
                    </w:rPr>
                  </w:pPr>
                  <w:r>
                    <w:rPr>
                      <w:rFonts w:hint="eastAsia"/>
                      <w:color w:val="auto"/>
                      <w:highlight w:val="none"/>
                      <w:u w:val="none"/>
                      <w:lang w:val="en-US" w:eastAsia="zh-CN" w:bidi="ar-SA"/>
                    </w:rPr>
                    <w:t>49</w:t>
                  </w:r>
                </w:p>
              </w:tc>
              <w:tc>
                <w:tcPr>
                  <w:tcW w:w="661" w:type="dxa"/>
                  <w:tcBorders>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kern w:val="2"/>
                      <w:sz w:val="21"/>
                      <w:szCs w:val="21"/>
                      <w:highlight w:val="none"/>
                      <w:u w:val="none"/>
                      <w:lang w:val="en-US" w:eastAsia="zh-CN" w:bidi="ar-SA"/>
                    </w:rPr>
                  </w:pPr>
                  <w:r>
                    <w:rPr>
                      <w:rFonts w:hint="eastAsia"/>
                      <w:color w:val="auto"/>
                      <w:highlight w:val="none"/>
                      <w:u w:val="none"/>
                      <w:lang w:val="en-US" w:eastAsia="zh-CN" w:bidi="ar-SA"/>
                    </w:rPr>
                    <w:t>47</w:t>
                  </w:r>
                </w:p>
              </w:tc>
              <w:tc>
                <w:tcPr>
                  <w:tcW w:w="663" w:type="dxa"/>
                  <w:tcBorders>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kern w:val="2"/>
                      <w:sz w:val="21"/>
                      <w:szCs w:val="21"/>
                      <w:highlight w:val="none"/>
                      <w:u w:val="none"/>
                      <w:lang w:val="en-US" w:eastAsia="zh-CN" w:bidi="ar-SA"/>
                    </w:rPr>
                  </w:pPr>
                  <w:r>
                    <w:rPr>
                      <w:rFonts w:hint="eastAsia"/>
                      <w:color w:val="auto"/>
                      <w:highlight w:val="none"/>
                      <w:u w:val="none"/>
                      <w:lang w:val="en-US" w:eastAsia="zh-CN" w:bidi="ar-SA"/>
                    </w:rPr>
                    <w:t>45</w:t>
                  </w:r>
                </w:p>
              </w:tc>
              <w:tc>
                <w:tcPr>
                  <w:tcW w:w="663" w:type="dxa"/>
                  <w:tcBorders>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kern w:val="2"/>
                      <w:sz w:val="21"/>
                      <w:szCs w:val="21"/>
                      <w:highlight w:val="none"/>
                      <w:u w:val="none"/>
                      <w:lang w:val="en-US" w:eastAsia="zh-CN" w:bidi="ar-SA"/>
                    </w:rPr>
                  </w:pPr>
                  <w:r>
                    <w:rPr>
                      <w:rFonts w:hint="eastAsia"/>
                      <w:color w:val="auto"/>
                      <w:highlight w:val="none"/>
                      <w:u w:val="none"/>
                      <w:lang w:val="en-US" w:eastAsia="zh-CN" w:bidi="ar-SA"/>
                    </w:rPr>
                    <w:t>41</w:t>
                  </w:r>
                </w:p>
              </w:tc>
              <w:tc>
                <w:tcPr>
                  <w:tcW w:w="724" w:type="dxa"/>
                  <w:tcBorders>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kern w:val="2"/>
                      <w:sz w:val="21"/>
                      <w:szCs w:val="21"/>
                      <w:highlight w:val="none"/>
                      <w:u w:val="none"/>
                      <w:lang w:val="en-US" w:eastAsia="zh-CN" w:bidi="ar-SA"/>
                    </w:rPr>
                  </w:pPr>
                  <w:r>
                    <w:rPr>
                      <w:rFonts w:hint="eastAsia"/>
                      <w:color w:val="auto"/>
                      <w:highlight w:val="none"/>
                      <w:u w:val="none"/>
                      <w:lang w:val="en-US" w:eastAsia="zh-CN" w:bidi="ar-SA"/>
                    </w:rPr>
                    <w:t>39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804" w:type="pct"/>
                  <w:tcBorders>
                    <w:tl2br w:val="nil"/>
                    <w:tr2bl w:val="nil"/>
                  </w:tcBorders>
                  <w:noWrap w:val="0"/>
                  <w:vAlign w:val="top"/>
                </w:tcPr>
                <w:p>
                  <w:pPr>
                    <w:pStyle w:val="15"/>
                    <w:bidi w:val="0"/>
                    <w:rPr>
                      <w:rFonts w:hint="default"/>
                      <w:color w:val="auto"/>
                      <w:highlight w:val="none"/>
                      <w:lang w:val="en-US" w:eastAsia="zh-CN"/>
                    </w:rPr>
                  </w:pPr>
                  <w:r>
                    <w:rPr>
                      <w:color w:val="auto"/>
                      <w:highlight w:val="none"/>
                    </w:rPr>
                    <w:t>装载机</w:t>
                  </w:r>
                </w:p>
              </w:tc>
              <w:tc>
                <w:tcPr>
                  <w:tcW w:w="326"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highlight w:val="none"/>
                      <w:u w:val="none"/>
                      <w:lang w:val="en-US" w:eastAsia="zh-CN"/>
                    </w:rPr>
                  </w:pPr>
                  <w:r>
                    <w:rPr>
                      <w:rFonts w:hint="eastAsia" w:cs="Times New Roman"/>
                      <w:color w:val="auto"/>
                      <w:highlight w:val="none"/>
                      <w:u w:val="none"/>
                      <w:lang w:val="en-US" w:eastAsia="zh-CN"/>
                    </w:rPr>
                    <w:t>85</w:t>
                  </w:r>
                </w:p>
              </w:tc>
              <w:tc>
                <w:tcPr>
                  <w:tcW w:w="558" w:type="dxa"/>
                  <w:tcBorders>
                    <w:tl2br w:val="nil"/>
                    <w:tr2bl w:val="nil"/>
                  </w:tcBorders>
                  <w:noWrap w:val="0"/>
                  <w:vAlign w:val="center"/>
                </w:tcPr>
                <w:p>
                  <w:pPr>
                    <w:pStyle w:val="15"/>
                    <w:keepNext w:val="0"/>
                    <w:keepLines w:val="0"/>
                    <w:widowControl/>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kern w:val="2"/>
                      <w:sz w:val="21"/>
                      <w:szCs w:val="21"/>
                      <w:highlight w:val="none"/>
                      <w:u w:val="none"/>
                      <w:lang w:val="en-US" w:eastAsia="zh-CN" w:bidi="ar-SA"/>
                    </w:rPr>
                  </w:pPr>
                  <w:r>
                    <w:rPr>
                      <w:rFonts w:hint="eastAsia" w:eastAsia="宋体" w:cs="Times New Roman"/>
                      <w:color w:val="auto"/>
                      <w:highlight w:val="none"/>
                      <w:u w:val="none"/>
                      <w:lang w:val="en-US" w:eastAsia="zh-CN"/>
                    </w:rPr>
                    <w:t>75</w:t>
                  </w:r>
                </w:p>
              </w:tc>
              <w:tc>
                <w:tcPr>
                  <w:tcW w:w="663" w:type="dxa"/>
                  <w:tcBorders>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kern w:val="2"/>
                      <w:sz w:val="21"/>
                      <w:szCs w:val="21"/>
                      <w:highlight w:val="none"/>
                      <w:u w:val="none"/>
                      <w:lang w:val="en-US" w:eastAsia="zh-CN" w:bidi="ar-SA"/>
                    </w:rPr>
                  </w:pPr>
                  <w:r>
                    <w:rPr>
                      <w:rFonts w:hint="eastAsia"/>
                      <w:color w:val="auto"/>
                      <w:highlight w:val="none"/>
                      <w:u w:val="none"/>
                      <w:lang w:val="en-US" w:eastAsia="zh-CN" w:bidi="ar-SA"/>
                    </w:rPr>
                    <w:t>65</w:t>
                  </w:r>
                </w:p>
              </w:tc>
              <w:tc>
                <w:tcPr>
                  <w:tcW w:w="661" w:type="dxa"/>
                  <w:tcBorders>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kern w:val="2"/>
                      <w:sz w:val="21"/>
                      <w:szCs w:val="21"/>
                      <w:highlight w:val="none"/>
                      <w:u w:val="none"/>
                      <w:lang w:val="en-US" w:eastAsia="zh-CN" w:bidi="ar-SA"/>
                    </w:rPr>
                  </w:pPr>
                  <w:r>
                    <w:rPr>
                      <w:rFonts w:hint="eastAsia"/>
                      <w:color w:val="auto"/>
                      <w:highlight w:val="none"/>
                      <w:u w:val="none"/>
                      <w:lang w:val="en-US" w:eastAsia="zh-CN" w:bidi="ar-SA"/>
                    </w:rPr>
                    <w:t>59</w:t>
                  </w:r>
                </w:p>
              </w:tc>
              <w:tc>
                <w:tcPr>
                  <w:tcW w:w="661" w:type="dxa"/>
                  <w:tcBorders>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kern w:val="2"/>
                      <w:sz w:val="21"/>
                      <w:szCs w:val="21"/>
                      <w:highlight w:val="none"/>
                      <w:u w:val="none"/>
                      <w:lang w:val="en-US" w:eastAsia="zh-CN" w:bidi="ar-SA"/>
                    </w:rPr>
                  </w:pPr>
                  <w:r>
                    <w:rPr>
                      <w:rFonts w:hint="eastAsia"/>
                      <w:color w:val="auto"/>
                      <w:highlight w:val="none"/>
                      <w:u w:val="none"/>
                      <w:lang w:val="en-US" w:eastAsia="zh-CN" w:bidi="ar-SA"/>
                    </w:rPr>
                    <w:t>55</w:t>
                  </w:r>
                </w:p>
              </w:tc>
              <w:tc>
                <w:tcPr>
                  <w:tcW w:w="661" w:type="dxa"/>
                  <w:tcBorders>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kern w:val="2"/>
                      <w:sz w:val="21"/>
                      <w:szCs w:val="21"/>
                      <w:highlight w:val="none"/>
                      <w:u w:val="none"/>
                      <w:lang w:val="en-US" w:eastAsia="zh-CN" w:bidi="ar-SA"/>
                    </w:rPr>
                  </w:pPr>
                  <w:r>
                    <w:rPr>
                      <w:rFonts w:hint="eastAsia"/>
                      <w:color w:val="auto"/>
                      <w:highlight w:val="none"/>
                      <w:u w:val="none"/>
                      <w:lang w:val="en-US" w:eastAsia="zh-CN" w:bidi="ar-SA"/>
                    </w:rPr>
                    <w:t>53</w:t>
                  </w:r>
                </w:p>
              </w:tc>
              <w:tc>
                <w:tcPr>
                  <w:tcW w:w="661" w:type="dxa"/>
                  <w:tcBorders>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kern w:val="2"/>
                      <w:sz w:val="21"/>
                      <w:szCs w:val="21"/>
                      <w:highlight w:val="none"/>
                      <w:u w:val="none"/>
                      <w:lang w:val="en-US" w:eastAsia="zh-CN" w:bidi="ar-SA"/>
                    </w:rPr>
                  </w:pPr>
                  <w:r>
                    <w:rPr>
                      <w:rFonts w:hint="eastAsia"/>
                      <w:color w:val="auto"/>
                      <w:highlight w:val="none"/>
                      <w:u w:val="none"/>
                      <w:lang w:val="en-US" w:eastAsia="zh-CN" w:bidi="ar-SA"/>
                    </w:rPr>
                    <w:t>49</w:t>
                  </w:r>
                </w:p>
              </w:tc>
              <w:tc>
                <w:tcPr>
                  <w:tcW w:w="661" w:type="dxa"/>
                  <w:tcBorders>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kern w:val="2"/>
                      <w:sz w:val="21"/>
                      <w:szCs w:val="21"/>
                      <w:highlight w:val="none"/>
                      <w:u w:val="none"/>
                      <w:lang w:val="en-US" w:eastAsia="zh-CN" w:bidi="ar-SA"/>
                    </w:rPr>
                  </w:pPr>
                  <w:r>
                    <w:rPr>
                      <w:rFonts w:hint="eastAsia"/>
                      <w:color w:val="auto"/>
                      <w:highlight w:val="none"/>
                      <w:u w:val="none"/>
                      <w:lang w:val="en-US" w:eastAsia="zh-CN" w:bidi="ar-SA"/>
                    </w:rPr>
                    <w:t>47</w:t>
                  </w:r>
                </w:p>
              </w:tc>
              <w:tc>
                <w:tcPr>
                  <w:tcW w:w="663" w:type="dxa"/>
                  <w:tcBorders>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kern w:val="2"/>
                      <w:sz w:val="21"/>
                      <w:szCs w:val="21"/>
                      <w:highlight w:val="none"/>
                      <w:u w:val="none"/>
                      <w:lang w:val="en-US" w:eastAsia="zh-CN" w:bidi="ar-SA"/>
                    </w:rPr>
                  </w:pPr>
                  <w:r>
                    <w:rPr>
                      <w:rFonts w:hint="eastAsia"/>
                      <w:color w:val="auto"/>
                      <w:highlight w:val="none"/>
                      <w:u w:val="none"/>
                      <w:lang w:val="en-US" w:eastAsia="zh-CN" w:bidi="ar-SA"/>
                    </w:rPr>
                    <w:t>45</w:t>
                  </w:r>
                </w:p>
              </w:tc>
              <w:tc>
                <w:tcPr>
                  <w:tcW w:w="663" w:type="dxa"/>
                  <w:tcBorders>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kern w:val="2"/>
                      <w:sz w:val="21"/>
                      <w:szCs w:val="21"/>
                      <w:highlight w:val="none"/>
                      <w:u w:val="none"/>
                      <w:lang w:val="en-US" w:eastAsia="zh-CN" w:bidi="ar-SA"/>
                    </w:rPr>
                  </w:pPr>
                  <w:r>
                    <w:rPr>
                      <w:rFonts w:hint="eastAsia"/>
                      <w:color w:val="auto"/>
                      <w:highlight w:val="none"/>
                      <w:u w:val="none"/>
                      <w:lang w:val="en-US" w:eastAsia="zh-CN" w:bidi="ar-SA"/>
                    </w:rPr>
                    <w:t>41</w:t>
                  </w:r>
                </w:p>
              </w:tc>
              <w:tc>
                <w:tcPr>
                  <w:tcW w:w="724" w:type="dxa"/>
                  <w:tcBorders>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kern w:val="2"/>
                      <w:sz w:val="21"/>
                      <w:szCs w:val="21"/>
                      <w:highlight w:val="none"/>
                      <w:u w:val="none"/>
                      <w:lang w:val="en-US" w:eastAsia="zh-CN" w:bidi="ar-SA"/>
                    </w:rPr>
                  </w:pPr>
                  <w:r>
                    <w:rPr>
                      <w:rFonts w:hint="eastAsia"/>
                      <w:color w:val="auto"/>
                      <w:highlight w:val="none"/>
                      <w:u w:val="none"/>
                      <w:lang w:val="en-US" w:eastAsia="zh-CN" w:bidi="ar-SA"/>
                    </w:rPr>
                    <w:t>39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804" w:type="pct"/>
                  <w:tcBorders>
                    <w:tl2br w:val="nil"/>
                    <w:tr2bl w:val="nil"/>
                  </w:tcBorders>
                  <w:noWrap w:val="0"/>
                  <w:vAlign w:val="top"/>
                </w:tcPr>
                <w:p>
                  <w:pPr>
                    <w:pStyle w:val="15"/>
                    <w:bidi w:val="0"/>
                    <w:rPr>
                      <w:rFonts w:hint="default"/>
                      <w:color w:val="auto"/>
                      <w:highlight w:val="none"/>
                      <w:lang w:val="en-US" w:eastAsia="zh-CN"/>
                    </w:rPr>
                  </w:pPr>
                  <w:r>
                    <w:rPr>
                      <w:color w:val="auto"/>
                      <w:highlight w:val="none"/>
                    </w:rPr>
                    <w:t>蛙夯机</w:t>
                  </w:r>
                </w:p>
              </w:tc>
              <w:tc>
                <w:tcPr>
                  <w:tcW w:w="553" w:type="dxa"/>
                  <w:tcBorders>
                    <w:tl2br w:val="nil"/>
                    <w:tr2bl w:val="nil"/>
                  </w:tcBorders>
                  <w:noWrap w:val="0"/>
                  <w:vAlign w:val="center"/>
                </w:tcPr>
                <w:p>
                  <w:pPr>
                    <w:pStyle w:val="15"/>
                    <w:keepNext w:val="0"/>
                    <w:keepLines w:val="0"/>
                    <w:widowControl/>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highlight w:val="none"/>
                      <w:u w:val="none"/>
                      <w:lang w:val="en-US" w:eastAsia="zh-CN"/>
                    </w:rPr>
                  </w:pPr>
                  <w:r>
                    <w:rPr>
                      <w:rFonts w:hint="eastAsia" w:cs="Times New Roman"/>
                      <w:color w:val="auto"/>
                      <w:highlight w:val="none"/>
                      <w:u w:val="none"/>
                      <w:lang w:val="en-US" w:eastAsia="zh-CN"/>
                    </w:rPr>
                    <w:t>90</w:t>
                  </w:r>
                </w:p>
              </w:tc>
              <w:tc>
                <w:tcPr>
                  <w:tcW w:w="558" w:type="dxa"/>
                  <w:tcBorders>
                    <w:tl2br w:val="nil"/>
                    <w:tr2bl w:val="nil"/>
                  </w:tcBorders>
                  <w:noWrap w:val="0"/>
                  <w:vAlign w:val="center"/>
                </w:tcPr>
                <w:p>
                  <w:pPr>
                    <w:pStyle w:val="15"/>
                    <w:keepNext w:val="0"/>
                    <w:keepLines w:val="0"/>
                    <w:widowControl/>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highlight w:val="none"/>
                      <w:u w:val="none"/>
                      <w:lang w:val="en-US" w:eastAsia="zh-CN"/>
                    </w:rPr>
                  </w:pPr>
                  <w:r>
                    <w:rPr>
                      <w:rFonts w:hint="eastAsia" w:cs="Times New Roman"/>
                      <w:color w:val="auto"/>
                      <w:highlight w:val="none"/>
                      <w:u w:val="none"/>
                      <w:lang w:val="en-US" w:eastAsia="zh-CN"/>
                    </w:rPr>
                    <w:t>80</w:t>
                  </w:r>
                </w:p>
              </w:tc>
              <w:tc>
                <w:tcPr>
                  <w:tcW w:w="663" w:type="dxa"/>
                  <w:tcBorders>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cs="Times New Roman"/>
                      <w:color w:val="auto"/>
                      <w:kern w:val="2"/>
                      <w:sz w:val="21"/>
                      <w:szCs w:val="21"/>
                      <w:highlight w:val="none"/>
                      <w:u w:val="none"/>
                      <w:lang w:val="en-US" w:eastAsia="zh-CN" w:bidi="ar-SA"/>
                    </w:rPr>
                    <w:t>7</w:t>
                  </w:r>
                  <w:r>
                    <w:rPr>
                      <w:rFonts w:hint="eastAsia" w:cs="Times New Roman"/>
                      <w:color w:val="auto"/>
                      <w:kern w:val="2"/>
                      <w:sz w:val="21"/>
                      <w:szCs w:val="21"/>
                      <w:highlight w:val="none"/>
                      <w:u w:val="none"/>
                      <w:lang w:val="en-US" w:eastAsia="zh-CN" w:bidi="ar-SA"/>
                    </w:rPr>
                    <w:t>0</w:t>
                  </w:r>
                </w:p>
              </w:tc>
              <w:tc>
                <w:tcPr>
                  <w:tcW w:w="661" w:type="dxa"/>
                  <w:tcBorders>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cs="Times New Roman"/>
                      <w:color w:val="auto"/>
                      <w:kern w:val="2"/>
                      <w:sz w:val="21"/>
                      <w:szCs w:val="21"/>
                      <w:highlight w:val="none"/>
                      <w:u w:val="none"/>
                      <w:lang w:val="en-US" w:eastAsia="zh-CN" w:bidi="ar-SA"/>
                    </w:rPr>
                    <w:t>6</w:t>
                  </w:r>
                  <w:r>
                    <w:rPr>
                      <w:rFonts w:hint="eastAsia" w:cs="Times New Roman"/>
                      <w:color w:val="auto"/>
                      <w:kern w:val="2"/>
                      <w:sz w:val="21"/>
                      <w:szCs w:val="21"/>
                      <w:highlight w:val="none"/>
                      <w:u w:val="none"/>
                      <w:lang w:val="en-US" w:eastAsia="zh-CN" w:bidi="ar-SA"/>
                    </w:rPr>
                    <w:t>4</w:t>
                  </w:r>
                </w:p>
              </w:tc>
              <w:tc>
                <w:tcPr>
                  <w:tcW w:w="661" w:type="dxa"/>
                  <w:tcBorders>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cs="Times New Roman"/>
                      <w:color w:val="auto"/>
                      <w:kern w:val="2"/>
                      <w:sz w:val="21"/>
                      <w:szCs w:val="21"/>
                      <w:highlight w:val="none"/>
                      <w:u w:val="none"/>
                      <w:lang w:val="en-US" w:eastAsia="zh-CN" w:bidi="ar-SA"/>
                    </w:rPr>
                    <w:t>6</w:t>
                  </w:r>
                  <w:r>
                    <w:rPr>
                      <w:rFonts w:hint="eastAsia" w:cs="Times New Roman"/>
                      <w:color w:val="auto"/>
                      <w:kern w:val="2"/>
                      <w:sz w:val="21"/>
                      <w:szCs w:val="21"/>
                      <w:highlight w:val="none"/>
                      <w:u w:val="none"/>
                      <w:lang w:val="en-US" w:eastAsia="zh-CN" w:bidi="ar-SA"/>
                    </w:rPr>
                    <w:t>0</w:t>
                  </w:r>
                </w:p>
              </w:tc>
              <w:tc>
                <w:tcPr>
                  <w:tcW w:w="661" w:type="dxa"/>
                  <w:tcBorders>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kern w:val="2"/>
                      <w:sz w:val="21"/>
                      <w:szCs w:val="21"/>
                      <w:highlight w:val="none"/>
                      <w:u w:val="none"/>
                      <w:lang w:val="en-US" w:eastAsia="zh-CN" w:bidi="ar-SA"/>
                    </w:rPr>
                  </w:pPr>
                  <w:r>
                    <w:rPr>
                      <w:rFonts w:hint="eastAsia" w:cs="Times New Roman"/>
                      <w:color w:val="auto"/>
                      <w:kern w:val="2"/>
                      <w:sz w:val="21"/>
                      <w:szCs w:val="21"/>
                      <w:highlight w:val="none"/>
                      <w:u w:val="none"/>
                      <w:lang w:val="en-US" w:eastAsia="zh-CN" w:bidi="ar-SA"/>
                    </w:rPr>
                    <w:t>58</w:t>
                  </w:r>
                </w:p>
              </w:tc>
              <w:tc>
                <w:tcPr>
                  <w:tcW w:w="661" w:type="dxa"/>
                  <w:tcBorders>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kern w:val="2"/>
                      <w:sz w:val="21"/>
                      <w:szCs w:val="21"/>
                      <w:highlight w:val="none"/>
                      <w:u w:val="none"/>
                      <w:lang w:val="en-US" w:eastAsia="zh-CN" w:bidi="ar-SA"/>
                    </w:rPr>
                  </w:pPr>
                  <w:r>
                    <w:rPr>
                      <w:rFonts w:hint="eastAsia" w:cs="Times New Roman"/>
                      <w:color w:val="auto"/>
                      <w:kern w:val="2"/>
                      <w:sz w:val="21"/>
                      <w:szCs w:val="21"/>
                      <w:highlight w:val="none"/>
                      <w:u w:val="none"/>
                      <w:lang w:val="en-US" w:eastAsia="zh-CN" w:bidi="ar-SA"/>
                    </w:rPr>
                    <w:t>54</w:t>
                  </w:r>
                </w:p>
              </w:tc>
              <w:tc>
                <w:tcPr>
                  <w:tcW w:w="661" w:type="dxa"/>
                  <w:tcBorders>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cs="Times New Roman"/>
                      <w:color w:val="auto"/>
                      <w:kern w:val="2"/>
                      <w:sz w:val="21"/>
                      <w:szCs w:val="21"/>
                      <w:highlight w:val="none"/>
                      <w:u w:val="none"/>
                      <w:lang w:val="en-US" w:eastAsia="zh-CN" w:bidi="ar-SA"/>
                    </w:rPr>
                    <w:t>5</w:t>
                  </w:r>
                  <w:r>
                    <w:rPr>
                      <w:rFonts w:hint="eastAsia" w:cs="Times New Roman"/>
                      <w:color w:val="auto"/>
                      <w:kern w:val="2"/>
                      <w:sz w:val="21"/>
                      <w:szCs w:val="21"/>
                      <w:highlight w:val="none"/>
                      <w:u w:val="none"/>
                      <w:lang w:val="en-US" w:eastAsia="zh-CN" w:bidi="ar-SA"/>
                    </w:rPr>
                    <w:t>2</w:t>
                  </w:r>
                </w:p>
              </w:tc>
              <w:tc>
                <w:tcPr>
                  <w:tcW w:w="663" w:type="dxa"/>
                  <w:tcBorders>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cs="Times New Roman"/>
                      <w:color w:val="auto"/>
                      <w:kern w:val="2"/>
                      <w:sz w:val="21"/>
                      <w:szCs w:val="21"/>
                      <w:highlight w:val="none"/>
                      <w:u w:val="none"/>
                      <w:lang w:val="en-US" w:eastAsia="zh-CN" w:bidi="ar-SA"/>
                    </w:rPr>
                    <w:t>5</w:t>
                  </w:r>
                  <w:r>
                    <w:rPr>
                      <w:rFonts w:hint="eastAsia" w:cs="Times New Roman"/>
                      <w:color w:val="auto"/>
                      <w:kern w:val="2"/>
                      <w:sz w:val="21"/>
                      <w:szCs w:val="21"/>
                      <w:highlight w:val="none"/>
                      <w:u w:val="none"/>
                      <w:lang w:val="en-US" w:eastAsia="zh-CN" w:bidi="ar-SA"/>
                    </w:rPr>
                    <w:t>0</w:t>
                  </w:r>
                </w:p>
              </w:tc>
              <w:tc>
                <w:tcPr>
                  <w:tcW w:w="663" w:type="dxa"/>
                  <w:tcBorders>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kern w:val="2"/>
                      <w:sz w:val="21"/>
                      <w:szCs w:val="21"/>
                      <w:highlight w:val="none"/>
                      <w:u w:val="none"/>
                      <w:lang w:val="en-US" w:eastAsia="zh-CN" w:bidi="ar-SA"/>
                    </w:rPr>
                  </w:pPr>
                  <w:r>
                    <w:rPr>
                      <w:rFonts w:hint="eastAsia" w:cs="Times New Roman"/>
                      <w:color w:val="auto"/>
                      <w:kern w:val="2"/>
                      <w:sz w:val="21"/>
                      <w:szCs w:val="21"/>
                      <w:highlight w:val="none"/>
                      <w:u w:val="none"/>
                      <w:lang w:val="en-US" w:eastAsia="zh-CN" w:bidi="ar-SA"/>
                    </w:rPr>
                    <w:t>46</w:t>
                  </w:r>
                </w:p>
              </w:tc>
              <w:tc>
                <w:tcPr>
                  <w:tcW w:w="724" w:type="dxa"/>
                  <w:tcBorders>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kern w:val="2"/>
                      <w:sz w:val="21"/>
                      <w:szCs w:val="21"/>
                      <w:highlight w:val="none"/>
                      <w:u w:val="none"/>
                      <w:lang w:val="en-US" w:eastAsia="zh-CN" w:bidi="ar-SA"/>
                    </w:rPr>
                  </w:pPr>
                  <w:r>
                    <w:rPr>
                      <w:rFonts w:hint="eastAsia" w:cs="Times New Roman"/>
                      <w:color w:val="auto"/>
                      <w:kern w:val="2"/>
                      <w:sz w:val="21"/>
                      <w:szCs w:val="21"/>
                      <w:highlight w:val="none"/>
                      <w:u w:val="none"/>
                      <w:lang w:val="en-US" w:eastAsia="zh-CN" w:bidi="ar-SA"/>
                    </w:rPr>
                    <w:t>44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804" w:type="pct"/>
                  <w:tcBorders>
                    <w:tl2br w:val="nil"/>
                    <w:tr2bl w:val="nil"/>
                  </w:tcBorders>
                  <w:noWrap w:val="0"/>
                  <w:vAlign w:val="top"/>
                </w:tcPr>
                <w:p>
                  <w:pPr>
                    <w:pStyle w:val="15"/>
                    <w:bidi w:val="0"/>
                    <w:rPr>
                      <w:rFonts w:hint="default"/>
                      <w:color w:val="auto"/>
                      <w:highlight w:val="none"/>
                      <w:lang w:val="en-US" w:eastAsia="zh-CN"/>
                    </w:rPr>
                  </w:pPr>
                  <w:r>
                    <w:rPr>
                      <w:color w:val="auto"/>
                      <w:highlight w:val="none"/>
                    </w:rPr>
                    <w:t>气腿式风钻</w:t>
                  </w:r>
                </w:p>
              </w:tc>
              <w:tc>
                <w:tcPr>
                  <w:tcW w:w="326"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highlight w:val="none"/>
                      <w:u w:val="none"/>
                      <w:lang w:val="en-US" w:eastAsia="zh-CN"/>
                    </w:rPr>
                  </w:pPr>
                  <w:r>
                    <w:rPr>
                      <w:rFonts w:hint="eastAsia" w:cs="Times New Roman"/>
                      <w:color w:val="auto"/>
                      <w:highlight w:val="none"/>
                      <w:u w:val="none"/>
                      <w:lang w:val="en-US" w:eastAsia="zh-CN"/>
                    </w:rPr>
                    <w:t>90</w:t>
                  </w:r>
                </w:p>
              </w:tc>
              <w:tc>
                <w:tcPr>
                  <w:tcW w:w="329"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kern w:val="2"/>
                      <w:sz w:val="21"/>
                      <w:szCs w:val="21"/>
                      <w:highlight w:val="none"/>
                      <w:u w:val="none"/>
                      <w:lang w:val="en-US" w:eastAsia="zh-CN" w:bidi="ar-SA"/>
                    </w:rPr>
                  </w:pPr>
                  <w:r>
                    <w:rPr>
                      <w:rFonts w:hint="eastAsia" w:cs="Times New Roman"/>
                      <w:color w:val="auto"/>
                      <w:highlight w:val="none"/>
                      <w:u w:val="none"/>
                      <w:lang w:val="en-US" w:eastAsia="zh-CN"/>
                    </w:rPr>
                    <w:t>80</w:t>
                  </w:r>
                </w:p>
              </w:tc>
              <w:tc>
                <w:tcPr>
                  <w:tcW w:w="390" w:type="pct"/>
                  <w:tcBorders>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cs="Times New Roman"/>
                      <w:color w:val="auto"/>
                      <w:kern w:val="2"/>
                      <w:sz w:val="21"/>
                      <w:szCs w:val="21"/>
                      <w:highlight w:val="none"/>
                      <w:u w:val="none"/>
                      <w:lang w:val="en-US" w:eastAsia="zh-CN" w:bidi="ar-SA"/>
                    </w:rPr>
                    <w:t>7</w:t>
                  </w:r>
                  <w:r>
                    <w:rPr>
                      <w:rFonts w:hint="eastAsia" w:cs="Times New Roman"/>
                      <w:color w:val="auto"/>
                      <w:kern w:val="2"/>
                      <w:sz w:val="21"/>
                      <w:szCs w:val="21"/>
                      <w:highlight w:val="none"/>
                      <w:u w:val="none"/>
                      <w:lang w:val="en-US" w:eastAsia="zh-CN" w:bidi="ar-SA"/>
                    </w:rPr>
                    <w:t>0</w:t>
                  </w:r>
                </w:p>
              </w:tc>
              <w:tc>
                <w:tcPr>
                  <w:tcW w:w="389" w:type="pct"/>
                  <w:tcBorders>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cs="Times New Roman"/>
                      <w:color w:val="auto"/>
                      <w:kern w:val="2"/>
                      <w:sz w:val="21"/>
                      <w:szCs w:val="21"/>
                      <w:highlight w:val="none"/>
                      <w:u w:val="none"/>
                      <w:lang w:val="en-US" w:eastAsia="zh-CN" w:bidi="ar-SA"/>
                    </w:rPr>
                    <w:t>6</w:t>
                  </w:r>
                  <w:r>
                    <w:rPr>
                      <w:rFonts w:hint="eastAsia" w:cs="Times New Roman"/>
                      <w:color w:val="auto"/>
                      <w:kern w:val="2"/>
                      <w:sz w:val="21"/>
                      <w:szCs w:val="21"/>
                      <w:highlight w:val="none"/>
                      <w:u w:val="none"/>
                      <w:lang w:val="en-US" w:eastAsia="zh-CN" w:bidi="ar-SA"/>
                    </w:rPr>
                    <w:t>4</w:t>
                  </w:r>
                </w:p>
              </w:tc>
              <w:tc>
                <w:tcPr>
                  <w:tcW w:w="389" w:type="pct"/>
                  <w:tcBorders>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cs="Times New Roman"/>
                      <w:color w:val="auto"/>
                      <w:kern w:val="2"/>
                      <w:sz w:val="21"/>
                      <w:szCs w:val="21"/>
                      <w:highlight w:val="none"/>
                      <w:u w:val="none"/>
                      <w:lang w:val="en-US" w:eastAsia="zh-CN" w:bidi="ar-SA"/>
                    </w:rPr>
                    <w:t>6</w:t>
                  </w:r>
                  <w:r>
                    <w:rPr>
                      <w:rFonts w:hint="eastAsia" w:cs="Times New Roman"/>
                      <w:color w:val="auto"/>
                      <w:kern w:val="2"/>
                      <w:sz w:val="21"/>
                      <w:szCs w:val="21"/>
                      <w:highlight w:val="none"/>
                      <w:u w:val="none"/>
                      <w:lang w:val="en-US" w:eastAsia="zh-CN" w:bidi="ar-SA"/>
                    </w:rPr>
                    <w:t>0</w:t>
                  </w:r>
                </w:p>
              </w:tc>
              <w:tc>
                <w:tcPr>
                  <w:tcW w:w="389" w:type="pct"/>
                  <w:tcBorders>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kern w:val="2"/>
                      <w:sz w:val="21"/>
                      <w:szCs w:val="21"/>
                      <w:highlight w:val="none"/>
                      <w:u w:val="none"/>
                      <w:lang w:val="en-US" w:eastAsia="zh-CN" w:bidi="ar-SA"/>
                    </w:rPr>
                  </w:pPr>
                  <w:r>
                    <w:rPr>
                      <w:rFonts w:hint="eastAsia" w:cs="Times New Roman"/>
                      <w:color w:val="auto"/>
                      <w:kern w:val="2"/>
                      <w:sz w:val="21"/>
                      <w:szCs w:val="21"/>
                      <w:highlight w:val="none"/>
                      <w:u w:val="none"/>
                      <w:lang w:val="en-US" w:eastAsia="zh-CN" w:bidi="ar-SA"/>
                    </w:rPr>
                    <w:t>58</w:t>
                  </w:r>
                </w:p>
              </w:tc>
              <w:tc>
                <w:tcPr>
                  <w:tcW w:w="389" w:type="pct"/>
                  <w:tcBorders>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kern w:val="2"/>
                      <w:sz w:val="21"/>
                      <w:szCs w:val="21"/>
                      <w:highlight w:val="none"/>
                      <w:u w:val="none"/>
                      <w:lang w:val="en-US" w:eastAsia="zh-CN" w:bidi="ar-SA"/>
                    </w:rPr>
                  </w:pPr>
                  <w:r>
                    <w:rPr>
                      <w:rFonts w:hint="eastAsia" w:cs="Times New Roman"/>
                      <w:color w:val="auto"/>
                      <w:kern w:val="2"/>
                      <w:sz w:val="21"/>
                      <w:szCs w:val="21"/>
                      <w:highlight w:val="none"/>
                      <w:u w:val="none"/>
                      <w:lang w:val="en-US" w:eastAsia="zh-CN" w:bidi="ar-SA"/>
                    </w:rPr>
                    <w:t>54</w:t>
                  </w:r>
                </w:p>
              </w:tc>
              <w:tc>
                <w:tcPr>
                  <w:tcW w:w="389" w:type="pct"/>
                  <w:tcBorders>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cs="Times New Roman"/>
                      <w:color w:val="auto"/>
                      <w:kern w:val="2"/>
                      <w:sz w:val="21"/>
                      <w:szCs w:val="21"/>
                      <w:highlight w:val="none"/>
                      <w:u w:val="none"/>
                      <w:lang w:val="en-US" w:eastAsia="zh-CN" w:bidi="ar-SA"/>
                    </w:rPr>
                    <w:t>5</w:t>
                  </w:r>
                  <w:r>
                    <w:rPr>
                      <w:rFonts w:hint="eastAsia" w:cs="Times New Roman"/>
                      <w:color w:val="auto"/>
                      <w:kern w:val="2"/>
                      <w:sz w:val="21"/>
                      <w:szCs w:val="21"/>
                      <w:highlight w:val="none"/>
                      <w:u w:val="none"/>
                      <w:lang w:val="en-US" w:eastAsia="zh-CN" w:bidi="ar-SA"/>
                    </w:rPr>
                    <w:t>2</w:t>
                  </w:r>
                </w:p>
              </w:tc>
              <w:tc>
                <w:tcPr>
                  <w:tcW w:w="390" w:type="pct"/>
                  <w:tcBorders>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cs="Times New Roman"/>
                      <w:color w:val="auto"/>
                      <w:kern w:val="2"/>
                      <w:sz w:val="21"/>
                      <w:szCs w:val="21"/>
                      <w:highlight w:val="none"/>
                      <w:u w:val="none"/>
                      <w:lang w:val="en-US" w:eastAsia="zh-CN" w:bidi="ar-SA"/>
                    </w:rPr>
                    <w:t>5</w:t>
                  </w:r>
                  <w:r>
                    <w:rPr>
                      <w:rFonts w:hint="eastAsia" w:cs="Times New Roman"/>
                      <w:color w:val="auto"/>
                      <w:kern w:val="2"/>
                      <w:sz w:val="21"/>
                      <w:szCs w:val="21"/>
                      <w:highlight w:val="none"/>
                      <w:u w:val="none"/>
                      <w:lang w:val="en-US" w:eastAsia="zh-CN" w:bidi="ar-SA"/>
                    </w:rPr>
                    <w:t>0</w:t>
                  </w:r>
                </w:p>
              </w:tc>
              <w:tc>
                <w:tcPr>
                  <w:tcW w:w="390" w:type="pct"/>
                  <w:tcBorders>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kern w:val="2"/>
                      <w:sz w:val="21"/>
                      <w:szCs w:val="21"/>
                      <w:highlight w:val="none"/>
                      <w:u w:val="none"/>
                      <w:lang w:val="en-US" w:eastAsia="zh-CN" w:bidi="ar-SA"/>
                    </w:rPr>
                  </w:pPr>
                  <w:r>
                    <w:rPr>
                      <w:rFonts w:hint="eastAsia" w:cs="Times New Roman"/>
                      <w:color w:val="auto"/>
                      <w:kern w:val="2"/>
                      <w:sz w:val="21"/>
                      <w:szCs w:val="21"/>
                      <w:highlight w:val="none"/>
                      <w:u w:val="none"/>
                      <w:lang w:val="en-US" w:eastAsia="zh-CN" w:bidi="ar-SA"/>
                    </w:rPr>
                    <w:t>46</w:t>
                  </w:r>
                </w:p>
              </w:tc>
              <w:tc>
                <w:tcPr>
                  <w:tcW w:w="423" w:type="pct"/>
                  <w:tcBorders>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kern w:val="2"/>
                      <w:sz w:val="21"/>
                      <w:szCs w:val="21"/>
                      <w:highlight w:val="none"/>
                      <w:u w:val="none"/>
                      <w:lang w:val="en-US" w:eastAsia="zh-CN" w:bidi="ar-SA"/>
                    </w:rPr>
                  </w:pPr>
                  <w:r>
                    <w:rPr>
                      <w:rFonts w:hint="eastAsia" w:cs="Times New Roman"/>
                      <w:color w:val="auto"/>
                      <w:kern w:val="2"/>
                      <w:sz w:val="21"/>
                      <w:szCs w:val="21"/>
                      <w:highlight w:val="none"/>
                      <w:u w:val="none"/>
                      <w:lang w:val="en-US" w:eastAsia="zh-CN" w:bidi="ar-SA"/>
                    </w:rPr>
                    <w:t>44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804" w:type="pct"/>
                  <w:tcBorders>
                    <w:tl2br w:val="nil"/>
                    <w:tr2bl w:val="nil"/>
                  </w:tcBorders>
                  <w:noWrap w:val="0"/>
                  <w:vAlign w:val="top"/>
                </w:tcPr>
                <w:p>
                  <w:pPr>
                    <w:pStyle w:val="15"/>
                    <w:bidi w:val="0"/>
                    <w:rPr>
                      <w:rFonts w:hint="default"/>
                      <w:color w:val="auto"/>
                      <w:highlight w:val="none"/>
                      <w:lang w:val="en-US" w:eastAsia="zh-CN"/>
                    </w:rPr>
                  </w:pPr>
                  <w:r>
                    <w:rPr>
                      <w:color w:val="auto"/>
                      <w:highlight w:val="none"/>
                    </w:rPr>
                    <w:t>自卸汽车</w:t>
                  </w:r>
                </w:p>
              </w:tc>
              <w:tc>
                <w:tcPr>
                  <w:tcW w:w="326"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highlight w:val="none"/>
                      <w:u w:val="none"/>
                      <w:lang w:val="en-US" w:eastAsia="zh-CN"/>
                    </w:rPr>
                  </w:pPr>
                  <w:r>
                    <w:rPr>
                      <w:rFonts w:hint="eastAsia" w:cs="Times New Roman"/>
                      <w:color w:val="auto"/>
                      <w:highlight w:val="none"/>
                      <w:u w:val="none"/>
                      <w:lang w:val="en-US" w:eastAsia="zh-CN"/>
                    </w:rPr>
                    <w:t>80</w:t>
                  </w:r>
                </w:p>
              </w:tc>
              <w:tc>
                <w:tcPr>
                  <w:tcW w:w="329"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kern w:val="2"/>
                      <w:sz w:val="21"/>
                      <w:szCs w:val="21"/>
                      <w:highlight w:val="none"/>
                      <w:u w:val="none"/>
                      <w:lang w:val="en-US" w:eastAsia="zh-CN" w:bidi="ar-SA"/>
                    </w:rPr>
                  </w:pPr>
                  <w:r>
                    <w:rPr>
                      <w:rFonts w:hint="eastAsia" w:eastAsia="宋体" w:cs="Times New Roman"/>
                      <w:color w:val="auto"/>
                      <w:highlight w:val="none"/>
                      <w:u w:val="none"/>
                      <w:lang w:val="en-US" w:eastAsia="zh-CN"/>
                    </w:rPr>
                    <w:t>70</w:t>
                  </w:r>
                </w:p>
              </w:tc>
              <w:tc>
                <w:tcPr>
                  <w:tcW w:w="390" w:type="pct"/>
                  <w:tcBorders>
                    <w:tl2br w:val="nil"/>
                    <w:tr2bl w:val="nil"/>
                  </w:tcBorders>
                  <w:noWrap w:val="0"/>
                  <w:vAlign w:val="center"/>
                </w:tcPr>
                <w:p>
                  <w:pPr>
                    <w:pStyle w:val="15"/>
                    <w:bidi w:val="0"/>
                    <w:ind w:firstLine="0" w:firstLineChars="0"/>
                    <w:rPr>
                      <w:rFonts w:hint="default" w:ascii="Times New Roman" w:hAnsi="Times New Roman" w:eastAsia="宋体" w:cs="Times New Roman"/>
                      <w:color w:val="auto"/>
                      <w:kern w:val="2"/>
                      <w:sz w:val="21"/>
                      <w:szCs w:val="21"/>
                      <w:highlight w:val="none"/>
                      <w:u w:val="none"/>
                      <w:lang w:val="en-US" w:eastAsia="zh-CN" w:bidi="ar-SA"/>
                    </w:rPr>
                  </w:pPr>
                  <w:r>
                    <w:rPr>
                      <w:rFonts w:hint="eastAsia" w:ascii="Times New Roman" w:hAnsi="Times New Roman" w:cs="Times New Roman"/>
                      <w:color w:val="auto"/>
                      <w:highlight w:val="none"/>
                      <w:u w:val="none"/>
                      <w:lang w:val="en-US" w:eastAsia="zh-CN"/>
                    </w:rPr>
                    <w:t>60</w:t>
                  </w:r>
                </w:p>
              </w:tc>
              <w:tc>
                <w:tcPr>
                  <w:tcW w:w="389" w:type="pct"/>
                  <w:tcBorders>
                    <w:tl2br w:val="nil"/>
                    <w:tr2bl w:val="nil"/>
                  </w:tcBorders>
                  <w:noWrap w:val="0"/>
                  <w:vAlign w:val="center"/>
                </w:tcPr>
                <w:p>
                  <w:pPr>
                    <w:pStyle w:val="15"/>
                    <w:bidi w:val="0"/>
                    <w:ind w:firstLine="0" w:firstLineChars="0"/>
                    <w:rPr>
                      <w:rFonts w:hint="default" w:ascii="Times New Roman" w:hAnsi="Times New Roman" w:eastAsia="宋体" w:cs="Times New Roman"/>
                      <w:color w:val="auto"/>
                      <w:kern w:val="2"/>
                      <w:sz w:val="21"/>
                      <w:szCs w:val="21"/>
                      <w:highlight w:val="none"/>
                      <w:u w:val="none"/>
                      <w:lang w:val="en-US" w:eastAsia="zh-CN" w:bidi="ar-SA"/>
                    </w:rPr>
                  </w:pPr>
                  <w:r>
                    <w:rPr>
                      <w:rFonts w:hint="eastAsia" w:ascii="Times New Roman" w:hAnsi="Times New Roman" w:cs="Times New Roman"/>
                      <w:color w:val="auto"/>
                      <w:highlight w:val="none"/>
                      <w:u w:val="none"/>
                      <w:lang w:val="en-US" w:eastAsia="zh-CN"/>
                    </w:rPr>
                    <w:t>54</w:t>
                  </w:r>
                </w:p>
              </w:tc>
              <w:tc>
                <w:tcPr>
                  <w:tcW w:w="389" w:type="pct"/>
                  <w:tcBorders>
                    <w:tl2br w:val="nil"/>
                    <w:tr2bl w:val="nil"/>
                  </w:tcBorders>
                  <w:noWrap w:val="0"/>
                  <w:vAlign w:val="center"/>
                </w:tcPr>
                <w:p>
                  <w:pPr>
                    <w:pStyle w:val="15"/>
                    <w:bidi w:val="0"/>
                    <w:ind w:firstLine="0" w:firstLineChars="0"/>
                    <w:rPr>
                      <w:rFonts w:hint="default" w:ascii="Times New Roman" w:hAnsi="Times New Roman" w:eastAsia="宋体" w:cs="Times New Roman"/>
                      <w:color w:val="auto"/>
                      <w:kern w:val="2"/>
                      <w:sz w:val="21"/>
                      <w:szCs w:val="21"/>
                      <w:highlight w:val="none"/>
                      <w:u w:val="none"/>
                      <w:lang w:val="en-US" w:eastAsia="zh-CN" w:bidi="ar-SA"/>
                    </w:rPr>
                  </w:pPr>
                  <w:r>
                    <w:rPr>
                      <w:rFonts w:hint="eastAsia" w:ascii="Times New Roman" w:hAnsi="Times New Roman" w:cs="Times New Roman"/>
                      <w:color w:val="auto"/>
                      <w:highlight w:val="none"/>
                      <w:u w:val="none"/>
                      <w:lang w:val="en-US" w:eastAsia="zh-CN"/>
                    </w:rPr>
                    <w:t>50</w:t>
                  </w:r>
                </w:p>
              </w:tc>
              <w:tc>
                <w:tcPr>
                  <w:tcW w:w="389" w:type="pct"/>
                  <w:tcBorders>
                    <w:tl2br w:val="nil"/>
                    <w:tr2bl w:val="nil"/>
                  </w:tcBorders>
                  <w:noWrap w:val="0"/>
                  <w:vAlign w:val="center"/>
                </w:tcPr>
                <w:p>
                  <w:pPr>
                    <w:pStyle w:val="15"/>
                    <w:bidi w:val="0"/>
                    <w:ind w:firstLine="0" w:firstLineChars="0"/>
                    <w:rPr>
                      <w:rFonts w:hint="default" w:ascii="Times New Roman" w:hAnsi="Times New Roman" w:eastAsia="宋体" w:cs="Times New Roman"/>
                      <w:color w:val="auto"/>
                      <w:kern w:val="2"/>
                      <w:sz w:val="21"/>
                      <w:szCs w:val="21"/>
                      <w:highlight w:val="none"/>
                      <w:u w:val="none"/>
                      <w:lang w:val="en-US" w:eastAsia="zh-CN" w:bidi="ar-SA"/>
                    </w:rPr>
                  </w:pPr>
                  <w:r>
                    <w:rPr>
                      <w:rFonts w:hint="eastAsia" w:ascii="Times New Roman" w:hAnsi="Times New Roman" w:cs="Times New Roman"/>
                      <w:color w:val="auto"/>
                      <w:highlight w:val="none"/>
                      <w:u w:val="none"/>
                      <w:lang w:val="en-US" w:eastAsia="zh-CN"/>
                    </w:rPr>
                    <w:t>48</w:t>
                  </w:r>
                </w:p>
              </w:tc>
              <w:tc>
                <w:tcPr>
                  <w:tcW w:w="389" w:type="pct"/>
                  <w:tcBorders>
                    <w:tl2br w:val="nil"/>
                    <w:tr2bl w:val="nil"/>
                  </w:tcBorders>
                  <w:noWrap w:val="0"/>
                  <w:vAlign w:val="center"/>
                </w:tcPr>
                <w:p>
                  <w:pPr>
                    <w:pStyle w:val="15"/>
                    <w:bidi w:val="0"/>
                    <w:ind w:firstLine="0" w:firstLineChars="0"/>
                    <w:rPr>
                      <w:rFonts w:hint="default" w:ascii="Times New Roman" w:hAnsi="Times New Roman" w:eastAsia="宋体" w:cs="Times New Roman"/>
                      <w:color w:val="auto"/>
                      <w:kern w:val="2"/>
                      <w:sz w:val="21"/>
                      <w:szCs w:val="21"/>
                      <w:highlight w:val="none"/>
                      <w:u w:val="none"/>
                      <w:lang w:val="en-US" w:eastAsia="zh-CN" w:bidi="ar-SA"/>
                    </w:rPr>
                  </w:pPr>
                  <w:r>
                    <w:rPr>
                      <w:rFonts w:hint="eastAsia" w:ascii="Times New Roman" w:hAnsi="Times New Roman" w:cs="Times New Roman"/>
                      <w:color w:val="auto"/>
                      <w:highlight w:val="none"/>
                      <w:u w:val="none"/>
                      <w:lang w:val="en-US" w:eastAsia="zh-CN"/>
                    </w:rPr>
                    <w:t>44</w:t>
                  </w:r>
                </w:p>
              </w:tc>
              <w:tc>
                <w:tcPr>
                  <w:tcW w:w="389" w:type="pct"/>
                  <w:tcBorders>
                    <w:tl2br w:val="nil"/>
                    <w:tr2bl w:val="nil"/>
                  </w:tcBorders>
                  <w:noWrap w:val="0"/>
                  <w:vAlign w:val="center"/>
                </w:tcPr>
                <w:p>
                  <w:pPr>
                    <w:pStyle w:val="15"/>
                    <w:bidi w:val="0"/>
                    <w:ind w:firstLine="0" w:firstLineChars="0"/>
                    <w:rPr>
                      <w:rFonts w:hint="default" w:ascii="Times New Roman" w:hAnsi="Times New Roman" w:eastAsia="宋体" w:cs="Times New Roman"/>
                      <w:color w:val="auto"/>
                      <w:kern w:val="2"/>
                      <w:sz w:val="21"/>
                      <w:szCs w:val="21"/>
                      <w:highlight w:val="none"/>
                      <w:u w:val="none"/>
                      <w:lang w:val="en-US" w:eastAsia="zh-CN" w:bidi="ar-SA"/>
                    </w:rPr>
                  </w:pPr>
                  <w:r>
                    <w:rPr>
                      <w:rFonts w:hint="eastAsia" w:ascii="Times New Roman" w:hAnsi="Times New Roman" w:cs="Times New Roman"/>
                      <w:color w:val="auto"/>
                      <w:highlight w:val="none"/>
                      <w:u w:val="none"/>
                      <w:lang w:val="en-US" w:eastAsia="zh-CN"/>
                    </w:rPr>
                    <w:t>42</w:t>
                  </w:r>
                </w:p>
              </w:tc>
              <w:tc>
                <w:tcPr>
                  <w:tcW w:w="390" w:type="pct"/>
                  <w:tcBorders>
                    <w:tl2br w:val="nil"/>
                    <w:tr2bl w:val="nil"/>
                  </w:tcBorders>
                  <w:noWrap w:val="0"/>
                  <w:vAlign w:val="center"/>
                </w:tcPr>
                <w:p>
                  <w:pPr>
                    <w:pStyle w:val="15"/>
                    <w:bidi w:val="0"/>
                    <w:ind w:firstLine="0" w:firstLineChars="0"/>
                    <w:rPr>
                      <w:rFonts w:hint="default" w:ascii="Times New Roman" w:hAnsi="Times New Roman" w:eastAsia="宋体" w:cs="Times New Roman"/>
                      <w:color w:val="auto"/>
                      <w:kern w:val="2"/>
                      <w:sz w:val="21"/>
                      <w:szCs w:val="21"/>
                      <w:highlight w:val="none"/>
                      <w:u w:val="none"/>
                      <w:lang w:val="en-US" w:eastAsia="zh-CN" w:bidi="ar-SA"/>
                    </w:rPr>
                  </w:pPr>
                  <w:r>
                    <w:rPr>
                      <w:rFonts w:hint="eastAsia" w:ascii="Times New Roman" w:hAnsi="Times New Roman" w:cs="Times New Roman"/>
                      <w:color w:val="auto"/>
                      <w:highlight w:val="none"/>
                      <w:u w:val="none"/>
                      <w:lang w:val="en-US" w:eastAsia="zh-CN"/>
                    </w:rPr>
                    <w:t>40</w:t>
                  </w:r>
                </w:p>
              </w:tc>
              <w:tc>
                <w:tcPr>
                  <w:tcW w:w="390" w:type="pct"/>
                  <w:tcBorders>
                    <w:tl2br w:val="nil"/>
                    <w:tr2bl w:val="nil"/>
                  </w:tcBorders>
                  <w:noWrap w:val="0"/>
                  <w:vAlign w:val="center"/>
                </w:tcPr>
                <w:p>
                  <w:pPr>
                    <w:pStyle w:val="15"/>
                    <w:bidi w:val="0"/>
                    <w:ind w:firstLine="0" w:firstLineChars="0"/>
                    <w:rPr>
                      <w:rFonts w:hint="default" w:ascii="Times New Roman" w:hAnsi="Times New Roman" w:eastAsia="宋体" w:cs="Times New Roman"/>
                      <w:color w:val="auto"/>
                      <w:kern w:val="2"/>
                      <w:sz w:val="21"/>
                      <w:szCs w:val="21"/>
                      <w:highlight w:val="none"/>
                      <w:u w:val="none"/>
                      <w:lang w:val="en-US" w:eastAsia="zh-CN" w:bidi="ar-SA"/>
                    </w:rPr>
                  </w:pPr>
                  <w:r>
                    <w:rPr>
                      <w:rFonts w:hint="eastAsia" w:ascii="Times New Roman" w:hAnsi="Times New Roman" w:cs="Times New Roman"/>
                      <w:color w:val="auto"/>
                      <w:highlight w:val="none"/>
                      <w:u w:val="none"/>
                      <w:lang w:val="en-US" w:eastAsia="zh-CN"/>
                    </w:rPr>
                    <w:t>36</w:t>
                  </w:r>
                </w:p>
              </w:tc>
              <w:tc>
                <w:tcPr>
                  <w:tcW w:w="423" w:type="pct"/>
                  <w:tcBorders>
                    <w:tl2br w:val="nil"/>
                    <w:tr2bl w:val="nil"/>
                  </w:tcBorders>
                  <w:noWrap w:val="0"/>
                  <w:vAlign w:val="center"/>
                </w:tcPr>
                <w:p>
                  <w:pPr>
                    <w:pStyle w:val="15"/>
                    <w:bidi w:val="0"/>
                    <w:ind w:firstLine="0" w:firstLineChars="0"/>
                    <w:rPr>
                      <w:rFonts w:hint="default" w:ascii="Times New Roman" w:hAnsi="Times New Roman" w:eastAsia="宋体" w:cs="Times New Roman"/>
                      <w:color w:val="auto"/>
                      <w:kern w:val="2"/>
                      <w:sz w:val="21"/>
                      <w:szCs w:val="21"/>
                      <w:highlight w:val="none"/>
                      <w:u w:val="none"/>
                      <w:lang w:val="en-US" w:eastAsia="zh-CN" w:bidi="ar-SA"/>
                    </w:rPr>
                  </w:pPr>
                  <w:r>
                    <w:rPr>
                      <w:rFonts w:hint="eastAsia" w:ascii="Times New Roman" w:hAnsi="Times New Roman" w:cs="Times New Roman"/>
                      <w:color w:val="auto"/>
                      <w:highlight w:val="none"/>
                      <w:u w:val="none"/>
                      <w:lang w:val="en-US" w:eastAsia="zh-CN"/>
                    </w:rPr>
                    <w:t>34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804" w:type="pct"/>
                  <w:tcBorders>
                    <w:tl2br w:val="nil"/>
                    <w:tr2bl w:val="nil"/>
                  </w:tcBorders>
                  <w:noWrap w:val="0"/>
                  <w:vAlign w:val="top"/>
                </w:tcPr>
                <w:p>
                  <w:pPr>
                    <w:pStyle w:val="15"/>
                    <w:bidi w:val="0"/>
                    <w:rPr>
                      <w:rFonts w:hint="default"/>
                      <w:color w:val="auto"/>
                      <w:highlight w:val="none"/>
                      <w:lang w:val="en-US" w:eastAsia="zh-CN"/>
                    </w:rPr>
                  </w:pPr>
                  <w:r>
                    <w:rPr>
                      <w:color w:val="auto"/>
                      <w:highlight w:val="none"/>
                    </w:rPr>
                    <w:t>自卸汽车</w:t>
                  </w:r>
                </w:p>
              </w:tc>
              <w:tc>
                <w:tcPr>
                  <w:tcW w:w="553" w:type="dxa"/>
                  <w:tcBorders>
                    <w:tl2br w:val="nil"/>
                    <w:tr2bl w:val="nil"/>
                  </w:tcBorders>
                  <w:noWrap w:val="0"/>
                  <w:vAlign w:val="center"/>
                </w:tcPr>
                <w:p>
                  <w:pPr>
                    <w:pStyle w:val="15"/>
                    <w:keepNext w:val="0"/>
                    <w:keepLines w:val="0"/>
                    <w:widowControl/>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highlight w:val="none"/>
                      <w:u w:val="none"/>
                      <w:lang w:val="en-US" w:eastAsia="zh-CN"/>
                    </w:rPr>
                  </w:pPr>
                  <w:r>
                    <w:rPr>
                      <w:rFonts w:hint="eastAsia" w:cs="Times New Roman"/>
                      <w:color w:val="auto"/>
                      <w:highlight w:val="none"/>
                      <w:u w:val="none"/>
                      <w:lang w:val="en-US" w:eastAsia="zh-CN"/>
                    </w:rPr>
                    <w:t>80</w:t>
                  </w:r>
                </w:p>
              </w:tc>
              <w:tc>
                <w:tcPr>
                  <w:tcW w:w="558" w:type="dxa"/>
                  <w:tcBorders>
                    <w:tl2br w:val="nil"/>
                    <w:tr2bl w:val="nil"/>
                  </w:tcBorders>
                  <w:noWrap w:val="0"/>
                  <w:vAlign w:val="center"/>
                </w:tcPr>
                <w:p>
                  <w:pPr>
                    <w:pStyle w:val="15"/>
                    <w:keepNext w:val="0"/>
                    <w:keepLines w:val="0"/>
                    <w:widowControl/>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kern w:val="2"/>
                      <w:sz w:val="21"/>
                      <w:szCs w:val="21"/>
                      <w:highlight w:val="none"/>
                      <w:u w:val="none"/>
                      <w:lang w:val="en-US" w:eastAsia="zh-CN" w:bidi="ar-SA"/>
                    </w:rPr>
                  </w:pPr>
                  <w:r>
                    <w:rPr>
                      <w:rFonts w:hint="eastAsia" w:eastAsia="宋体" w:cs="Times New Roman"/>
                      <w:color w:val="auto"/>
                      <w:highlight w:val="none"/>
                      <w:u w:val="none"/>
                      <w:lang w:val="en-US" w:eastAsia="zh-CN"/>
                    </w:rPr>
                    <w:t>70</w:t>
                  </w:r>
                </w:p>
              </w:tc>
              <w:tc>
                <w:tcPr>
                  <w:tcW w:w="663" w:type="dxa"/>
                  <w:tcBorders>
                    <w:tl2br w:val="nil"/>
                    <w:tr2bl w:val="nil"/>
                  </w:tcBorders>
                  <w:noWrap w:val="0"/>
                  <w:vAlign w:val="center"/>
                </w:tcPr>
                <w:p>
                  <w:pPr>
                    <w:pStyle w:val="15"/>
                    <w:bidi w:val="0"/>
                    <w:ind w:firstLine="0" w:firstLineChars="0"/>
                    <w:rPr>
                      <w:rFonts w:hint="default" w:ascii="宋体" w:hAnsi="宋体" w:eastAsia="宋体" w:cs="Times New Roman"/>
                      <w:color w:val="auto"/>
                      <w:kern w:val="2"/>
                      <w:sz w:val="21"/>
                      <w:szCs w:val="21"/>
                      <w:highlight w:val="none"/>
                      <w:u w:val="none"/>
                      <w:lang w:val="en-US" w:eastAsia="zh-CN" w:bidi="ar-SA"/>
                    </w:rPr>
                  </w:pPr>
                  <w:r>
                    <w:rPr>
                      <w:rFonts w:hint="eastAsia" w:ascii="Times New Roman" w:hAnsi="Times New Roman" w:cs="Times New Roman"/>
                      <w:color w:val="auto"/>
                      <w:highlight w:val="none"/>
                      <w:u w:val="none"/>
                      <w:lang w:val="en-US" w:eastAsia="zh-CN"/>
                    </w:rPr>
                    <w:t>60</w:t>
                  </w:r>
                </w:p>
              </w:tc>
              <w:tc>
                <w:tcPr>
                  <w:tcW w:w="661" w:type="dxa"/>
                  <w:tcBorders>
                    <w:tl2br w:val="nil"/>
                    <w:tr2bl w:val="nil"/>
                  </w:tcBorders>
                  <w:noWrap w:val="0"/>
                  <w:vAlign w:val="center"/>
                </w:tcPr>
                <w:p>
                  <w:pPr>
                    <w:pStyle w:val="15"/>
                    <w:bidi w:val="0"/>
                    <w:ind w:firstLine="0" w:firstLineChars="0"/>
                    <w:rPr>
                      <w:rFonts w:hint="default" w:ascii="宋体" w:hAnsi="宋体" w:eastAsia="宋体" w:cs="Times New Roman"/>
                      <w:color w:val="auto"/>
                      <w:kern w:val="2"/>
                      <w:sz w:val="21"/>
                      <w:szCs w:val="21"/>
                      <w:highlight w:val="none"/>
                      <w:u w:val="none"/>
                      <w:lang w:val="en-US" w:eastAsia="zh-CN" w:bidi="ar-SA"/>
                    </w:rPr>
                  </w:pPr>
                  <w:r>
                    <w:rPr>
                      <w:rFonts w:hint="eastAsia" w:ascii="Times New Roman" w:hAnsi="Times New Roman" w:cs="Times New Roman"/>
                      <w:color w:val="auto"/>
                      <w:highlight w:val="none"/>
                      <w:u w:val="none"/>
                      <w:lang w:val="en-US" w:eastAsia="zh-CN"/>
                    </w:rPr>
                    <w:t>54</w:t>
                  </w:r>
                </w:p>
              </w:tc>
              <w:tc>
                <w:tcPr>
                  <w:tcW w:w="661" w:type="dxa"/>
                  <w:tcBorders>
                    <w:tl2br w:val="nil"/>
                    <w:tr2bl w:val="nil"/>
                  </w:tcBorders>
                  <w:noWrap w:val="0"/>
                  <w:vAlign w:val="center"/>
                </w:tcPr>
                <w:p>
                  <w:pPr>
                    <w:pStyle w:val="15"/>
                    <w:bidi w:val="0"/>
                    <w:ind w:firstLine="0" w:firstLineChars="0"/>
                    <w:rPr>
                      <w:rFonts w:hint="default" w:ascii="宋体" w:hAnsi="宋体" w:eastAsia="宋体" w:cs="Times New Roman"/>
                      <w:color w:val="auto"/>
                      <w:kern w:val="2"/>
                      <w:sz w:val="21"/>
                      <w:szCs w:val="21"/>
                      <w:highlight w:val="none"/>
                      <w:u w:val="none"/>
                      <w:lang w:val="en-US" w:eastAsia="zh-CN" w:bidi="ar-SA"/>
                    </w:rPr>
                  </w:pPr>
                  <w:r>
                    <w:rPr>
                      <w:rFonts w:hint="eastAsia" w:ascii="Times New Roman" w:hAnsi="Times New Roman" w:cs="Times New Roman"/>
                      <w:color w:val="auto"/>
                      <w:highlight w:val="none"/>
                      <w:u w:val="none"/>
                      <w:lang w:val="en-US" w:eastAsia="zh-CN"/>
                    </w:rPr>
                    <w:t>50</w:t>
                  </w:r>
                </w:p>
              </w:tc>
              <w:tc>
                <w:tcPr>
                  <w:tcW w:w="661" w:type="dxa"/>
                  <w:tcBorders>
                    <w:tl2br w:val="nil"/>
                    <w:tr2bl w:val="nil"/>
                  </w:tcBorders>
                  <w:noWrap w:val="0"/>
                  <w:vAlign w:val="center"/>
                </w:tcPr>
                <w:p>
                  <w:pPr>
                    <w:pStyle w:val="15"/>
                    <w:bidi w:val="0"/>
                    <w:ind w:firstLine="0" w:firstLineChars="0"/>
                    <w:rPr>
                      <w:rFonts w:hint="default" w:ascii="宋体" w:hAnsi="宋体" w:eastAsia="宋体" w:cs="Times New Roman"/>
                      <w:color w:val="auto"/>
                      <w:kern w:val="2"/>
                      <w:sz w:val="21"/>
                      <w:szCs w:val="21"/>
                      <w:highlight w:val="none"/>
                      <w:u w:val="none"/>
                      <w:lang w:val="en-US" w:eastAsia="zh-CN" w:bidi="ar-SA"/>
                    </w:rPr>
                  </w:pPr>
                  <w:r>
                    <w:rPr>
                      <w:rFonts w:hint="eastAsia" w:ascii="Times New Roman" w:hAnsi="Times New Roman" w:cs="Times New Roman"/>
                      <w:color w:val="auto"/>
                      <w:highlight w:val="none"/>
                      <w:u w:val="none"/>
                      <w:lang w:val="en-US" w:eastAsia="zh-CN"/>
                    </w:rPr>
                    <w:t>48</w:t>
                  </w:r>
                </w:p>
              </w:tc>
              <w:tc>
                <w:tcPr>
                  <w:tcW w:w="661" w:type="dxa"/>
                  <w:tcBorders>
                    <w:tl2br w:val="nil"/>
                    <w:tr2bl w:val="nil"/>
                  </w:tcBorders>
                  <w:noWrap w:val="0"/>
                  <w:vAlign w:val="center"/>
                </w:tcPr>
                <w:p>
                  <w:pPr>
                    <w:pStyle w:val="15"/>
                    <w:bidi w:val="0"/>
                    <w:ind w:firstLine="0" w:firstLineChars="0"/>
                    <w:rPr>
                      <w:rFonts w:hint="default" w:ascii="宋体" w:hAnsi="宋体" w:eastAsia="宋体" w:cs="Times New Roman"/>
                      <w:color w:val="auto"/>
                      <w:kern w:val="2"/>
                      <w:sz w:val="21"/>
                      <w:szCs w:val="21"/>
                      <w:highlight w:val="none"/>
                      <w:u w:val="none"/>
                      <w:lang w:val="en-US" w:eastAsia="zh-CN" w:bidi="ar-SA"/>
                    </w:rPr>
                  </w:pPr>
                  <w:r>
                    <w:rPr>
                      <w:rFonts w:hint="eastAsia" w:ascii="Times New Roman" w:hAnsi="Times New Roman" w:cs="Times New Roman"/>
                      <w:color w:val="auto"/>
                      <w:highlight w:val="none"/>
                      <w:u w:val="none"/>
                      <w:lang w:val="en-US" w:eastAsia="zh-CN"/>
                    </w:rPr>
                    <w:t>44</w:t>
                  </w:r>
                </w:p>
              </w:tc>
              <w:tc>
                <w:tcPr>
                  <w:tcW w:w="661" w:type="dxa"/>
                  <w:tcBorders>
                    <w:tl2br w:val="nil"/>
                    <w:tr2bl w:val="nil"/>
                  </w:tcBorders>
                  <w:noWrap w:val="0"/>
                  <w:vAlign w:val="center"/>
                </w:tcPr>
                <w:p>
                  <w:pPr>
                    <w:pStyle w:val="15"/>
                    <w:bidi w:val="0"/>
                    <w:ind w:firstLine="0" w:firstLineChars="0"/>
                    <w:rPr>
                      <w:rFonts w:hint="default" w:ascii="宋体" w:hAnsi="宋体" w:eastAsia="宋体" w:cs="Times New Roman"/>
                      <w:color w:val="auto"/>
                      <w:kern w:val="2"/>
                      <w:sz w:val="21"/>
                      <w:szCs w:val="21"/>
                      <w:highlight w:val="none"/>
                      <w:u w:val="none"/>
                      <w:lang w:val="en-US" w:eastAsia="zh-CN" w:bidi="ar-SA"/>
                    </w:rPr>
                  </w:pPr>
                  <w:r>
                    <w:rPr>
                      <w:rFonts w:hint="eastAsia" w:ascii="Times New Roman" w:hAnsi="Times New Roman" w:cs="Times New Roman"/>
                      <w:color w:val="auto"/>
                      <w:highlight w:val="none"/>
                      <w:u w:val="none"/>
                      <w:lang w:val="en-US" w:eastAsia="zh-CN"/>
                    </w:rPr>
                    <w:t>42</w:t>
                  </w:r>
                </w:p>
              </w:tc>
              <w:tc>
                <w:tcPr>
                  <w:tcW w:w="663" w:type="dxa"/>
                  <w:tcBorders>
                    <w:tl2br w:val="nil"/>
                    <w:tr2bl w:val="nil"/>
                  </w:tcBorders>
                  <w:noWrap w:val="0"/>
                  <w:vAlign w:val="center"/>
                </w:tcPr>
                <w:p>
                  <w:pPr>
                    <w:pStyle w:val="15"/>
                    <w:bidi w:val="0"/>
                    <w:ind w:firstLine="0" w:firstLineChars="0"/>
                    <w:rPr>
                      <w:rFonts w:hint="default" w:ascii="宋体" w:hAnsi="宋体" w:eastAsia="宋体" w:cs="Times New Roman"/>
                      <w:color w:val="auto"/>
                      <w:kern w:val="2"/>
                      <w:sz w:val="21"/>
                      <w:szCs w:val="21"/>
                      <w:highlight w:val="none"/>
                      <w:u w:val="none"/>
                      <w:lang w:val="en-US" w:eastAsia="zh-CN" w:bidi="ar-SA"/>
                    </w:rPr>
                  </w:pPr>
                  <w:r>
                    <w:rPr>
                      <w:rFonts w:hint="eastAsia" w:ascii="Times New Roman" w:hAnsi="Times New Roman" w:cs="Times New Roman"/>
                      <w:color w:val="auto"/>
                      <w:highlight w:val="none"/>
                      <w:u w:val="none"/>
                      <w:lang w:val="en-US" w:eastAsia="zh-CN"/>
                    </w:rPr>
                    <w:t>40</w:t>
                  </w:r>
                </w:p>
              </w:tc>
              <w:tc>
                <w:tcPr>
                  <w:tcW w:w="663" w:type="dxa"/>
                  <w:tcBorders>
                    <w:tl2br w:val="nil"/>
                    <w:tr2bl w:val="nil"/>
                  </w:tcBorders>
                  <w:noWrap w:val="0"/>
                  <w:vAlign w:val="center"/>
                </w:tcPr>
                <w:p>
                  <w:pPr>
                    <w:pStyle w:val="15"/>
                    <w:bidi w:val="0"/>
                    <w:ind w:firstLine="0" w:firstLineChars="0"/>
                    <w:rPr>
                      <w:rFonts w:hint="default" w:ascii="宋体" w:hAnsi="宋体" w:eastAsia="宋体" w:cs="Times New Roman"/>
                      <w:color w:val="auto"/>
                      <w:kern w:val="2"/>
                      <w:sz w:val="21"/>
                      <w:szCs w:val="21"/>
                      <w:highlight w:val="none"/>
                      <w:u w:val="none"/>
                      <w:lang w:val="en-US" w:eastAsia="zh-CN" w:bidi="ar-SA"/>
                    </w:rPr>
                  </w:pPr>
                  <w:r>
                    <w:rPr>
                      <w:rFonts w:hint="eastAsia" w:ascii="Times New Roman" w:hAnsi="Times New Roman" w:cs="Times New Roman"/>
                      <w:color w:val="auto"/>
                      <w:highlight w:val="none"/>
                      <w:u w:val="none"/>
                      <w:lang w:val="en-US" w:eastAsia="zh-CN"/>
                    </w:rPr>
                    <w:t>36</w:t>
                  </w:r>
                </w:p>
              </w:tc>
              <w:tc>
                <w:tcPr>
                  <w:tcW w:w="724" w:type="dxa"/>
                  <w:tcBorders>
                    <w:tl2br w:val="nil"/>
                    <w:tr2bl w:val="nil"/>
                  </w:tcBorders>
                  <w:noWrap w:val="0"/>
                  <w:vAlign w:val="center"/>
                </w:tcPr>
                <w:p>
                  <w:pPr>
                    <w:pStyle w:val="15"/>
                    <w:bidi w:val="0"/>
                    <w:ind w:firstLine="0" w:firstLineChars="0"/>
                    <w:rPr>
                      <w:rFonts w:hint="default" w:ascii="宋体" w:hAnsi="宋体" w:eastAsia="宋体" w:cs="Times New Roman"/>
                      <w:color w:val="auto"/>
                      <w:kern w:val="2"/>
                      <w:sz w:val="21"/>
                      <w:szCs w:val="21"/>
                      <w:highlight w:val="none"/>
                      <w:u w:val="none"/>
                      <w:lang w:val="en-US" w:eastAsia="zh-CN" w:bidi="ar-SA"/>
                    </w:rPr>
                  </w:pPr>
                  <w:r>
                    <w:rPr>
                      <w:rFonts w:hint="eastAsia" w:ascii="Times New Roman" w:hAnsi="Times New Roman" w:cs="Times New Roman"/>
                      <w:color w:val="auto"/>
                      <w:highlight w:val="none"/>
                      <w:u w:val="none"/>
                      <w:lang w:val="en-US" w:eastAsia="zh-CN"/>
                    </w:rPr>
                    <w:t>34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804" w:type="pct"/>
                  <w:tcBorders>
                    <w:tl2br w:val="nil"/>
                    <w:tr2bl w:val="nil"/>
                  </w:tcBorders>
                  <w:noWrap w:val="0"/>
                  <w:vAlign w:val="top"/>
                </w:tcPr>
                <w:p>
                  <w:pPr>
                    <w:pStyle w:val="15"/>
                    <w:bidi w:val="0"/>
                    <w:rPr>
                      <w:rFonts w:hint="default"/>
                      <w:color w:val="auto"/>
                      <w:highlight w:val="none"/>
                      <w:lang w:val="en-US" w:eastAsia="zh-CN"/>
                    </w:rPr>
                  </w:pPr>
                  <w:r>
                    <w:rPr>
                      <w:color w:val="auto"/>
                      <w:highlight w:val="none"/>
                    </w:rPr>
                    <w:t>双胶轮车</w:t>
                  </w:r>
                </w:p>
              </w:tc>
              <w:tc>
                <w:tcPr>
                  <w:tcW w:w="326"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highlight w:val="none"/>
                      <w:u w:val="none"/>
                      <w:lang w:val="en-US" w:eastAsia="zh-CN"/>
                    </w:rPr>
                  </w:pPr>
                  <w:r>
                    <w:rPr>
                      <w:rFonts w:hint="eastAsia" w:cs="Times New Roman"/>
                      <w:color w:val="auto"/>
                      <w:highlight w:val="none"/>
                      <w:u w:val="none"/>
                      <w:lang w:val="en-US" w:eastAsia="zh-CN"/>
                    </w:rPr>
                    <w:t>75</w:t>
                  </w:r>
                </w:p>
              </w:tc>
              <w:tc>
                <w:tcPr>
                  <w:tcW w:w="329"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kern w:val="2"/>
                      <w:sz w:val="21"/>
                      <w:szCs w:val="21"/>
                      <w:highlight w:val="none"/>
                      <w:u w:val="none"/>
                      <w:lang w:val="en-US" w:eastAsia="zh-CN" w:bidi="ar-SA"/>
                    </w:rPr>
                  </w:pPr>
                  <w:r>
                    <w:rPr>
                      <w:rFonts w:hint="eastAsia" w:cs="Times New Roman"/>
                      <w:color w:val="auto"/>
                      <w:highlight w:val="none"/>
                      <w:u w:val="none"/>
                      <w:lang w:val="en-US" w:eastAsia="zh-CN"/>
                    </w:rPr>
                    <w:t>65</w:t>
                  </w:r>
                </w:p>
              </w:tc>
              <w:tc>
                <w:tcPr>
                  <w:tcW w:w="390"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kern w:val="2"/>
                      <w:sz w:val="21"/>
                      <w:szCs w:val="21"/>
                      <w:highlight w:val="none"/>
                      <w:u w:val="none"/>
                      <w:lang w:val="en-US" w:eastAsia="zh-CN" w:bidi="ar-SA"/>
                    </w:rPr>
                  </w:pPr>
                  <w:r>
                    <w:rPr>
                      <w:rFonts w:hint="eastAsia" w:cs="Times New Roman"/>
                      <w:color w:val="auto"/>
                      <w:highlight w:val="none"/>
                      <w:u w:val="none"/>
                      <w:lang w:val="en-US" w:eastAsia="zh-CN"/>
                    </w:rPr>
                    <w:t>55</w:t>
                  </w:r>
                </w:p>
              </w:tc>
              <w:tc>
                <w:tcPr>
                  <w:tcW w:w="389"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kern w:val="2"/>
                      <w:sz w:val="21"/>
                      <w:szCs w:val="21"/>
                      <w:highlight w:val="none"/>
                      <w:u w:val="none"/>
                      <w:lang w:val="en-US" w:eastAsia="zh-CN" w:bidi="ar-SA"/>
                    </w:rPr>
                  </w:pPr>
                  <w:r>
                    <w:rPr>
                      <w:rFonts w:hint="eastAsia" w:cs="Times New Roman"/>
                      <w:color w:val="auto"/>
                      <w:highlight w:val="none"/>
                      <w:u w:val="none"/>
                      <w:lang w:val="en-US" w:eastAsia="zh-CN"/>
                    </w:rPr>
                    <w:t>49</w:t>
                  </w:r>
                </w:p>
              </w:tc>
              <w:tc>
                <w:tcPr>
                  <w:tcW w:w="389"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kern w:val="2"/>
                      <w:sz w:val="21"/>
                      <w:szCs w:val="21"/>
                      <w:highlight w:val="none"/>
                      <w:u w:val="none"/>
                      <w:lang w:val="en-US" w:eastAsia="zh-CN" w:bidi="ar-SA"/>
                    </w:rPr>
                  </w:pPr>
                  <w:r>
                    <w:rPr>
                      <w:rFonts w:hint="eastAsia" w:cs="Times New Roman"/>
                      <w:color w:val="auto"/>
                      <w:highlight w:val="none"/>
                      <w:u w:val="none"/>
                      <w:lang w:val="en-US" w:eastAsia="zh-CN"/>
                    </w:rPr>
                    <w:t>45</w:t>
                  </w:r>
                </w:p>
              </w:tc>
              <w:tc>
                <w:tcPr>
                  <w:tcW w:w="389"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kern w:val="2"/>
                      <w:sz w:val="21"/>
                      <w:szCs w:val="21"/>
                      <w:highlight w:val="none"/>
                      <w:u w:val="none"/>
                      <w:lang w:val="en-US" w:eastAsia="zh-CN" w:bidi="ar-SA"/>
                    </w:rPr>
                  </w:pPr>
                  <w:r>
                    <w:rPr>
                      <w:rFonts w:hint="eastAsia" w:cs="Times New Roman"/>
                      <w:color w:val="auto"/>
                      <w:highlight w:val="none"/>
                      <w:u w:val="none"/>
                      <w:lang w:val="en-US" w:eastAsia="zh-CN"/>
                    </w:rPr>
                    <w:t>43</w:t>
                  </w:r>
                </w:p>
              </w:tc>
              <w:tc>
                <w:tcPr>
                  <w:tcW w:w="389"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kern w:val="2"/>
                      <w:sz w:val="21"/>
                      <w:szCs w:val="21"/>
                      <w:highlight w:val="none"/>
                      <w:u w:val="none"/>
                      <w:lang w:val="en-US" w:eastAsia="zh-CN" w:bidi="ar-SA"/>
                    </w:rPr>
                  </w:pPr>
                  <w:r>
                    <w:rPr>
                      <w:rFonts w:hint="eastAsia" w:cs="Times New Roman"/>
                      <w:color w:val="auto"/>
                      <w:highlight w:val="none"/>
                      <w:u w:val="none"/>
                      <w:lang w:val="en-US" w:eastAsia="zh-CN"/>
                    </w:rPr>
                    <w:t>39</w:t>
                  </w:r>
                </w:p>
              </w:tc>
              <w:tc>
                <w:tcPr>
                  <w:tcW w:w="389"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kern w:val="2"/>
                      <w:sz w:val="21"/>
                      <w:szCs w:val="21"/>
                      <w:highlight w:val="none"/>
                      <w:u w:val="none"/>
                      <w:lang w:val="en-US" w:eastAsia="zh-CN" w:bidi="ar-SA"/>
                    </w:rPr>
                  </w:pPr>
                  <w:r>
                    <w:rPr>
                      <w:rFonts w:hint="eastAsia" w:cs="Times New Roman"/>
                      <w:color w:val="auto"/>
                      <w:highlight w:val="none"/>
                      <w:u w:val="none"/>
                      <w:lang w:val="en-US" w:eastAsia="zh-CN"/>
                    </w:rPr>
                    <w:t>37</w:t>
                  </w:r>
                </w:p>
              </w:tc>
              <w:tc>
                <w:tcPr>
                  <w:tcW w:w="390"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kern w:val="2"/>
                      <w:sz w:val="21"/>
                      <w:szCs w:val="21"/>
                      <w:highlight w:val="none"/>
                      <w:u w:val="none"/>
                      <w:lang w:val="en-US" w:eastAsia="zh-CN" w:bidi="ar-SA"/>
                    </w:rPr>
                  </w:pPr>
                  <w:r>
                    <w:rPr>
                      <w:rFonts w:hint="eastAsia" w:cs="Times New Roman"/>
                      <w:color w:val="auto"/>
                      <w:highlight w:val="none"/>
                      <w:u w:val="none"/>
                      <w:lang w:val="en-US" w:eastAsia="zh-CN"/>
                    </w:rPr>
                    <w:t>35</w:t>
                  </w:r>
                </w:p>
              </w:tc>
              <w:tc>
                <w:tcPr>
                  <w:tcW w:w="390"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kern w:val="2"/>
                      <w:sz w:val="21"/>
                      <w:szCs w:val="21"/>
                      <w:highlight w:val="none"/>
                      <w:u w:val="none"/>
                      <w:lang w:val="en-US" w:eastAsia="zh-CN" w:bidi="ar-SA"/>
                    </w:rPr>
                  </w:pPr>
                  <w:r>
                    <w:rPr>
                      <w:rFonts w:hint="eastAsia" w:cs="Times New Roman"/>
                      <w:color w:val="auto"/>
                      <w:highlight w:val="none"/>
                      <w:u w:val="none"/>
                      <w:lang w:val="en-US" w:eastAsia="zh-CN"/>
                    </w:rPr>
                    <w:t>31</w:t>
                  </w:r>
                </w:p>
              </w:tc>
              <w:tc>
                <w:tcPr>
                  <w:tcW w:w="423"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kern w:val="2"/>
                      <w:sz w:val="21"/>
                      <w:szCs w:val="21"/>
                      <w:highlight w:val="none"/>
                      <w:u w:val="none"/>
                      <w:lang w:val="en-US" w:eastAsia="zh-CN" w:bidi="ar-SA"/>
                    </w:rPr>
                  </w:pPr>
                  <w:r>
                    <w:rPr>
                      <w:rFonts w:hint="eastAsia" w:cs="Times New Roman"/>
                      <w:color w:val="auto"/>
                      <w:highlight w:val="none"/>
                      <w:u w:val="none"/>
                      <w:lang w:val="en-US" w:eastAsia="zh-CN"/>
                    </w:rPr>
                    <w:t>29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804" w:type="pct"/>
                  <w:tcBorders>
                    <w:tl2br w:val="nil"/>
                    <w:tr2bl w:val="nil"/>
                  </w:tcBorders>
                  <w:noWrap w:val="0"/>
                  <w:vAlign w:val="center"/>
                </w:tcPr>
                <w:p>
                  <w:pPr>
                    <w:pStyle w:val="15"/>
                    <w:bidi w:val="0"/>
                    <w:rPr>
                      <w:rFonts w:hint="default" w:ascii="Times New Roman" w:hAnsi="Times New Roman" w:eastAsia="宋体" w:cstheme="minorBidi"/>
                      <w:color w:val="auto"/>
                      <w:kern w:val="2"/>
                      <w:szCs w:val="21"/>
                      <w:highlight w:val="none"/>
                      <w:lang w:val="en-US" w:eastAsia="zh-CN" w:bidi="ar-SA"/>
                    </w:rPr>
                  </w:pPr>
                  <w:r>
                    <w:rPr>
                      <w:color w:val="auto"/>
                      <w:highlight w:val="none"/>
                    </w:rPr>
                    <w:t>砼振动器</w:t>
                  </w:r>
                </w:p>
              </w:tc>
              <w:tc>
                <w:tcPr>
                  <w:tcW w:w="553" w:type="dxa"/>
                  <w:tcBorders>
                    <w:tl2br w:val="nil"/>
                    <w:tr2bl w:val="nil"/>
                  </w:tcBorders>
                  <w:noWrap w:val="0"/>
                  <w:vAlign w:val="center"/>
                </w:tcPr>
                <w:p>
                  <w:pPr>
                    <w:pStyle w:val="15"/>
                    <w:keepNext w:val="0"/>
                    <w:keepLines w:val="0"/>
                    <w:widowControl/>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highlight w:val="none"/>
                      <w:u w:val="none"/>
                      <w:lang w:val="en-US" w:eastAsia="zh-CN"/>
                    </w:rPr>
                  </w:pPr>
                  <w:r>
                    <w:rPr>
                      <w:rFonts w:hint="eastAsia" w:cs="Times New Roman"/>
                      <w:color w:val="auto"/>
                      <w:highlight w:val="none"/>
                      <w:u w:val="none"/>
                      <w:lang w:val="en-US" w:eastAsia="zh-CN"/>
                    </w:rPr>
                    <w:t>90</w:t>
                  </w:r>
                </w:p>
              </w:tc>
              <w:tc>
                <w:tcPr>
                  <w:tcW w:w="558" w:type="dxa"/>
                  <w:tcBorders>
                    <w:tl2br w:val="nil"/>
                    <w:tr2bl w:val="nil"/>
                  </w:tcBorders>
                  <w:noWrap w:val="0"/>
                  <w:vAlign w:val="center"/>
                </w:tcPr>
                <w:p>
                  <w:pPr>
                    <w:pStyle w:val="15"/>
                    <w:keepNext w:val="0"/>
                    <w:keepLines w:val="0"/>
                    <w:widowControl/>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kern w:val="2"/>
                      <w:sz w:val="21"/>
                      <w:szCs w:val="21"/>
                      <w:highlight w:val="none"/>
                      <w:u w:val="none"/>
                      <w:lang w:val="en-US" w:eastAsia="zh-CN" w:bidi="ar-SA"/>
                    </w:rPr>
                  </w:pPr>
                  <w:r>
                    <w:rPr>
                      <w:rFonts w:hint="eastAsia" w:cs="Times New Roman"/>
                      <w:color w:val="auto"/>
                      <w:highlight w:val="none"/>
                      <w:u w:val="none"/>
                      <w:lang w:val="en-US" w:eastAsia="zh-CN"/>
                    </w:rPr>
                    <w:t>80</w:t>
                  </w:r>
                </w:p>
              </w:tc>
              <w:tc>
                <w:tcPr>
                  <w:tcW w:w="663" w:type="dxa"/>
                  <w:tcBorders>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cs="Times New Roman"/>
                      <w:color w:val="auto"/>
                      <w:kern w:val="2"/>
                      <w:sz w:val="21"/>
                      <w:szCs w:val="21"/>
                      <w:highlight w:val="none"/>
                      <w:u w:val="none"/>
                      <w:lang w:val="en-US" w:eastAsia="zh-CN" w:bidi="ar-SA"/>
                    </w:rPr>
                    <w:t>7</w:t>
                  </w:r>
                  <w:r>
                    <w:rPr>
                      <w:rFonts w:hint="eastAsia" w:cs="Times New Roman"/>
                      <w:color w:val="auto"/>
                      <w:kern w:val="2"/>
                      <w:sz w:val="21"/>
                      <w:szCs w:val="21"/>
                      <w:highlight w:val="none"/>
                      <w:u w:val="none"/>
                      <w:lang w:val="en-US" w:eastAsia="zh-CN" w:bidi="ar-SA"/>
                    </w:rPr>
                    <w:t>0</w:t>
                  </w:r>
                </w:p>
              </w:tc>
              <w:tc>
                <w:tcPr>
                  <w:tcW w:w="661" w:type="dxa"/>
                  <w:tcBorders>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cs="Times New Roman"/>
                      <w:color w:val="auto"/>
                      <w:kern w:val="2"/>
                      <w:sz w:val="21"/>
                      <w:szCs w:val="21"/>
                      <w:highlight w:val="none"/>
                      <w:u w:val="none"/>
                      <w:lang w:val="en-US" w:eastAsia="zh-CN" w:bidi="ar-SA"/>
                    </w:rPr>
                    <w:t>6</w:t>
                  </w:r>
                  <w:r>
                    <w:rPr>
                      <w:rFonts w:hint="eastAsia" w:cs="Times New Roman"/>
                      <w:color w:val="auto"/>
                      <w:kern w:val="2"/>
                      <w:sz w:val="21"/>
                      <w:szCs w:val="21"/>
                      <w:highlight w:val="none"/>
                      <w:u w:val="none"/>
                      <w:lang w:val="en-US" w:eastAsia="zh-CN" w:bidi="ar-SA"/>
                    </w:rPr>
                    <w:t>4</w:t>
                  </w:r>
                </w:p>
              </w:tc>
              <w:tc>
                <w:tcPr>
                  <w:tcW w:w="661" w:type="dxa"/>
                  <w:tcBorders>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cs="Times New Roman"/>
                      <w:color w:val="auto"/>
                      <w:kern w:val="2"/>
                      <w:sz w:val="21"/>
                      <w:szCs w:val="21"/>
                      <w:highlight w:val="none"/>
                      <w:u w:val="none"/>
                      <w:lang w:val="en-US" w:eastAsia="zh-CN" w:bidi="ar-SA"/>
                    </w:rPr>
                    <w:t>6</w:t>
                  </w:r>
                  <w:r>
                    <w:rPr>
                      <w:rFonts w:hint="eastAsia" w:cs="Times New Roman"/>
                      <w:color w:val="auto"/>
                      <w:kern w:val="2"/>
                      <w:sz w:val="21"/>
                      <w:szCs w:val="21"/>
                      <w:highlight w:val="none"/>
                      <w:u w:val="none"/>
                      <w:lang w:val="en-US" w:eastAsia="zh-CN" w:bidi="ar-SA"/>
                    </w:rPr>
                    <w:t>0</w:t>
                  </w:r>
                </w:p>
              </w:tc>
              <w:tc>
                <w:tcPr>
                  <w:tcW w:w="661" w:type="dxa"/>
                  <w:tcBorders>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kern w:val="2"/>
                      <w:sz w:val="21"/>
                      <w:szCs w:val="21"/>
                      <w:highlight w:val="none"/>
                      <w:u w:val="none"/>
                      <w:lang w:val="en-US" w:eastAsia="zh-CN" w:bidi="ar-SA"/>
                    </w:rPr>
                  </w:pPr>
                  <w:r>
                    <w:rPr>
                      <w:rFonts w:hint="eastAsia" w:cs="Times New Roman"/>
                      <w:color w:val="auto"/>
                      <w:kern w:val="2"/>
                      <w:sz w:val="21"/>
                      <w:szCs w:val="21"/>
                      <w:highlight w:val="none"/>
                      <w:u w:val="none"/>
                      <w:lang w:val="en-US" w:eastAsia="zh-CN" w:bidi="ar-SA"/>
                    </w:rPr>
                    <w:t>58</w:t>
                  </w:r>
                </w:p>
              </w:tc>
              <w:tc>
                <w:tcPr>
                  <w:tcW w:w="661" w:type="dxa"/>
                  <w:tcBorders>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kern w:val="2"/>
                      <w:sz w:val="21"/>
                      <w:szCs w:val="21"/>
                      <w:highlight w:val="none"/>
                      <w:u w:val="none"/>
                      <w:lang w:val="en-US" w:eastAsia="zh-CN" w:bidi="ar-SA"/>
                    </w:rPr>
                  </w:pPr>
                  <w:r>
                    <w:rPr>
                      <w:rFonts w:hint="eastAsia" w:cs="Times New Roman"/>
                      <w:color w:val="auto"/>
                      <w:kern w:val="2"/>
                      <w:sz w:val="21"/>
                      <w:szCs w:val="21"/>
                      <w:highlight w:val="none"/>
                      <w:u w:val="none"/>
                      <w:lang w:val="en-US" w:eastAsia="zh-CN" w:bidi="ar-SA"/>
                    </w:rPr>
                    <w:t>54</w:t>
                  </w:r>
                </w:p>
              </w:tc>
              <w:tc>
                <w:tcPr>
                  <w:tcW w:w="661" w:type="dxa"/>
                  <w:tcBorders>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cs="Times New Roman"/>
                      <w:color w:val="auto"/>
                      <w:kern w:val="2"/>
                      <w:sz w:val="21"/>
                      <w:szCs w:val="21"/>
                      <w:highlight w:val="none"/>
                      <w:u w:val="none"/>
                      <w:lang w:val="en-US" w:eastAsia="zh-CN" w:bidi="ar-SA"/>
                    </w:rPr>
                    <w:t>5</w:t>
                  </w:r>
                  <w:r>
                    <w:rPr>
                      <w:rFonts w:hint="eastAsia" w:cs="Times New Roman"/>
                      <w:color w:val="auto"/>
                      <w:kern w:val="2"/>
                      <w:sz w:val="21"/>
                      <w:szCs w:val="21"/>
                      <w:highlight w:val="none"/>
                      <w:u w:val="none"/>
                      <w:lang w:val="en-US" w:eastAsia="zh-CN" w:bidi="ar-SA"/>
                    </w:rPr>
                    <w:t>2</w:t>
                  </w:r>
                </w:p>
              </w:tc>
              <w:tc>
                <w:tcPr>
                  <w:tcW w:w="663" w:type="dxa"/>
                  <w:tcBorders>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kern w:val="2"/>
                      <w:sz w:val="21"/>
                      <w:szCs w:val="21"/>
                      <w:highlight w:val="none"/>
                      <w:u w:val="none"/>
                      <w:lang w:val="en-US" w:eastAsia="zh-CN" w:bidi="ar-SA"/>
                    </w:rPr>
                  </w:pPr>
                  <w:r>
                    <w:rPr>
                      <w:rFonts w:hint="default" w:ascii="Times New Roman" w:hAnsi="Times New Roman" w:cs="Times New Roman"/>
                      <w:color w:val="auto"/>
                      <w:kern w:val="2"/>
                      <w:sz w:val="21"/>
                      <w:szCs w:val="21"/>
                      <w:highlight w:val="none"/>
                      <w:u w:val="none"/>
                      <w:lang w:val="en-US" w:eastAsia="zh-CN" w:bidi="ar-SA"/>
                    </w:rPr>
                    <w:t>5</w:t>
                  </w:r>
                  <w:r>
                    <w:rPr>
                      <w:rFonts w:hint="eastAsia" w:cs="Times New Roman"/>
                      <w:color w:val="auto"/>
                      <w:kern w:val="2"/>
                      <w:sz w:val="21"/>
                      <w:szCs w:val="21"/>
                      <w:highlight w:val="none"/>
                      <w:u w:val="none"/>
                      <w:lang w:val="en-US" w:eastAsia="zh-CN" w:bidi="ar-SA"/>
                    </w:rPr>
                    <w:t>0</w:t>
                  </w:r>
                </w:p>
              </w:tc>
              <w:tc>
                <w:tcPr>
                  <w:tcW w:w="663" w:type="dxa"/>
                  <w:tcBorders>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kern w:val="2"/>
                      <w:sz w:val="21"/>
                      <w:szCs w:val="21"/>
                      <w:highlight w:val="none"/>
                      <w:u w:val="none"/>
                      <w:lang w:val="en-US" w:eastAsia="zh-CN" w:bidi="ar-SA"/>
                    </w:rPr>
                  </w:pPr>
                  <w:r>
                    <w:rPr>
                      <w:rFonts w:hint="eastAsia" w:cs="Times New Roman"/>
                      <w:color w:val="auto"/>
                      <w:kern w:val="2"/>
                      <w:sz w:val="21"/>
                      <w:szCs w:val="21"/>
                      <w:highlight w:val="none"/>
                      <w:u w:val="none"/>
                      <w:lang w:val="en-US" w:eastAsia="zh-CN" w:bidi="ar-SA"/>
                    </w:rPr>
                    <w:t>46</w:t>
                  </w:r>
                </w:p>
              </w:tc>
              <w:tc>
                <w:tcPr>
                  <w:tcW w:w="724" w:type="dxa"/>
                  <w:tcBorders>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kern w:val="2"/>
                      <w:sz w:val="21"/>
                      <w:szCs w:val="21"/>
                      <w:highlight w:val="none"/>
                      <w:u w:val="none"/>
                      <w:lang w:val="en-US" w:eastAsia="zh-CN" w:bidi="ar-SA"/>
                    </w:rPr>
                  </w:pPr>
                  <w:r>
                    <w:rPr>
                      <w:rFonts w:hint="eastAsia" w:cs="Times New Roman"/>
                      <w:color w:val="auto"/>
                      <w:kern w:val="2"/>
                      <w:sz w:val="21"/>
                      <w:szCs w:val="21"/>
                      <w:highlight w:val="none"/>
                      <w:u w:val="none"/>
                      <w:lang w:val="en-US" w:eastAsia="zh-CN" w:bidi="ar-SA"/>
                    </w:rPr>
                    <w:t>44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804" w:type="pct"/>
                  <w:tcBorders>
                    <w:tl2br w:val="nil"/>
                    <w:tr2bl w:val="nil"/>
                  </w:tcBorders>
                  <w:noWrap w:val="0"/>
                  <w:vAlign w:val="center"/>
                </w:tcPr>
                <w:p>
                  <w:pPr>
                    <w:pStyle w:val="15"/>
                    <w:bidi w:val="0"/>
                    <w:ind w:firstLine="0" w:firstLineChars="0"/>
                    <w:rPr>
                      <w:rFonts w:hint="default" w:eastAsia="宋体"/>
                      <w:color w:val="auto"/>
                      <w:highlight w:val="none"/>
                      <w:lang w:val="en-US" w:eastAsia="zh-CN"/>
                    </w:rPr>
                  </w:pPr>
                  <w:r>
                    <w:rPr>
                      <w:rFonts w:hint="eastAsia"/>
                      <w:color w:val="auto"/>
                      <w:highlight w:val="none"/>
                      <w:lang w:val="en-US" w:eastAsia="zh-CN"/>
                    </w:rPr>
                    <w:t>单台叠加</w:t>
                  </w:r>
                </w:p>
              </w:tc>
              <w:tc>
                <w:tcPr>
                  <w:tcW w:w="326"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cs="Times New Roman"/>
                      <w:color w:val="auto"/>
                      <w:highlight w:val="none"/>
                      <w:u w:val="none"/>
                      <w:lang w:val="en-US" w:eastAsia="zh-CN"/>
                    </w:rPr>
                  </w:pPr>
                  <w:r>
                    <w:rPr>
                      <w:rFonts w:hint="eastAsia" w:cs="Times New Roman"/>
                      <w:color w:val="auto"/>
                      <w:highlight w:val="none"/>
                      <w:u w:val="none"/>
                      <w:lang w:val="en-US" w:eastAsia="zh-CN"/>
                    </w:rPr>
                    <w:t>96</w:t>
                  </w:r>
                </w:p>
              </w:tc>
              <w:tc>
                <w:tcPr>
                  <w:tcW w:w="329"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highlight w:val="none"/>
                      <w:u w:val="none"/>
                      <w:lang w:val="en-US" w:eastAsia="zh-CN"/>
                    </w:rPr>
                  </w:pPr>
                  <w:r>
                    <w:rPr>
                      <w:rFonts w:hint="eastAsia" w:cs="Times New Roman"/>
                      <w:color w:val="auto"/>
                      <w:highlight w:val="none"/>
                      <w:u w:val="none"/>
                      <w:lang w:val="en-US" w:eastAsia="zh-CN"/>
                    </w:rPr>
                    <w:t>86</w:t>
                  </w:r>
                </w:p>
              </w:tc>
              <w:tc>
                <w:tcPr>
                  <w:tcW w:w="390"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cs="Times New Roman"/>
                      <w:color w:val="auto"/>
                      <w:highlight w:val="none"/>
                      <w:u w:val="none"/>
                      <w:lang w:val="en-US" w:eastAsia="zh-CN"/>
                    </w:rPr>
                  </w:pPr>
                  <w:r>
                    <w:rPr>
                      <w:rFonts w:hint="eastAsia" w:cs="Times New Roman"/>
                      <w:color w:val="auto"/>
                      <w:highlight w:val="none"/>
                      <w:u w:val="none"/>
                      <w:lang w:val="en-US" w:eastAsia="zh-CN"/>
                    </w:rPr>
                    <w:t>76</w:t>
                  </w:r>
                </w:p>
              </w:tc>
              <w:tc>
                <w:tcPr>
                  <w:tcW w:w="389"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cs="Times New Roman"/>
                      <w:color w:val="auto"/>
                      <w:highlight w:val="none"/>
                      <w:u w:val="none"/>
                      <w:lang w:val="en-US" w:eastAsia="zh-CN"/>
                    </w:rPr>
                  </w:pPr>
                  <w:r>
                    <w:rPr>
                      <w:rFonts w:hint="eastAsia" w:cs="Times New Roman"/>
                      <w:color w:val="auto"/>
                      <w:highlight w:val="none"/>
                      <w:u w:val="none"/>
                      <w:lang w:val="en-US" w:eastAsia="zh-CN"/>
                    </w:rPr>
                    <w:t>70</w:t>
                  </w:r>
                </w:p>
              </w:tc>
              <w:tc>
                <w:tcPr>
                  <w:tcW w:w="389"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cs="Times New Roman"/>
                      <w:color w:val="auto"/>
                      <w:highlight w:val="none"/>
                      <w:u w:val="none"/>
                      <w:lang w:val="en-US" w:eastAsia="zh-CN"/>
                    </w:rPr>
                  </w:pPr>
                  <w:r>
                    <w:rPr>
                      <w:rFonts w:hint="eastAsia" w:cs="Times New Roman"/>
                      <w:color w:val="auto"/>
                      <w:highlight w:val="none"/>
                      <w:u w:val="none"/>
                      <w:lang w:val="en-US" w:eastAsia="zh-CN"/>
                    </w:rPr>
                    <w:t>66</w:t>
                  </w:r>
                </w:p>
              </w:tc>
              <w:tc>
                <w:tcPr>
                  <w:tcW w:w="389"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cs="Times New Roman"/>
                      <w:color w:val="auto"/>
                      <w:highlight w:val="none"/>
                      <w:u w:val="none"/>
                      <w:lang w:val="en-US" w:eastAsia="zh-CN"/>
                    </w:rPr>
                  </w:pPr>
                  <w:r>
                    <w:rPr>
                      <w:rFonts w:hint="eastAsia" w:cs="Times New Roman"/>
                      <w:color w:val="auto"/>
                      <w:highlight w:val="none"/>
                      <w:u w:val="none"/>
                      <w:lang w:val="en-US" w:eastAsia="zh-CN"/>
                    </w:rPr>
                    <w:t>64</w:t>
                  </w:r>
                </w:p>
              </w:tc>
              <w:tc>
                <w:tcPr>
                  <w:tcW w:w="389"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cs="Times New Roman"/>
                      <w:color w:val="auto"/>
                      <w:highlight w:val="none"/>
                      <w:u w:val="none"/>
                      <w:lang w:val="en-US" w:eastAsia="zh-CN"/>
                    </w:rPr>
                  </w:pPr>
                  <w:r>
                    <w:rPr>
                      <w:rFonts w:hint="eastAsia" w:cs="Times New Roman"/>
                      <w:color w:val="auto"/>
                      <w:highlight w:val="none"/>
                      <w:u w:val="none"/>
                      <w:lang w:val="en-US" w:eastAsia="zh-CN"/>
                    </w:rPr>
                    <w:t>60</w:t>
                  </w:r>
                </w:p>
              </w:tc>
              <w:tc>
                <w:tcPr>
                  <w:tcW w:w="389"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cs="Times New Roman"/>
                      <w:color w:val="auto"/>
                      <w:highlight w:val="none"/>
                      <w:u w:val="none"/>
                      <w:lang w:val="en-US" w:eastAsia="zh-CN"/>
                    </w:rPr>
                  </w:pPr>
                  <w:r>
                    <w:rPr>
                      <w:rFonts w:hint="eastAsia" w:cs="Times New Roman"/>
                      <w:color w:val="auto"/>
                      <w:highlight w:val="none"/>
                      <w:u w:val="none"/>
                      <w:lang w:val="en-US" w:eastAsia="zh-CN"/>
                    </w:rPr>
                    <w:t>58</w:t>
                  </w:r>
                </w:p>
              </w:tc>
              <w:tc>
                <w:tcPr>
                  <w:tcW w:w="390"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cs="Times New Roman"/>
                      <w:color w:val="auto"/>
                      <w:highlight w:val="none"/>
                      <w:u w:val="none"/>
                      <w:lang w:val="en-US" w:eastAsia="zh-CN"/>
                    </w:rPr>
                  </w:pPr>
                  <w:r>
                    <w:rPr>
                      <w:rFonts w:hint="eastAsia" w:cs="Times New Roman"/>
                      <w:color w:val="auto"/>
                      <w:highlight w:val="none"/>
                      <w:u w:val="none"/>
                      <w:lang w:val="en-US" w:eastAsia="zh-CN"/>
                    </w:rPr>
                    <w:t>56</w:t>
                  </w:r>
                </w:p>
              </w:tc>
              <w:tc>
                <w:tcPr>
                  <w:tcW w:w="390"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cs="Times New Roman"/>
                      <w:color w:val="auto"/>
                      <w:highlight w:val="none"/>
                      <w:u w:val="none"/>
                      <w:lang w:val="en-US" w:eastAsia="zh-CN"/>
                    </w:rPr>
                  </w:pPr>
                  <w:r>
                    <w:rPr>
                      <w:rFonts w:hint="eastAsia" w:cs="Times New Roman"/>
                      <w:color w:val="auto"/>
                      <w:highlight w:val="none"/>
                      <w:u w:val="none"/>
                      <w:lang w:val="en-US" w:eastAsia="zh-CN"/>
                    </w:rPr>
                    <w:t>52</w:t>
                  </w:r>
                </w:p>
              </w:tc>
              <w:tc>
                <w:tcPr>
                  <w:tcW w:w="423"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cs="Times New Roman"/>
                      <w:color w:val="auto"/>
                      <w:highlight w:val="none"/>
                      <w:u w:val="none"/>
                      <w:lang w:val="en-US" w:eastAsia="zh-CN"/>
                    </w:rPr>
                  </w:pPr>
                  <w:r>
                    <w:rPr>
                      <w:rFonts w:hint="eastAsia" w:cs="Times New Roman"/>
                      <w:color w:val="auto"/>
                      <w:highlight w:val="none"/>
                      <w:u w:val="none"/>
                      <w:lang w:val="en-US" w:eastAsia="zh-CN"/>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000" w:type="pct"/>
                  <w:gridSpan w:val="12"/>
                  <w:vAlign w:val="center"/>
                </w:tcPr>
                <w:p>
                  <w:pPr>
                    <w:pStyle w:val="15"/>
                    <w:bidi w:val="0"/>
                    <w:ind w:firstLine="0" w:firstLineChars="0"/>
                    <w:rPr>
                      <w:rFonts w:hint="default" w:ascii="Times New Roman" w:hAnsi="Times New Roman" w:eastAsia="宋体" w:cstheme="minorBidi"/>
                      <w:color w:val="auto"/>
                      <w:kern w:val="2"/>
                      <w:sz w:val="21"/>
                      <w:szCs w:val="21"/>
                      <w:highlight w:val="none"/>
                      <w:lang w:val="en-US" w:eastAsia="zh-CN" w:bidi="ar-SA"/>
                    </w:rPr>
                  </w:pPr>
                  <w:r>
                    <w:rPr>
                      <w:rFonts w:hint="eastAsia"/>
                      <w:color w:val="auto"/>
                      <w:highlight w:val="none"/>
                      <w:u w:val="none"/>
                      <w:lang w:val="en-US" w:eastAsia="zh-CN" w:bidi="ar-SA"/>
                    </w:rPr>
                    <w:t>注：声屏障、空气吸收等引起的衰减量取10dB（A）</w:t>
                  </w:r>
                </w:p>
              </w:tc>
            </w:tr>
          </w:tbl>
          <w:p>
            <w:pPr>
              <w:pStyle w:val="16"/>
              <w:shd w:val="clear"/>
              <w:bidi w:val="0"/>
              <w:rPr>
                <w:rFonts w:hint="default" w:ascii="Times New Roman" w:hAnsi="Times New Roman" w:cs="宋体"/>
                <w:color w:val="auto"/>
                <w:highlight w:val="none"/>
                <w:u w:val="none"/>
                <w:lang w:val="en-US" w:eastAsia="zh-CN"/>
              </w:rPr>
            </w:pPr>
            <w:r>
              <w:rPr>
                <w:rFonts w:hint="eastAsia" w:ascii="Times New Roman" w:hAnsi="Times New Roman" w:cs="宋体"/>
                <w:color w:val="auto"/>
                <w:highlight w:val="none"/>
                <w:u w:val="none"/>
                <w:lang w:val="en-US" w:eastAsia="zh-CN"/>
              </w:rPr>
              <w:t>表</w:t>
            </w:r>
            <w:r>
              <w:rPr>
                <w:rFonts w:hint="eastAsia" w:cs="宋体"/>
                <w:color w:val="auto"/>
                <w:highlight w:val="none"/>
                <w:u w:val="none"/>
                <w:lang w:val="en-US" w:eastAsia="zh-CN"/>
              </w:rPr>
              <w:t>4-5</w:t>
            </w:r>
            <w:r>
              <w:rPr>
                <w:rFonts w:hint="eastAsia" w:ascii="Times New Roman" w:hAnsi="Times New Roman" w:cs="宋体"/>
                <w:color w:val="auto"/>
                <w:highlight w:val="none"/>
                <w:u w:val="none"/>
                <w:lang w:val="en-US" w:eastAsia="zh-CN"/>
              </w:rPr>
              <w:t xml:space="preserve">  项目施工噪声源对环境敏感目标的影响     单位：dB（A）</w:t>
            </w:r>
          </w:p>
          <w:tbl>
            <w:tblPr>
              <w:tblStyle w:val="11"/>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189"/>
              <w:gridCol w:w="1256"/>
              <w:gridCol w:w="837"/>
              <w:gridCol w:w="838"/>
              <w:gridCol w:w="838"/>
              <w:gridCol w:w="838"/>
              <w:gridCol w:w="838"/>
              <w:gridCol w:w="86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89" w:type="pct"/>
                  <w:tcBorders>
                    <w:tl2br w:val="nil"/>
                    <w:tr2bl w:val="nil"/>
                  </w:tcBorders>
                  <w:vAlign w:val="center"/>
                </w:tcPr>
                <w:p>
                  <w:pPr>
                    <w:pStyle w:val="15"/>
                    <w:bidi w:val="0"/>
                    <w:jc w:val="center"/>
                    <w:rPr>
                      <w:rFonts w:hint="default" w:ascii="Times New Roman" w:hAnsi="Times New Roman" w:eastAsia="宋体" w:cs="宋体"/>
                      <w:b/>
                      <w:bCs/>
                      <w:color w:val="auto"/>
                      <w:sz w:val="21"/>
                      <w:szCs w:val="21"/>
                      <w:highlight w:val="none"/>
                      <w:u w:val="none"/>
                      <w:lang w:val="en-US" w:eastAsia="zh-CN" w:bidi="ar-SA"/>
                    </w:rPr>
                  </w:pPr>
                  <w:r>
                    <w:rPr>
                      <w:rFonts w:hint="eastAsia" w:ascii="Times New Roman" w:hAnsi="Times New Roman" w:eastAsia="宋体" w:cs="宋体"/>
                      <w:b/>
                      <w:bCs/>
                      <w:color w:val="auto"/>
                      <w:sz w:val="21"/>
                      <w:szCs w:val="21"/>
                      <w:highlight w:val="none"/>
                      <w:u w:val="none"/>
                      <w:lang w:val="en-US" w:eastAsia="zh-CN" w:bidi="ar-SA"/>
                    </w:rPr>
                    <w:t>敏感目标</w:t>
                  </w:r>
                </w:p>
              </w:tc>
              <w:tc>
                <w:tcPr>
                  <w:tcW w:w="740" w:type="pct"/>
                  <w:tcBorders>
                    <w:tl2br w:val="nil"/>
                    <w:tr2bl w:val="nil"/>
                  </w:tcBorders>
                  <w:vAlign w:val="center"/>
                </w:tcPr>
                <w:p>
                  <w:pPr>
                    <w:pStyle w:val="15"/>
                    <w:bidi w:val="0"/>
                    <w:jc w:val="center"/>
                    <w:rPr>
                      <w:rFonts w:hint="default" w:ascii="Times New Roman" w:hAnsi="Times New Roman" w:eastAsia="宋体" w:cs="宋体"/>
                      <w:b/>
                      <w:bCs/>
                      <w:color w:val="auto"/>
                      <w:sz w:val="21"/>
                      <w:szCs w:val="21"/>
                      <w:highlight w:val="none"/>
                      <w:u w:val="none"/>
                      <w:lang w:val="en-US" w:eastAsia="zh-CN" w:bidi="ar-SA"/>
                    </w:rPr>
                  </w:pPr>
                  <w:r>
                    <w:rPr>
                      <w:rFonts w:hint="eastAsia" w:ascii="Times New Roman" w:hAnsi="Times New Roman" w:eastAsia="宋体" w:cs="宋体"/>
                      <w:b/>
                      <w:bCs/>
                      <w:color w:val="auto"/>
                      <w:sz w:val="21"/>
                      <w:szCs w:val="21"/>
                      <w:highlight w:val="none"/>
                      <w:u w:val="none"/>
                      <w:lang w:val="en-US" w:eastAsia="zh-CN" w:bidi="ar-SA"/>
                    </w:rPr>
                    <w:t>与道路红线最近距离/m</w:t>
                  </w:r>
                </w:p>
              </w:tc>
              <w:tc>
                <w:tcPr>
                  <w:tcW w:w="493" w:type="pct"/>
                  <w:tcBorders>
                    <w:tl2br w:val="nil"/>
                    <w:tr2bl w:val="nil"/>
                  </w:tcBorders>
                  <w:vAlign w:val="center"/>
                </w:tcPr>
                <w:p>
                  <w:pPr>
                    <w:pStyle w:val="15"/>
                    <w:bidi w:val="0"/>
                    <w:jc w:val="center"/>
                    <w:rPr>
                      <w:rFonts w:hint="default" w:ascii="Times New Roman" w:hAnsi="Times New Roman" w:eastAsia="宋体" w:cs="宋体"/>
                      <w:b/>
                      <w:bCs/>
                      <w:color w:val="auto"/>
                      <w:sz w:val="21"/>
                      <w:szCs w:val="21"/>
                      <w:highlight w:val="none"/>
                      <w:u w:val="none"/>
                      <w:lang w:val="en-US" w:eastAsia="zh-CN" w:bidi="ar-SA"/>
                    </w:rPr>
                  </w:pPr>
                  <w:r>
                    <w:rPr>
                      <w:rFonts w:hint="eastAsia" w:ascii="Times New Roman" w:hAnsi="Times New Roman" w:eastAsia="宋体" w:cs="宋体"/>
                      <w:b/>
                      <w:bCs/>
                      <w:color w:val="auto"/>
                      <w:sz w:val="21"/>
                      <w:szCs w:val="21"/>
                      <w:highlight w:val="none"/>
                      <w:u w:val="none"/>
                      <w:lang w:val="en-US" w:eastAsia="zh-CN" w:bidi="ar-SA"/>
                    </w:rPr>
                    <w:t>源强</w:t>
                  </w:r>
                </w:p>
              </w:tc>
              <w:tc>
                <w:tcPr>
                  <w:tcW w:w="493" w:type="pct"/>
                  <w:tcBorders>
                    <w:tl2br w:val="nil"/>
                    <w:tr2bl w:val="nil"/>
                  </w:tcBorders>
                  <w:vAlign w:val="center"/>
                </w:tcPr>
                <w:p>
                  <w:pPr>
                    <w:pStyle w:val="15"/>
                    <w:bidi w:val="0"/>
                    <w:jc w:val="center"/>
                    <w:rPr>
                      <w:rFonts w:hint="default" w:ascii="Times New Roman" w:hAnsi="Times New Roman" w:eastAsia="宋体" w:cs="宋体"/>
                      <w:b/>
                      <w:bCs/>
                      <w:color w:val="auto"/>
                      <w:sz w:val="21"/>
                      <w:szCs w:val="21"/>
                      <w:highlight w:val="none"/>
                      <w:u w:val="none"/>
                      <w:lang w:val="en-US" w:eastAsia="zh-CN" w:bidi="ar-SA"/>
                    </w:rPr>
                  </w:pPr>
                  <w:r>
                    <w:rPr>
                      <w:rFonts w:hint="eastAsia" w:ascii="Times New Roman" w:hAnsi="Times New Roman" w:eastAsia="宋体" w:cs="宋体"/>
                      <w:b/>
                      <w:bCs/>
                      <w:color w:val="auto"/>
                      <w:sz w:val="21"/>
                      <w:szCs w:val="21"/>
                      <w:highlight w:val="none"/>
                      <w:u w:val="none"/>
                      <w:lang w:val="en-US" w:eastAsia="zh-CN" w:bidi="ar-SA"/>
                    </w:rPr>
                    <w:t>贡献值</w:t>
                  </w:r>
                </w:p>
              </w:tc>
              <w:tc>
                <w:tcPr>
                  <w:tcW w:w="493" w:type="pct"/>
                  <w:tcBorders>
                    <w:tl2br w:val="nil"/>
                    <w:tr2bl w:val="nil"/>
                  </w:tcBorders>
                  <w:shd w:val="clear" w:color="auto" w:fill="auto"/>
                  <w:vAlign w:val="center"/>
                </w:tcPr>
                <w:p>
                  <w:pPr>
                    <w:pStyle w:val="15"/>
                    <w:bidi w:val="0"/>
                    <w:jc w:val="center"/>
                    <w:rPr>
                      <w:rFonts w:hint="default" w:ascii="Times New Roman" w:hAnsi="Times New Roman" w:eastAsia="宋体" w:cs="宋体"/>
                      <w:b/>
                      <w:bCs/>
                      <w:color w:val="auto"/>
                      <w:sz w:val="21"/>
                      <w:szCs w:val="21"/>
                      <w:highlight w:val="none"/>
                      <w:u w:val="none"/>
                      <w:lang w:val="en-US" w:eastAsia="zh-CN" w:bidi="ar-SA"/>
                    </w:rPr>
                  </w:pPr>
                  <w:r>
                    <w:rPr>
                      <w:rFonts w:hint="eastAsia" w:ascii="Times New Roman" w:hAnsi="Times New Roman" w:eastAsia="宋体" w:cs="宋体"/>
                      <w:b/>
                      <w:bCs/>
                      <w:color w:val="auto"/>
                      <w:sz w:val="21"/>
                      <w:szCs w:val="21"/>
                      <w:highlight w:val="none"/>
                      <w:u w:val="none"/>
                      <w:lang w:val="en-US" w:eastAsia="zh-CN" w:bidi="ar-SA"/>
                    </w:rPr>
                    <w:t>背景值</w:t>
                  </w:r>
                </w:p>
              </w:tc>
              <w:tc>
                <w:tcPr>
                  <w:tcW w:w="493" w:type="pct"/>
                  <w:tcBorders>
                    <w:tl2br w:val="nil"/>
                    <w:tr2bl w:val="nil"/>
                  </w:tcBorders>
                  <w:shd w:val="clear" w:color="auto" w:fill="auto"/>
                  <w:vAlign w:val="center"/>
                </w:tcPr>
                <w:p>
                  <w:pPr>
                    <w:pStyle w:val="15"/>
                    <w:bidi w:val="0"/>
                    <w:jc w:val="center"/>
                    <w:rPr>
                      <w:rFonts w:hint="default" w:ascii="Times New Roman" w:hAnsi="Times New Roman" w:eastAsia="宋体" w:cs="宋体"/>
                      <w:b/>
                      <w:bCs/>
                      <w:color w:val="auto"/>
                      <w:sz w:val="21"/>
                      <w:szCs w:val="21"/>
                      <w:highlight w:val="none"/>
                      <w:u w:val="none"/>
                      <w:lang w:val="en-US" w:eastAsia="zh-CN" w:bidi="ar-SA"/>
                    </w:rPr>
                  </w:pPr>
                  <w:r>
                    <w:rPr>
                      <w:rFonts w:hint="eastAsia" w:ascii="Times New Roman" w:hAnsi="Times New Roman" w:eastAsia="宋体" w:cs="宋体"/>
                      <w:b/>
                      <w:bCs/>
                      <w:color w:val="auto"/>
                      <w:sz w:val="21"/>
                      <w:szCs w:val="21"/>
                      <w:highlight w:val="none"/>
                      <w:u w:val="none"/>
                      <w:lang w:val="en-US" w:eastAsia="zh-CN" w:bidi="ar-SA"/>
                    </w:rPr>
                    <w:t>预测值</w:t>
                  </w:r>
                </w:p>
              </w:tc>
              <w:tc>
                <w:tcPr>
                  <w:tcW w:w="493" w:type="pct"/>
                  <w:tcBorders>
                    <w:tl2br w:val="nil"/>
                    <w:tr2bl w:val="nil"/>
                  </w:tcBorders>
                  <w:vAlign w:val="center"/>
                </w:tcPr>
                <w:p>
                  <w:pPr>
                    <w:pStyle w:val="15"/>
                    <w:bidi w:val="0"/>
                    <w:jc w:val="center"/>
                    <w:rPr>
                      <w:rFonts w:hint="default" w:ascii="Times New Roman" w:hAnsi="Times New Roman" w:eastAsia="宋体" w:cs="宋体"/>
                      <w:b/>
                      <w:bCs/>
                      <w:color w:val="auto"/>
                      <w:sz w:val="21"/>
                      <w:szCs w:val="21"/>
                      <w:highlight w:val="none"/>
                      <w:u w:val="none"/>
                      <w:lang w:val="en-US" w:eastAsia="zh-CN" w:bidi="ar-SA"/>
                    </w:rPr>
                  </w:pPr>
                  <w:r>
                    <w:rPr>
                      <w:rFonts w:hint="eastAsia" w:ascii="Times New Roman" w:hAnsi="Times New Roman" w:eastAsia="宋体" w:cs="宋体"/>
                      <w:b/>
                      <w:bCs/>
                      <w:color w:val="auto"/>
                      <w:sz w:val="21"/>
                      <w:szCs w:val="21"/>
                      <w:highlight w:val="none"/>
                      <w:u w:val="none"/>
                      <w:lang w:val="en-US" w:eastAsia="zh-CN" w:bidi="ar-SA"/>
                    </w:rPr>
                    <w:t>标准限值</w:t>
                  </w:r>
                </w:p>
              </w:tc>
              <w:tc>
                <w:tcPr>
                  <w:tcW w:w="503" w:type="pct"/>
                  <w:tcBorders>
                    <w:tl2br w:val="nil"/>
                    <w:tr2bl w:val="nil"/>
                  </w:tcBorders>
                  <w:vAlign w:val="center"/>
                </w:tcPr>
                <w:p>
                  <w:pPr>
                    <w:pStyle w:val="15"/>
                    <w:bidi w:val="0"/>
                    <w:jc w:val="center"/>
                    <w:rPr>
                      <w:rFonts w:hint="default" w:ascii="Times New Roman" w:hAnsi="Times New Roman" w:eastAsia="宋体" w:cs="宋体"/>
                      <w:b/>
                      <w:bCs/>
                      <w:color w:val="auto"/>
                      <w:sz w:val="21"/>
                      <w:szCs w:val="21"/>
                      <w:highlight w:val="none"/>
                      <w:u w:val="none"/>
                      <w:lang w:val="en-US" w:eastAsia="zh-CN" w:bidi="ar-SA"/>
                    </w:rPr>
                  </w:pPr>
                  <w:r>
                    <w:rPr>
                      <w:rFonts w:hint="eastAsia" w:ascii="Times New Roman" w:hAnsi="Times New Roman" w:eastAsia="宋体" w:cs="宋体"/>
                      <w:b/>
                      <w:bCs/>
                      <w:color w:val="auto"/>
                      <w:sz w:val="21"/>
                      <w:szCs w:val="21"/>
                      <w:highlight w:val="none"/>
                      <w:u w:val="none"/>
                      <w:lang w:val="en-US" w:eastAsia="zh-CN" w:bidi="ar-SA"/>
                    </w:rP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89" w:type="pct"/>
                  <w:tcBorders>
                    <w:tl2br w:val="nil"/>
                    <w:tr2bl w:val="nil"/>
                  </w:tcBorders>
                  <w:vAlign w:val="center"/>
                </w:tcPr>
                <w:p>
                  <w:pPr>
                    <w:pStyle w:val="15"/>
                    <w:bidi w:val="0"/>
                    <w:ind w:firstLine="0" w:firstLineChars="0"/>
                    <w:jc w:val="center"/>
                    <w:rPr>
                      <w:rFonts w:hint="default" w:ascii="Times New Roman" w:hAnsi="Times New Roman" w:cs="Times New Roman"/>
                      <w:color w:val="auto"/>
                      <w:highlight w:val="none"/>
                      <w:u w:val="none"/>
                      <w:lang w:val="en-US" w:eastAsia="zh-CN"/>
                    </w:rPr>
                  </w:pPr>
                  <w:r>
                    <w:rPr>
                      <w:rFonts w:hint="eastAsia" w:cs="Times New Roman"/>
                      <w:color w:val="auto"/>
                      <w:highlight w:val="none"/>
                      <w:lang w:val="en-US" w:eastAsia="zh-CN"/>
                    </w:rPr>
                    <w:t>黄家湾桥右岸散户</w:t>
                  </w:r>
                </w:p>
              </w:tc>
              <w:tc>
                <w:tcPr>
                  <w:tcW w:w="740" w:type="pct"/>
                  <w:tcBorders>
                    <w:tl2br w:val="nil"/>
                    <w:tr2bl w:val="nil"/>
                  </w:tcBorders>
                  <w:vAlign w:val="center"/>
                </w:tcPr>
                <w:p>
                  <w:pPr>
                    <w:pStyle w:val="15"/>
                    <w:bidi w:val="0"/>
                    <w:ind w:firstLine="0" w:firstLineChars="0"/>
                    <w:rPr>
                      <w:rFonts w:hint="default" w:ascii="Times New Roman" w:hAnsi="Times New Roman" w:eastAsia="宋体" w:cs="宋体"/>
                      <w:color w:val="auto"/>
                      <w:sz w:val="21"/>
                      <w:szCs w:val="21"/>
                      <w:highlight w:val="none"/>
                      <w:u w:val="none"/>
                      <w:lang w:val="en-US" w:eastAsia="zh-CN" w:bidi="ar-SA"/>
                    </w:rPr>
                  </w:pPr>
                  <w:r>
                    <w:rPr>
                      <w:rFonts w:hint="eastAsia" w:cs="Times New Roman"/>
                      <w:color w:val="auto"/>
                      <w:highlight w:val="none"/>
                      <w:lang w:val="en-US" w:eastAsia="zh-CN"/>
                    </w:rPr>
                    <w:t>26</w:t>
                  </w:r>
                </w:p>
              </w:tc>
              <w:tc>
                <w:tcPr>
                  <w:tcW w:w="838" w:type="dxa"/>
                  <w:tcBorders>
                    <w:tl2br w:val="nil"/>
                    <w:tr2bl w:val="nil"/>
                  </w:tcBorders>
                  <w:vAlign w:val="center"/>
                </w:tcPr>
                <w:p>
                  <w:pPr>
                    <w:pStyle w:val="15"/>
                    <w:bidi w:val="0"/>
                    <w:ind w:firstLine="0" w:firstLineChars="0"/>
                    <w:rPr>
                      <w:rFonts w:hint="default" w:ascii="Times New Roman" w:hAnsi="Times New Roman" w:eastAsia="宋体" w:cs="宋体"/>
                      <w:color w:val="auto"/>
                      <w:sz w:val="21"/>
                      <w:szCs w:val="21"/>
                      <w:highlight w:val="none"/>
                      <w:u w:val="none"/>
                      <w:lang w:val="en-US" w:eastAsia="zh-CN" w:bidi="ar-SA"/>
                    </w:rPr>
                  </w:pPr>
                  <w:r>
                    <w:rPr>
                      <w:rFonts w:hint="eastAsia" w:ascii="Times New Roman" w:hAnsi="Times New Roman" w:cs="Times New Roman"/>
                      <w:color w:val="auto"/>
                      <w:kern w:val="2"/>
                      <w:sz w:val="21"/>
                      <w:szCs w:val="21"/>
                      <w:highlight w:val="none"/>
                      <w:lang w:val="en-US" w:eastAsia="zh-CN" w:bidi="ar-SA"/>
                    </w:rPr>
                    <w:t>86</w:t>
                  </w:r>
                </w:p>
              </w:tc>
              <w:tc>
                <w:tcPr>
                  <w:tcW w:w="493" w:type="pct"/>
                  <w:tcBorders>
                    <w:tl2br w:val="nil"/>
                    <w:tr2bl w:val="nil"/>
                  </w:tcBorders>
                  <w:vAlign w:val="center"/>
                </w:tcPr>
                <w:p>
                  <w:pPr>
                    <w:pStyle w:val="15"/>
                    <w:bidi w:val="0"/>
                    <w:jc w:val="center"/>
                    <w:rPr>
                      <w:rFonts w:hint="default" w:ascii="Times New Roman" w:hAnsi="Times New Roman" w:eastAsia="宋体" w:cs="宋体"/>
                      <w:color w:val="auto"/>
                      <w:sz w:val="21"/>
                      <w:szCs w:val="21"/>
                      <w:highlight w:val="none"/>
                      <w:u w:val="none"/>
                      <w:lang w:val="en-US" w:eastAsia="zh-CN" w:bidi="ar-SA"/>
                    </w:rPr>
                  </w:pPr>
                  <w:r>
                    <w:rPr>
                      <w:rFonts w:hint="eastAsia" w:cs="宋体"/>
                      <w:color w:val="auto"/>
                      <w:sz w:val="21"/>
                      <w:szCs w:val="21"/>
                      <w:highlight w:val="none"/>
                      <w:u w:val="none"/>
                      <w:lang w:val="en-US" w:eastAsia="zh-CN" w:bidi="ar-SA"/>
                    </w:rPr>
                    <w:t>58</w:t>
                  </w:r>
                </w:p>
              </w:tc>
              <w:tc>
                <w:tcPr>
                  <w:tcW w:w="493" w:type="pct"/>
                  <w:tcBorders>
                    <w:tl2br w:val="nil"/>
                    <w:tr2bl w:val="nil"/>
                  </w:tcBorders>
                  <w:shd w:val="clear" w:color="auto" w:fill="auto"/>
                  <w:vAlign w:val="center"/>
                </w:tcPr>
                <w:p>
                  <w:pPr>
                    <w:pStyle w:val="15"/>
                    <w:bidi w:val="0"/>
                    <w:jc w:val="center"/>
                    <w:rPr>
                      <w:rFonts w:hint="default" w:ascii="Times New Roman" w:hAnsi="Times New Roman" w:eastAsia="宋体" w:cs="宋体"/>
                      <w:color w:val="auto"/>
                      <w:sz w:val="21"/>
                      <w:szCs w:val="21"/>
                      <w:highlight w:val="none"/>
                      <w:u w:val="none"/>
                      <w:lang w:val="en-US" w:eastAsia="zh-CN" w:bidi="ar-SA"/>
                    </w:rPr>
                  </w:pPr>
                  <w:r>
                    <w:rPr>
                      <w:rFonts w:hint="eastAsia" w:cs="宋体"/>
                      <w:color w:val="auto"/>
                      <w:sz w:val="21"/>
                      <w:szCs w:val="21"/>
                      <w:highlight w:val="none"/>
                      <w:u w:val="none"/>
                      <w:lang w:val="en-US" w:eastAsia="zh-CN" w:bidi="ar-SA"/>
                    </w:rPr>
                    <w:t>52</w:t>
                  </w:r>
                </w:p>
              </w:tc>
              <w:tc>
                <w:tcPr>
                  <w:tcW w:w="493" w:type="pct"/>
                  <w:tcBorders>
                    <w:tl2br w:val="nil"/>
                    <w:tr2bl w:val="nil"/>
                  </w:tcBorders>
                  <w:shd w:val="clear" w:color="auto" w:fill="auto"/>
                  <w:vAlign w:val="center"/>
                </w:tcPr>
                <w:p>
                  <w:pPr>
                    <w:pStyle w:val="15"/>
                    <w:bidi w:val="0"/>
                    <w:jc w:val="center"/>
                    <w:rPr>
                      <w:rFonts w:hint="default" w:ascii="Times New Roman" w:hAnsi="Times New Roman" w:eastAsia="宋体" w:cs="宋体"/>
                      <w:color w:val="auto"/>
                      <w:sz w:val="21"/>
                      <w:szCs w:val="21"/>
                      <w:highlight w:val="none"/>
                      <w:u w:val="none"/>
                      <w:lang w:val="en-US" w:eastAsia="zh-CN" w:bidi="ar-SA"/>
                    </w:rPr>
                  </w:pPr>
                  <w:r>
                    <w:rPr>
                      <w:rFonts w:hint="eastAsia" w:cs="宋体"/>
                      <w:color w:val="auto"/>
                      <w:sz w:val="21"/>
                      <w:szCs w:val="21"/>
                      <w:highlight w:val="none"/>
                      <w:u w:val="none"/>
                      <w:lang w:val="en-US" w:eastAsia="zh-CN" w:bidi="ar-SA"/>
                    </w:rPr>
                    <w:t>59</w:t>
                  </w:r>
                </w:p>
              </w:tc>
              <w:tc>
                <w:tcPr>
                  <w:tcW w:w="493" w:type="pct"/>
                  <w:tcBorders>
                    <w:tl2br w:val="nil"/>
                    <w:tr2bl w:val="nil"/>
                  </w:tcBorders>
                  <w:vAlign w:val="center"/>
                </w:tcPr>
                <w:p>
                  <w:pPr>
                    <w:pStyle w:val="15"/>
                    <w:bidi w:val="0"/>
                    <w:jc w:val="center"/>
                    <w:rPr>
                      <w:rFonts w:hint="default" w:ascii="Times New Roman" w:hAnsi="Times New Roman" w:eastAsia="宋体" w:cs="宋体"/>
                      <w:color w:val="auto"/>
                      <w:sz w:val="21"/>
                      <w:szCs w:val="21"/>
                      <w:highlight w:val="none"/>
                      <w:u w:val="none"/>
                      <w:lang w:val="en-US" w:eastAsia="zh-CN" w:bidi="ar-SA"/>
                    </w:rPr>
                  </w:pPr>
                  <w:r>
                    <w:rPr>
                      <w:rFonts w:hint="eastAsia" w:ascii="Times New Roman" w:hAnsi="Times New Roman" w:eastAsia="宋体" w:cs="宋体"/>
                      <w:color w:val="auto"/>
                      <w:sz w:val="21"/>
                      <w:szCs w:val="21"/>
                      <w:highlight w:val="none"/>
                      <w:u w:val="none"/>
                      <w:lang w:val="en-US" w:eastAsia="zh-CN" w:bidi="ar-SA"/>
                    </w:rPr>
                    <w:t>70</w:t>
                  </w:r>
                </w:p>
              </w:tc>
              <w:tc>
                <w:tcPr>
                  <w:tcW w:w="503" w:type="pct"/>
                  <w:tcBorders>
                    <w:tl2br w:val="nil"/>
                    <w:tr2bl w:val="nil"/>
                  </w:tcBorders>
                  <w:vAlign w:val="center"/>
                </w:tcPr>
                <w:p>
                  <w:pPr>
                    <w:pStyle w:val="15"/>
                    <w:bidi w:val="0"/>
                    <w:jc w:val="center"/>
                    <w:rPr>
                      <w:rFonts w:hint="default" w:ascii="Times New Roman" w:hAnsi="Times New Roman" w:eastAsia="宋体" w:cs="宋体"/>
                      <w:color w:val="auto"/>
                      <w:sz w:val="21"/>
                      <w:szCs w:val="21"/>
                      <w:highlight w:val="none"/>
                      <w:u w:val="none"/>
                      <w:lang w:val="en-US" w:eastAsia="zh-CN" w:bidi="ar-SA"/>
                    </w:rPr>
                  </w:pPr>
                  <w:r>
                    <w:rPr>
                      <w:rFonts w:hint="eastAsia" w:ascii="Times New Roman" w:hAnsi="Times New Roman" w:eastAsia="宋体" w:cs="宋体"/>
                      <w:color w:val="auto"/>
                      <w:sz w:val="21"/>
                      <w:szCs w:val="21"/>
                      <w:highlight w:val="none"/>
                      <w:u w:val="none"/>
                      <w:lang w:val="en-US" w:eastAsia="zh-CN" w:bidi="ar-SA"/>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89" w:type="pct"/>
                  <w:tcBorders>
                    <w:tl2br w:val="nil"/>
                    <w:tr2bl w:val="nil"/>
                  </w:tcBorders>
                  <w:vAlign w:val="center"/>
                </w:tcPr>
                <w:p>
                  <w:pPr>
                    <w:pStyle w:val="15"/>
                    <w:bidi w:val="0"/>
                    <w:ind w:firstLine="0" w:firstLineChars="0"/>
                    <w:jc w:val="center"/>
                    <w:rPr>
                      <w:rFonts w:hint="default" w:ascii="Times New Roman" w:hAnsi="Times New Roman" w:eastAsia="宋体" w:cs="宋体"/>
                      <w:color w:val="auto"/>
                      <w:sz w:val="21"/>
                      <w:szCs w:val="21"/>
                      <w:highlight w:val="none"/>
                      <w:u w:val="none"/>
                      <w:lang w:val="en-US" w:eastAsia="zh-CN" w:bidi="ar-SA"/>
                    </w:rPr>
                  </w:pPr>
                  <w:r>
                    <w:rPr>
                      <w:rFonts w:hint="eastAsia" w:cs="Times New Roman"/>
                      <w:color w:val="auto"/>
                      <w:highlight w:val="none"/>
                      <w:lang w:val="en-US" w:eastAsia="zh-CN"/>
                    </w:rPr>
                    <w:t>黄家湾居民</w:t>
                  </w:r>
                </w:p>
              </w:tc>
              <w:tc>
                <w:tcPr>
                  <w:tcW w:w="740" w:type="pct"/>
                  <w:tcBorders>
                    <w:tl2br w:val="nil"/>
                    <w:tr2bl w:val="nil"/>
                  </w:tcBorders>
                  <w:vAlign w:val="center"/>
                </w:tcPr>
                <w:p>
                  <w:pPr>
                    <w:pStyle w:val="15"/>
                    <w:bidi w:val="0"/>
                    <w:ind w:firstLine="0" w:firstLineChars="0"/>
                    <w:rPr>
                      <w:rFonts w:hint="default" w:ascii="Times New Roman" w:hAnsi="Times New Roman" w:eastAsia="宋体" w:cs="宋体"/>
                      <w:color w:val="auto"/>
                      <w:kern w:val="2"/>
                      <w:sz w:val="21"/>
                      <w:szCs w:val="21"/>
                      <w:highlight w:val="none"/>
                      <w:u w:val="none"/>
                      <w:lang w:val="en-US" w:eastAsia="zh-CN" w:bidi="ar-SA"/>
                    </w:rPr>
                  </w:pPr>
                  <w:r>
                    <w:rPr>
                      <w:rFonts w:hint="eastAsia" w:cs="Times New Roman"/>
                      <w:b w:val="0"/>
                      <w:bCs w:val="0"/>
                      <w:color w:val="auto"/>
                      <w:highlight w:val="none"/>
                      <w:lang w:val="en-US" w:eastAsia="zh-CN"/>
                    </w:rPr>
                    <w:t>15</w:t>
                  </w:r>
                </w:p>
              </w:tc>
              <w:tc>
                <w:tcPr>
                  <w:tcW w:w="838" w:type="dxa"/>
                  <w:tcBorders>
                    <w:tl2br w:val="nil"/>
                    <w:tr2bl w:val="nil"/>
                  </w:tcBorders>
                  <w:vAlign w:val="center"/>
                </w:tcPr>
                <w:p>
                  <w:pPr>
                    <w:pStyle w:val="15"/>
                    <w:bidi w:val="0"/>
                    <w:ind w:firstLine="0" w:firstLineChars="0"/>
                    <w:rPr>
                      <w:rFonts w:hint="default" w:ascii="Times New Roman" w:hAnsi="Times New Roman" w:eastAsia="宋体" w:cs="宋体"/>
                      <w:color w:val="auto"/>
                      <w:sz w:val="21"/>
                      <w:szCs w:val="21"/>
                      <w:highlight w:val="none"/>
                      <w:u w:val="none"/>
                      <w:lang w:val="en-US" w:eastAsia="zh-CN" w:bidi="ar-SA"/>
                    </w:rPr>
                  </w:pPr>
                  <w:r>
                    <w:rPr>
                      <w:rFonts w:hint="eastAsia"/>
                      <w:color w:val="auto"/>
                      <w:highlight w:val="none"/>
                      <w:lang w:val="en-US" w:eastAsia="zh-CN"/>
                    </w:rPr>
                    <w:t>86</w:t>
                  </w:r>
                </w:p>
              </w:tc>
              <w:tc>
                <w:tcPr>
                  <w:tcW w:w="493" w:type="pct"/>
                  <w:tcBorders>
                    <w:tl2br w:val="nil"/>
                    <w:tr2bl w:val="nil"/>
                  </w:tcBorders>
                  <w:vAlign w:val="center"/>
                </w:tcPr>
                <w:p>
                  <w:pPr>
                    <w:pStyle w:val="15"/>
                    <w:bidi w:val="0"/>
                    <w:jc w:val="center"/>
                    <w:rPr>
                      <w:rFonts w:hint="default" w:ascii="Times New Roman" w:hAnsi="Times New Roman" w:eastAsia="宋体" w:cs="宋体"/>
                      <w:color w:val="auto"/>
                      <w:sz w:val="21"/>
                      <w:szCs w:val="21"/>
                      <w:highlight w:val="none"/>
                      <w:u w:val="none"/>
                      <w:lang w:val="en-US" w:eastAsia="zh-CN" w:bidi="ar-SA"/>
                    </w:rPr>
                  </w:pPr>
                  <w:r>
                    <w:rPr>
                      <w:rFonts w:hint="eastAsia" w:cs="宋体"/>
                      <w:color w:val="auto"/>
                      <w:sz w:val="21"/>
                      <w:szCs w:val="21"/>
                      <w:highlight w:val="none"/>
                      <w:u w:val="none"/>
                      <w:lang w:val="en-US" w:eastAsia="zh-CN" w:bidi="ar-SA"/>
                    </w:rPr>
                    <w:t>62</w:t>
                  </w:r>
                </w:p>
              </w:tc>
              <w:tc>
                <w:tcPr>
                  <w:tcW w:w="493" w:type="pct"/>
                  <w:tcBorders>
                    <w:tl2br w:val="nil"/>
                    <w:tr2bl w:val="nil"/>
                  </w:tcBorders>
                  <w:shd w:val="clear" w:color="auto" w:fill="auto"/>
                  <w:vAlign w:val="center"/>
                </w:tcPr>
                <w:p>
                  <w:pPr>
                    <w:pStyle w:val="15"/>
                    <w:bidi w:val="0"/>
                    <w:jc w:val="center"/>
                    <w:rPr>
                      <w:rFonts w:hint="default" w:ascii="Times New Roman" w:hAnsi="Times New Roman" w:eastAsia="宋体" w:cs="宋体"/>
                      <w:color w:val="auto"/>
                      <w:sz w:val="21"/>
                      <w:szCs w:val="21"/>
                      <w:highlight w:val="none"/>
                      <w:u w:val="none"/>
                      <w:lang w:val="en-US" w:eastAsia="zh-CN" w:bidi="ar-SA"/>
                    </w:rPr>
                  </w:pPr>
                  <w:r>
                    <w:rPr>
                      <w:rFonts w:hint="eastAsia" w:cs="宋体"/>
                      <w:color w:val="auto"/>
                      <w:sz w:val="21"/>
                      <w:szCs w:val="21"/>
                      <w:highlight w:val="none"/>
                      <w:u w:val="none"/>
                      <w:lang w:val="en-US" w:eastAsia="zh-CN" w:bidi="ar-SA"/>
                    </w:rPr>
                    <w:t>50</w:t>
                  </w:r>
                </w:p>
              </w:tc>
              <w:tc>
                <w:tcPr>
                  <w:tcW w:w="493" w:type="pct"/>
                  <w:tcBorders>
                    <w:tl2br w:val="nil"/>
                    <w:tr2bl w:val="nil"/>
                  </w:tcBorders>
                  <w:shd w:val="clear" w:color="auto" w:fill="auto"/>
                  <w:vAlign w:val="center"/>
                </w:tcPr>
                <w:p>
                  <w:pPr>
                    <w:pStyle w:val="15"/>
                    <w:bidi w:val="0"/>
                    <w:jc w:val="center"/>
                    <w:rPr>
                      <w:rFonts w:hint="default" w:ascii="Times New Roman" w:hAnsi="Times New Roman" w:eastAsia="宋体" w:cs="宋体"/>
                      <w:color w:val="auto"/>
                      <w:sz w:val="21"/>
                      <w:szCs w:val="21"/>
                      <w:highlight w:val="none"/>
                      <w:u w:val="none"/>
                      <w:lang w:val="en-US" w:eastAsia="zh-CN" w:bidi="ar-SA"/>
                    </w:rPr>
                  </w:pPr>
                  <w:r>
                    <w:rPr>
                      <w:rFonts w:hint="eastAsia" w:cs="宋体"/>
                      <w:color w:val="auto"/>
                      <w:sz w:val="21"/>
                      <w:szCs w:val="21"/>
                      <w:highlight w:val="none"/>
                      <w:u w:val="none"/>
                      <w:lang w:val="en-US" w:eastAsia="zh-CN" w:bidi="ar-SA"/>
                    </w:rPr>
                    <w:t>62</w:t>
                  </w:r>
                </w:p>
              </w:tc>
              <w:tc>
                <w:tcPr>
                  <w:tcW w:w="493" w:type="pct"/>
                  <w:tcBorders>
                    <w:tl2br w:val="nil"/>
                    <w:tr2bl w:val="nil"/>
                  </w:tcBorders>
                  <w:vAlign w:val="center"/>
                </w:tcPr>
                <w:p>
                  <w:pPr>
                    <w:pStyle w:val="15"/>
                    <w:bidi w:val="0"/>
                    <w:jc w:val="center"/>
                    <w:rPr>
                      <w:rFonts w:hint="default" w:ascii="Times New Roman" w:hAnsi="Times New Roman" w:eastAsia="宋体" w:cs="宋体"/>
                      <w:color w:val="auto"/>
                      <w:sz w:val="21"/>
                      <w:szCs w:val="21"/>
                      <w:highlight w:val="none"/>
                      <w:u w:val="none"/>
                      <w:lang w:val="en-US" w:eastAsia="zh-CN" w:bidi="ar-SA"/>
                    </w:rPr>
                  </w:pPr>
                  <w:r>
                    <w:rPr>
                      <w:rFonts w:hint="eastAsia" w:ascii="Times New Roman" w:hAnsi="Times New Roman" w:eastAsia="宋体" w:cs="宋体"/>
                      <w:color w:val="auto"/>
                      <w:sz w:val="21"/>
                      <w:szCs w:val="21"/>
                      <w:highlight w:val="none"/>
                      <w:u w:val="none"/>
                      <w:lang w:val="en-US" w:eastAsia="zh-CN" w:bidi="ar-SA"/>
                    </w:rPr>
                    <w:t>70</w:t>
                  </w:r>
                </w:p>
              </w:tc>
              <w:tc>
                <w:tcPr>
                  <w:tcW w:w="503" w:type="pct"/>
                  <w:tcBorders>
                    <w:tl2br w:val="nil"/>
                    <w:tr2bl w:val="nil"/>
                  </w:tcBorders>
                  <w:vAlign w:val="center"/>
                </w:tcPr>
                <w:p>
                  <w:pPr>
                    <w:pStyle w:val="15"/>
                    <w:bidi w:val="0"/>
                    <w:jc w:val="center"/>
                    <w:rPr>
                      <w:rFonts w:hint="default" w:ascii="Times New Roman" w:hAnsi="Times New Roman" w:eastAsia="宋体" w:cs="宋体"/>
                      <w:color w:val="auto"/>
                      <w:sz w:val="21"/>
                      <w:szCs w:val="21"/>
                      <w:highlight w:val="none"/>
                      <w:u w:val="none"/>
                      <w:lang w:val="en-US" w:eastAsia="zh-CN" w:bidi="ar-SA"/>
                    </w:rPr>
                  </w:pPr>
                  <w:r>
                    <w:rPr>
                      <w:rFonts w:hint="eastAsia" w:ascii="Times New Roman" w:hAnsi="Times New Roman" w:eastAsia="宋体" w:cs="宋体"/>
                      <w:color w:val="auto"/>
                      <w:sz w:val="21"/>
                      <w:szCs w:val="21"/>
                      <w:highlight w:val="none"/>
                      <w:u w:val="none"/>
                      <w:lang w:val="en-US" w:eastAsia="zh-CN" w:bidi="ar-SA"/>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89" w:type="pct"/>
                  <w:tcBorders>
                    <w:tl2br w:val="nil"/>
                    <w:tr2bl w:val="nil"/>
                  </w:tcBorders>
                  <w:vAlign w:val="center"/>
                </w:tcPr>
                <w:p>
                  <w:pPr>
                    <w:pStyle w:val="15"/>
                    <w:bidi w:val="0"/>
                    <w:ind w:firstLine="0" w:firstLineChars="0"/>
                    <w:jc w:val="center"/>
                    <w:rPr>
                      <w:rFonts w:hint="default" w:ascii="Times New Roman" w:hAnsi="Times New Roman" w:cs="Times New Roman"/>
                      <w:color w:val="auto"/>
                      <w:highlight w:val="none"/>
                      <w:u w:val="none"/>
                      <w:lang w:val="en-US" w:eastAsia="zh-CN"/>
                    </w:rPr>
                  </w:pPr>
                  <w:r>
                    <w:rPr>
                      <w:rFonts w:hint="eastAsia" w:cs="Times New Roman"/>
                      <w:color w:val="auto"/>
                      <w:kern w:val="2"/>
                      <w:sz w:val="21"/>
                      <w:szCs w:val="21"/>
                      <w:highlight w:val="none"/>
                      <w:lang w:val="en-US" w:eastAsia="zh-CN" w:bidi="ar-SA"/>
                    </w:rPr>
                    <w:t>鲤鱼塝居民</w:t>
                  </w:r>
                </w:p>
              </w:tc>
              <w:tc>
                <w:tcPr>
                  <w:tcW w:w="740" w:type="pct"/>
                  <w:tcBorders>
                    <w:tl2br w:val="nil"/>
                    <w:tr2bl w:val="nil"/>
                  </w:tcBorders>
                  <w:vAlign w:val="center"/>
                </w:tcPr>
                <w:p>
                  <w:pPr>
                    <w:pStyle w:val="15"/>
                    <w:bidi w:val="0"/>
                    <w:ind w:firstLine="0" w:firstLineChars="0"/>
                    <w:rPr>
                      <w:rFonts w:hint="eastAsia" w:ascii="Times New Roman" w:hAnsi="Times New Roman" w:eastAsia="宋体" w:cs="Times New Roman"/>
                      <w:color w:val="auto"/>
                      <w:kern w:val="2"/>
                      <w:sz w:val="21"/>
                      <w:szCs w:val="21"/>
                      <w:highlight w:val="none"/>
                      <w:u w:val="none"/>
                      <w:lang w:val="en-US" w:eastAsia="zh-CN" w:bidi="ar-SA"/>
                    </w:rPr>
                  </w:pPr>
                  <w:r>
                    <w:rPr>
                      <w:rFonts w:hint="eastAsia" w:cs="Times New Roman"/>
                      <w:color w:val="auto"/>
                      <w:kern w:val="2"/>
                      <w:sz w:val="21"/>
                      <w:szCs w:val="21"/>
                      <w:highlight w:val="none"/>
                      <w:lang w:val="en-US" w:eastAsia="zh-CN" w:bidi="ar-SA"/>
                    </w:rPr>
                    <w:t>21</w:t>
                  </w:r>
                </w:p>
              </w:tc>
              <w:tc>
                <w:tcPr>
                  <w:tcW w:w="838" w:type="dxa"/>
                  <w:tcBorders>
                    <w:tl2br w:val="nil"/>
                    <w:tr2bl w:val="nil"/>
                  </w:tcBorders>
                  <w:vAlign w:val="center"/>
                </w:tcPr>
                <w:p>
                  <w:pPr>
                    <w:pStyle w:val="15"/>
                    <w:bidi w:val="0"/>
                    <w:ind w:firstLine="0" w:firstLineChars="0"/>
                    <w:rPr>
                      <w:rFonts w:hint="default" w:ascii="Times New Roman" w:hAnsi="Times New Roman" w:eastAsia="宋体" w:cs="宋体"/>
                      <w:color w:val="auto"/>
                      <w:sz w:val="21"/>
                      <w:szCs w:val="21"/>
                      <w:highlight w:val="none"/>
                      <w:u w:val="none"/>
                      <w:lang w:val="en-US" w:eastAsia="zh-CN" w:bidi="ar-SA"/>
                    </w:rPr>
                  </w:pPr>
                  <w:r>
                    <w:rPr>
                      <w:rFonts w:hint="eastAsia"/>
                      <w:color w:val="auto"/>
                      <w:highlight w:val="none"/>
                      <w:lang w:val="en-US" w:eastAsia="zh-CN"/>
                    </w:rPr>
                    <w:t>86</w:t>
                  </w:r>
                </w:p>
              </w:tc>
              <w:tc>
                <w:tcPr>
                  <w:tcW w:w="493" w:type="pct"/>
                  <w:tcBorders>
                    <w:tl2br w:val="nil"/>
                    <w:tr2bl w:val="nil"/>
                  </w:tcBorders>
                  <w:vAlign w:val="center"/>
                </w:tcPr>
                <w:p>
                  <w:pPr>
                    <w:pStyle w:val="15"/>
                    <w:bidi w:val="0"/>
                    <w:jc w:val="center"/>
                    <w:rPr>
                      <w:rFonts w:hint="default" w:ascii="Times New Roman" w:hAnsi="Times New Roman" w:eastAsia="宋体" w:cs="宋体"/>
                      <w:color w:val="auto"/>
                      <w:sz w:val="21"/>
                      <w:szCs w:val="21"/>
                      <w:highlight w:val="none"/>
                      <w:u w:val="none"/>
                      <w:lang w:val="en-US" w:eastAsia="zh-CN" w:bidi="ar-SA"/>
                    </w:rPr>
                  </w:pPr>
                  <w:r>
                    <w:rPr>
                      <w:rFonts w:hint="eastAsia" w:cs="宋体"/>
                      <w:color w:val="auto"/>
                      <w:sz w:val="21"/>
                      <w:szCs w:val="21"/>
                      <w:highlight w:val="none"/>
                      <w:u w:val="none"/>
                      <w:lang w:val="en-US" w:eastAsia="zh-CN" w:bidi="ar-SA"/>
                    </w:rPr>
                    <w:t>60</w:t>
                  </w:r>
                </w:p>
              </w:tc>
              <w:tc>
                <w:tcPr>
                  <w:tcW w:w="493" w:type="pct"/>
                  <w:tcBorders>
                    <w:tl2br w:val="nil"/>
                    <w:tr2bl w:val="nil"/>
                  </w:tcBorders>
                  <w:shd w:val="clear" w:color="auto" w:fill="auto"/>
                  <w:vAlign w:val="center"/>
                </w:tcPr>
                <w:p>
                  <w:pPr>
                    <w:pStyle w:val="15"/>
                    <w:bidi w:val="0"/>
                    <w:jc w:val="center"/>
                    <w:rPr>
                      <w:rFonts w:hint="default" w:ascii="Times New Roman" w:hAnsi="Times New Roman" w:eastAsia="宋体" w:cs="宋体"/>
                      <w:color w:val="auto"/>
                      <w:sz w:val="21"/>
                      <w:szCs w:val="21"/>
                      <w:highlight w:val="none"/>
                      <w:u w:val="none"/>
                      <w:lang w:val="en-US" w:eastAsia="zh-CN" w:bidi="ar-SA"/>
                    </w:rPr>
                  </w:pPr>
                  <w:r>
                    <w:rPr>
                      <w:rFonts w:hint="eastAsia" w:cs="宋体"/>
                      <w:color w:val="auto"/>
                      <w:sz w:val="21"/>
                      <w:szCs w:val="21"/>
                      <w:highlight w:val="none"/>
                      <w:u w:val="none"/>
                      <w:lang w:val="en-US" w:eastAsia="zh-CN" w:bidi="ar-SA"/>
                    </w:rPr>
                    <w:t>55</w:t>
                  </w:r>
                </w:p>
              </w:tc>
              <w:tc>
                <w:tcPr>
                  <w:tcW w:w="493" w:type="pct"/>
                  <w:tcBorders>
                    <w:tl2br w:val="nil"/>
                    <w:tr2bl w:val="nil"/>
                  </w:tcBorders>
                  <w:shd w:val="clear" w:color="auto" w:fill="auto"/>
                  <w:vAlign w:val="center"/>
                </w:tcPr>
                <w:p>
                  <w:pPr>
                    <w:pStyle w:val="15"/>
                    <w:bidi w:val="0"/>
                    <w:jc w:val="center"/>
                    <w:rPr>
                      <w:rFonts w:hint="default" w:ascii="Times New Roman" w:hAnsi="Times New Roman" w:eastAsia="宋体" w:cs="宋体"/>
                      <w:color w:val="auto"/>
                      <w:sz w:val="21"/>
                      <w:szCs w:val="21"/>
                      <w:highlight w:val="none"/>
                      <w:u w:val="none"/>
                      <w:lang w:val="en-US" w:eastAsia="zh-CN" w:bidi="ar-SA"/>
                    </w:rPr>
                  </w:pPr>
                  <w:r>
                    <w:rPr>
                      <w:rFonts w:hint="eastAsia" w:cs="宋体"/>
                      <w:color w:val="auto"/>
                      <w:sz w:val="21"/>
                      <w:szCs w:val="21"/>
                      <w:highlight w:val="none"/>
                      <w:u w:val="none"/>
                      <w:lang w:val="en-US" w:eastAsia="zh-CN" w:bidi="ar-SA"/>
                    </w:rPr>
                    <w:t>61</w:t>
                  </w:r>
                </w:p>
              </w:tc>
              <w:tc>
                <w:tcPr>
                  <w:tcW w:w="493" w:type="pct"/>
                  <w:tcBorders>
                    <w:tl2br w:val="nil"/>
                    <w:tr2bl w:val="nil"/>
                  </w:tcBorders>
                  <w:vAlign w:val="center"/>
                </w:tcPr>
                <w:p>
                  <w:pPr>
                    <w:pStyle w:val="15"/>
                    <w:bidi w:val="0"/>
                    <w:jc w:val="center"/>
                    <w:rPr>
                      <w:rFonts w:hint="default" w:ascii="Times New Roman" w:hAnsi="Times New Roman" w:eastAsia="宋体" w:cs="宋体"/>
                      <w:color w:val="auto"/>
                      <w:sz w:val="21"/>
                      <w:szCs w:val="21"/>
                      <w:highlight w:val="none"/>
                      <w:u w:val="none"/>
                      <w:lang w:val="en-US" w:eastAsia="zh-CN" w:bidi="ar-SA"/>
                    </w:rPr>
                  </w:pPr>
                  <w:r>
                    <w:rPr>
                      <w:rFonts w:hint="eastAsia" w:ascii="Times New Roman" w:hAnsi="Times New Roman" w:eastAsia="宋体" w:cs="宋体"/>
                      <w:color w:val="auto"/>
                      <w:sz w:val="21"/>
                      <w:szCs w:val="21"/>
                      <w:highlight w:val="none"/>
                      <w:u w:val="none"/>
                      <w:lang w:val="en-US" w:eastAsia="zh-CN" w:bidi="ar-SA"/>
                    </w:rPr>
                    <w:t>70</w:t>
                  </w:r>
                </w:p>
              </w:tc>
              <w:tc>
                <w:tcPr>
                  <w:tcW w:w="503" w:type="pct"/>
                  <w:tcBorders>
                    <w:tl2br w:val="nil"/>
                    <w:tr2bl w:val="nil"/>
                  </w:tcBorders>
                  <w:vAlign w:val="center"/>
                </w:tcPr>
                <w:p>
                  <w:pPr>
                    <w:pStyle w:val="15"/>
                    <w:bidi w:val="0"/>
                    <w:ind w:firstLine="0" w:firstLineChars="0"/>
                    <w:jc w:val="center"/>
                    <w:rPr>
                      <w:rFonts w:hint="default" w:ascii="Times New Roman" w:hAnsi="Times New Roman" w:eastAsia="宋体" w:cs="宋体"/>
                      <w:color w:val="auto"/>
                      <w:sz w:val="21"/>
                      <w:szCs w:val="21"/>
                      <w:highlight w:val="none"/>
                      <w:u w:val="none"/>
                      <w:lang w:val="en-US" w:eastAsia="zh-CN" w:bidi="ar-SA"/>
                    </w:rPr>
                  </w:pPr>
                  <w:r>
                    <w:rPr>
                      <w:rFonts w:hint="eastAsia" w:ascii="Times New Roman" w:hAnsi="Times New Roman" w:eastAsia="宋体" w:cs="宋体"/>
                      <w:color w:val="auto"/>
                      <w:sz w:val="21"/>
                      <w:szCs w:val="21"/>
                      <w:highlight w:val="none"/>
                      <w:u w:val="none"/>
                      <w:lang w:val="en-US" w:eastAsia="zh-CN" w:bidi="ar-SA"/>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89" w:type="pct"/>
                  <w:tcBorders>
                    <w:tl2br w:val="nil"/>
                    <w:tr2bl w:val="nil"/>
                  </w:tcBorders>
                  <w:vAlign w:val="center"/>
                </w:tcPr>
                <w:p>
                  <w:pPr>
                    <w:pStyle w:val="15"/>
                    <w:bidi w:val="0"/>
                    <w:ind w:firstLine="0" w:firstLineChars="0"/>
                    <w:jc w:val="center"/>
                    <w:rPr>
                      <w:rFonts w:hint="default" w:ascii="Times New Roman" w:hAnsi="Times New Roman" w:eastAsia="宋体" w:cs="Times New Roman"/>
                      <w:color w:val="auto"/>
                      <w:sz w:val="21"/>
                      <w:szCs w:val="21"/>
                      <w:highlight w:val="none"/>
                      <w:u w:val="none"/>
                      <w:lang w:val="en-US" w:eastAsia="zh-CN"/>
                    </w:rPr>
                  </w:pPr>
                  <w:r>
                    <w:rPr>
                      <w:rFonts w:hint="eastAsia" w:cs="Times New Roman"/>
                      <w:color w:val="auto"/>
                      <w:highlight w:val="none"/>
                      <w:lang w:val="en-US" w:eastAsia="zh-CN"/>
                    </w:rPr>
                    <w:t>冯家坝居民</w:t>
                  </w:r>
                </w:p>
              </w:tc>
              <w:tc>
                <w:tcPr>
                  <w:tcW w:w="740" w:type="pct"/>
                  <w:tcBorders>
                    <w:tl2br w:val="nil"/>
                    <w:tr2bl w:val="nil"/>
                  </w:tcBorders>
                  <w:vAlign w:val="center"/>
                </w:tcPr>
                <w:p>
                  <w:pPr>
                    <w:pStyle w:val="15"/>
                    <w:bidi w:val="0"/>
                    <w:ind w:firstLine="0" w:firstLineChars="0"/>
                    <w:rPr>
                      <w:rFonts w:hint="eastAsia" w:ascii="Times New Roman" w:hAnsi="Times New Roman" w:cs="Times New Roman"/>
                      <w:color w:val="auto"/>
                      <w:kern w:val="2"/>
                      <w:sz w:val="21"/>
                      <w:szCs w:val="21"/>
                      <w:highlight w:val="none"/>
                      <w:u w:val="none"/>
                      <w:lang w:val="en-US" w:eastAsia="zh-CN" w:bidi="ar-SA"/>
                    </w:rPr>
                  </w:pPr>
                  <w:r>
                    <w:rPr>
                      <w:rFonts w:hint="eastAsia" w:cs="Times New Roman"/>
                      <w:color w:val="auto"/>
                      <w:kern w:val="2"/>
                      <w:sz w:val="21"/>
                      <w:szCs w:val="21"/>
                      <w:highlight w:val="none"/>
                      <w:lang w:val="en-US" w:eastAsia="zh-CN" w:bidi="ar-SA"/>
                    </w:rPr>
                    <w:t>8</w:t>
                  </w:r>
                </w:p>
              </w:tc>
              <w:tc>
                <w:tcPr>
                  <w:tcW w:w="838" w:type="dxa"/>
                  <w:tcBorders>
                    <w:tl2br w:val="nil"/>
                    <w:tr2bl w:val="nil"/>
                  </w:tcBorders>
                  <w:vAlign w:val="center"/>
                </w:tcPr>
                <w:p>
                  <w:pPr>
                    <w:pStyle w:val="15"/>
                    <w:bidi w:val="0"/>
                    <w:ind w:firstLine="0" w:firstLineChars="0"/>
                    <w:rPr>
                      <w:rFonts w:hint="eastAsia" w:ascii="Times New Roman" w:hAnsi="Times New Roman" w:eastAsia="宋体" w:cs="宋体"/>
                      <w:color w:val="auto"/>
                      <w:sz w:val="21"/>
                      <w:szCs w:val="21"/>
                      <w:highlight w:val="none"/>
                      <w:u w:val="none"/>
                      <w:lang w:val="en-US" w:eastAsia="zh-CN" w:bidi="ar-SA"/>
                    </w:rPr>
                  </w:pPr>
                  <w:r>
                    <w:rPr>
                      <w:rFonts w:hint="eastAsia"/>
                      <w:color w:val="auto"/>
                      <w:highlight w:val="none"/>
                      <w:lang w:val="en-US" w:eastAsia="zh-CN"/>
                    </w:rPr>
                    <w:t>86</w:t>
                  </w:r>
                </w:p>
              </w:tc>
              <w:tc>
                <w:tcPr>
                  <w:tcW w:w="493" w:type="pct"/>
                  <w:tcBorders>
                    <w:tl2br w:val="nil"/>
                    <w:tr2bl w:val="nil"/>
                  </w:tcBorders>
                  <w:vAlign w:val="center"/>
                </w:tcPr>
                <w:p>
                  <w:pPr>
                    <w:pStyle w:val="15"/>
                    <w:bidi w:val="0"/>
                    <w:jc w:val="center"/>
                    <w:rPr>
                      <w:rFonts w:hint="default" w:ascii="Times New Roman" w:hAnsi="Times New Roman" w:eastAsia="宋体" w:cs="宋体"/>
                      <w:color w:val="auto"/>
                      <w:sz w:val="21"/>
                      <w:szCs w:val="21"/>
                      <w:highlight w:val="none"/>
                      <w:u w:val="none"/>
                      <w:lang w:val="en-US" w:eastAsia="zh-CN" w:bidi="ar-SA"/>
                    </w:rPr>
                  </w:pPr>
                  <w:r>
                    <w:rPr>
                      <w:rFonts w:hint="eastAsia" w:cs="宋体"/>
                      <w:color w:val="auto"/>
                      <w:sz w:val="21"/>
                      <w:szCs w:val="21"/>
                      <w:highlight w:val="none"/>
                      <w:u w:val="none"/>
                      <w:lang w:val="en-US" w:eastAsia="zh-CN" w:bidi="ar-SA"/>
                    </w:rPr>
                    <w:t>68</w:t>
                  </w:r>
                </w:p>
              </w:tc>
              <w:tc>
                <w:tcPr>
                  <w:tcW w:w="493" w:type="pct"/>
                  <w:tcBorders>
                    <w:tl2br w:val="nil"/>
                    <w:tr2bl w:val="nil"/>
                  </w:tcBorders>
                  <w:shd w:val="clear" w:color="auto" w:fill="auto"/>
                  <w:vAlign w:val="center"/>
                </w:tcPr>
                <w:p>
                  <w:pPr>
                    <w:pStyle w:val="15"/>
                    <w:bidi w:val="0"/>
                    <w:jc w:val="center"/>
                    <w:rPr>
                      <w:rFonts w:hint="default" w:ascii="Times New Roman" w:hAnsi="Times New Roman" w:eastAsia="宋体" w:cs="宋体"/>
                      <w:color w:val="auto"/>
                      <w:sz w:val="21"/>
                      <w:szCs w:val="21"/>
                      <w:highlight w:val="none"/>
                      <w:u w:val="none"/>
                      <w:lang w:val="en-US" w:eastAsia="zh-CN" w:bidi="ar-SA"/>
                    </w:rPr>
                  </w:pPr>
                  <w:r>
                    <w:rPr>
                      <w:rFonts w:hint="eastAsia" w:cs="宋体"/>
                      <w:color w:val="auto"/>
                      <w:sz w:val="21"/>
                      <w:szCs w:val="21"/>
                      <w:highlight w:val="none"/>
                      <w:u w:val="none"/>
                      <w:lang w:val="en-US" w:eastAsia="zh-CN" w:bidi="ar-SA"/>
                    </w:rPr>
                    <w:t>56</w:t>
                  </w:r>
                </w:p>
              </w:tc>
              <w:tc>
                <w:tcPr>
                  <w:tcW w:w="493" w:type="pct"/>
                  <w:tcBorders>
                    <w:tl2br w:val="nil"/>
                    <w:tr2bl w:val="nil"/>
                  </w:tcBorders>
                  <w:shd w:val="clear" w:color="auto" w:fill="auto"/>
                  <w:vAlign w:val="center"/>
                </w:tcPr>
                <w:p>
                  <w:pPr>
                    <w:pStyle w:val="15"/>
                    <w:bidi w:val="0"/>
                    <w:jc w:val="center"/>
                    <w:rPr>
                      <w:rFonts w:hint="default" w:ascii="Times New Roman" w:hAnsi="Times New Roman" w:eastAsia="宋体" w:cs="宋体"/>
                      <w:color w:val="auto"/>
                      <w:sz w:val="21"/>
                      <w:szCs w:val="21"/>
                      <w:highlight w:val="none"/>
                      <w:u w:val="none"/>
                      <w:lang w:val="en-US" w:eastAsia="zh-CN" w:bidi="ar-SA"/>
                    </w:rPr>
                  </w:pPr>
                  <w:r>
                    <w:rPr>
                      <w:rFonts w:hint="eastAsia" w:cs="宋体"/>
                      <w:color w:val="auto"/>
                      <w:sz w:val="21"/>
                      <w:szCs w:val="21"/>
                      <w:highlight w:val="none"/>
                      <w:u w:val="none"/>
                      <w:lang w:val="en-US" w:eastAsia="zh-CN" w:bidi="ar-SA"/>
                    </w:rPr>
                    <w:t>68</w:t>
                  </w:r>
                </w:p>
              </w:tc>
              <w:tc>
                <w:tcPr>
                  <w:tcW w:w="838" w:type="dxa"/>
                  <w:tcBorders>
                    <w:tl2br w:val="nil"/>
                    <w:tr2bl w:val="nil"/>
                  </w:tcBorders>
                  <w:vAlign w:val="center"/>
                </w:tcPr>
                <w:p>
                  <w:pPr>
                    <w:pStyle w:val="15"/>
                    <w:bidi w:val="0"/>
                    <w:ind w:firstLine="0" w:firstLineChars="0"/>
                    <w:jc w:val="center"/>
                    <w:rPr>
                      <w:rFonts w:hint="eastAsia" w:ascii="Times New Roman" w:hAnsi="Times New Roman" w:eastAsia="宋体" w:cs="宋体"/>
                      <w:color w:val="auto"/>
                      <w:sz w:val="21"/>
                      <w:szCs w:val="21"/>
                      <w:highlight w:val="none"/>
                      <w:u w:val="none"/>
                      <w:lang w:val="en-US" w:eastAsia="zh-CN" w:bidi="ar-SA"/>
                    </w:rPr>
                  </w:pPr>
                  <w:r>
                    <w:rPr>
                      <w:rFonts w:hint="eastAsia" w:ascii="Times New Roman" w:hAnsi="Times New Roman" w:eastAsia="宋体" w:cs="宋体"/>
                      <w:color w:val="auto"/>
                      <w:sz w:val="21"/>
                      <w:szCs w:val="21"/>
                      <w:highlight w:val="none"/>
                      <w:u w:val="none"/>
                      <w:lang w:val="en-US" w:eastAsia="zh-CN" w:bidi="ar-SA"/>
                    </w:rPr>
                    <w:t>70</w:t>
                  </w:r>
                </w:p>
              </w:tc>
              <w:tc>
                <w:tcPr>
                  <w:tcW w:w="860" w:type="dxa"/>
                  <w:tcBorders>
                    <w:tl2br w:val="nil"/>
                    <w:tr2bl w:val="nil"/>
                  </w:tcBorders>
                  <w:vAlign w:val="center"/>
                </w:tcPr>
                <w:p>
                  <w:pPr>
                    <w:pStyle w:val="15"/>
                    <w:bidi w:val="0"/>
                    <w:ind w:firstLine="0" w:firstLineChars="0"/>
                    <w:jc w:val="center"/>
                    <w:rPr>
                      <w:rFonts w:hint="eastAsia" w:ascii="Times New Roman" w:hAnsi="Times New Roman" w:eastAsia="宋体" w:cs="宋体"/>
                      <w:color w:val="auto"/>
                      <w:sz w:val="21"/>
                      <w:szCs w:val="21"/>
                      <w:highlight w:val="none"/>
                      <w:u w:val="none"/>
                      <w:lang w:val="en-US" w:eastAsia="zh-CN" w:bidi="ar-SA"/>
                    </w:rPr>
                  </w:pPr>
                  <w:r>
                    <w:rPr>
                      <w:rFonts w:hint="eastAsia" w:ascii="Times New Roman" w:hAnsi="Times New Roman" w:eastAsia="宋体" w:cs="宋体"/>
                      <w:color w:val="auto"/>
                      <w:sz w:val="21"/>
                      <w:szCs w:val="21"/>
                      <w:highlight w:val="none"/>
                      <w:u w:val="none"/>
                      <w:lang w:val="en-US" w:eastAsia="zh-CN" w:bidi="ar-SA"/>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89" w:type="pct"/>
                  <w:tcBorders>
                    <w:tl2br w:val="nil"/>
                    <w:tr2bl w:val="nil"/>
                  </w:tcBorders>
                  <w:vAlign w:val="center"/>
                </w:tcPr>
                <w:p>
                  <w:pPr>
                    <w:pStyle w:val="15"/>
                    <w:bidi w:val="0"/>
                    <w:ind w:firstLine="0" w:firstLineChars="0"/>
                    <w:jc w:val="center"/>
                    <w:rPr>
                      <w:rFonts w:hint="default" w:ascii="Times New Roman" w:hAnsi="Times New Roman" w:eastAsia="宋体" w:cs="Times New Roman"/>
                      <w:color w:val="auto"/>
                      <w:sz w:val="21"/>
                      <w:szCs w:val="21"/>
                      <w:highlight w:val="none"/>
                      <w:u w:val="none"/>
                      <w:lang w:val="en-US" w:eastAsia="zh-CN"/>
                    </w:rPr>
                  </w:pPr>
                  <w:r>
                    <w:rPr>
                      <w:rFonts w:hint="eastAsia" w:cs="Times New Roman"/>
                      <w:color w:val="auto"/>
                      <w:highlight w:val="none"/>
                      <w:lang w:val="en-US" w:eastAsia="zh-CN"/>
                    </w:rPr>
                    <w:t>花房子居民</w:t>
                  </w:r>
                </w:p>
              </w:tc>
              <w:tc>
                <w:tcPr>
                  <w:tcW w:w="740" w:type="pct"/>
                  <w:tcBorders>
                    <w:tl2br w:val="nil"/>
                    <w:tr2bl w:val="nil"/>
                  </w:tcBorders>
                  <w:vAlign w:val="center"/>
                </w:tcPr>
                <w:p>
                  <w:pPr>
                    <w:pStyle w:val="15"/>
                    <w:bidi w:val="0"/>
                    <w:ind w:firstLine="0" w:firstLineChars="0"/>
                    <w:rPr>
                      <w:rFonts w:hint="eastAsia" w:ascii="Times New Roman" w:hAnsi="Times New Roman" w:cs="Times New Roman"/>
                      <w:color w:val="auto"/>
                      <w:kern w:val="2"/>
                      <w:sz w:val="21"/>
                      <w:szCs w:val="21"/>
                      <w:highlight w:val="none"/>
                      <w:u w:val="none"/>
                      <w:lang w:val="en-US" w:eastAsia="zh-CN" w:bidi="ar-SA"/>
                    </w:rPr>
                  </w:pPr>
                  <w:r>
                    <w:rPr>
                      <w:rFonts w:hint="eastAsia" w:cs="Times New Roman"/>
                      <w:color w:val="auto"/>
                      <w:highlight w:val="none"/>
                      <w:lang w:val="en-US" w:eastAsia="zh-CN"/>
                    </w:rPr>
                    <w:t>15</w:t>
                  </w:r>
                </w:p>
              </w:tc>
              <w:tc>
                <w:tcPr>
                  <w:tcW w:w="838" w:type="dxa"/>
                  <w:tcBorders>
                    <w:tl2br w:val="nil"/>
                    <w:tr2bl w:val="nil"/>
                  </w:tcBorders>
                  <w:vAlign w:val="center"/>
                </w:tcPr>
                <w:p>
                  <w:pPr>
                    <w:pStyle w:val="15"/>
                    <w:bidi w:val="0"/>
                    <w:ind w:firstLine="0" w:firstLineChars="0"/>
                    <w:rPr>
                      <w:rFonts w:hint="eastAsia" w:ascii="Times New Roman" w:hAnsi="Times New Roman" w:eastAsia="宋体" w:cs="宋体"/>
                      <w:color w:val="auto"/>
                      <w:sz w:val="21"/>
                      <w:szCs w:val="21"/>
                      <w:highlight w:val="none"/>
                      <w:u w:val="none"/>
                      <w:lang w:val="en-US" w:eastAsia="zh-CN" w:bidi="ar-SA"/>
                    </w:rPr>
                  </w:pPr>
                  <w:r>
                    <w:rPr>
                      <w:rFonts w:hint="eastAsia"/>
                      <w:color w:val="auto"/>
                      <w:highlight w:val="none"/>
                      <w:lang w:val="en-US" w:eastAsia="zh-CN"/>
                    </w:rPr>
                    <w:t>86</w:t>
                  </w:r>
                </w:p>
              </w:tc>
              <w:tc>
                <w:tcPr>
                  <w:tcW w:w="493" w:type="pct"/>
                  <w:tcBorders>
                    <w:tl2br w:val="nil"/>
                    <w:tr2bl w:val="nil"/>
                  </w:tcBorders>
                  <w:vAlign w:val="center"/>
                </w:tcPr>
                <w:p>
                  <w:pPr>
                    <w:pStyle w:val="15"/>
                    <w:bidi w:val="0"/>
                    <w:jc w:val="center"/>
                    <w:rPr>
                      <w:rFonts w:hint="default" w:ascii="Times New Roman" w:hAnsi="Times New Roman" w:eastAsia="宋体" w:cs="宋体"/>
                      <w:color w:val="auto"/>
                      <w:sz w:val="21"/>
                      <w:szCs w:val="21"/>
                      <w:highlight w:val="none"/>
                      <w:u w:val="none"/>
                      <w:lang w:val="en-US" w:eastAsia="zh-CN" w:bidi="ar-SA"/>
                    </w:rPr>
                  </w:pPr>
                  <w:r>
                    <w:rPr>
                      <w:rFonts w:hint="eastAsia" w:cs="宋体"/>
                      <w:color w:val="auto"/>
                      <w:sz w:val="21"/>
                      <w:szCs w:val="21"/>
                      <w:highlight w:val="none"/>
                      <w:u w:val="none"/>
                      <w:lang w:val="en-US" w:eastAsia="zh-CN" w:bidi="ar-SA"/>
                    </w:rPr>
                    <w:t>62</w:t>
                  </w:r>
                </w:p>
              </w:tc>
              <w:tc>
                <w:tcPr>
                  <w:tcW w:w="493" w:type="pct"/>
                  <w:tcBorders>
                    <w:tl2br w:val="nil"/>
                    <w:tr2bl w:val="nil"/>
                  </w:tcBorders>
                  <w:shd w:val="clear" w:color="auto" w:fill="auto"/>
                  <w:vAlign w:val="center"/>
                </w:tcPr>
                <w:p>
                  <w:pPr>
                    <w:pStyle w:val="15"/>
                    <w:bidi w:val="0"/>
                    <w:jc w:val="center"/>
                    <w:rPr>
                      <w:rFonts w:hint="default" w:ascii="Times New Roman" w:hAnsi="Times New Roman" w:eastAsia="宋体" w:cs="宋体"/>
                      <w:color w:val="auto"/>
                      <w:sz w:val="21"/>
                      <w:szCs w:val="21"/>
                      <w:highlight w:val="none"/>
                      <w:u w:val="none"/>
                      <w:lang w:val="en-US" w:eastAsia="zh-CN" w:bidi="ar-SA"/>
                    </w:rPr>
                  </w:pPr>
                  <w:r>
                    <w:rPr>
                      <w:rFonts w:hint="eastAsia" w:cs="宋体"/>
                      <w:color w:val="auto"/>
                      <w:sz w:val="21"/>
                      <w:szCs w:val="21"/>
                      <w:highlight w:val="none"/>
                      <w:u w:val="none"/>
                      <w:lang w:val="en-US" w:eastAsia="zh-CN" w:bidi="ar-SA"/>
                    </w:rPr>
                    <w:t>50</w:t>
                  </w:r>
                </w:p>
              </w:tc>
              <w:tc>
                <w:tcPr>
                  <w:tcW w:w="493" w:type="pct"/>
                  <w:tcBorders>
                    <w:tl2br w:val="nil"/>
                    <w:tr2bl w:val="nil"/>
                  </w:tcBorders>
                  <w:shd w:val="clear" w:color="auto" w:fill="auto"/>
                  <w:vAlign w:val="center"/>
                </w:tcPr>
                <w:p>
                  <w:pPr>
                    <w:pStyle w:val="15"/>
                    <w:bidi w:val="0"/>
                    <w:jc w:val="center"/>
                    <w:rPr>
                      <w:rFonts w:hint="default" w:ascii="Times New Roman" w:hAnsi="Times New Roman" w:eastAsia="宋体" w:cs="宋体"/>
                      <w:color w:val="auto"/>
                      <w:sz w:val="21"/>
                      <w:szCs w:val="21"/>
                      <w:highlight w:val="none"/>
                      <w:u w:val="none"/>
                      <w:lang w:val="en-US" w:eastAsia="zh-CN" w:bidi="ar-SA"/>
                    </w:rPr>
                  </w:pPr>
                  <w:r>
                    <w:rPr>
                      <w:rFonts w:hint="eastAsia" w:cs="宋体"/>
                      <w:color w:val="auto"/>
                      <w:sz w:val="21"/>
                      <w:szCs w:val="21"/>
                      <w:highlight w:val="none"/>
                      <w:u w:val="none"/>
                      <w:lang w:val="en-US" w:eastAsia="zh-CN" w:bidi="ar-SA"/>
                    </w:rPr>
                    <w:t>62</w:t>
                  </w:r>
                </w:p>
              </w:tc>
              <w:tc>
                <w:tcPr>
                  <w:tcW w:w="838" w:type="dxa"/>
                  <w:tcBorders>
                    <w:tl2br w:val="nil"/>
                    <w:tr2bl w:val="nil"/>
                  </w:tcBorders>
                  <w:vAlign w:val="center"/>
                </w:tcPr>
                <w:p>
                  <w:pPr>
                    <w:pStyle w:val="15"/>
                    <w:bidi w:val="0"/>
                    <w:ind w:firstLine="0" w:firstLineChars="0"/>
                    <w:jc w:val="center"/>
                    <w:rPr>
                      <w:rFonts w:hint="eastAsia" w:ascii="Times New Roman" w:hAnsi="Times New Roman" w:eastAsia="宋体" w:cs="宋体"/>
                      <w:color w:val="auto"/>
                      <w:sz w:val="21"/>
                      <w:szCs w:val="21"/>
                      <w:highlight w:val="none"/>
                      <w:u w:val="none"/>
                      <w:lang w:val="en-US" w:eastAsia="zh-CN" w:bidi="ar-SA"/>
                    </w:rPr>
                  </w:pPr>
                  <w:r>
                    <w:rPr>
                      <w:rFonts w:hint="eastAsia" w:ascii="Times New Roman" w:hAnsi="Times New Roman" w:eastAsia="宋体" w:cs="宋体"/>
                      <w:color w:val="auto"/>
                      <w:sz w:val="21"/>
                      <w:szCs w:val="21"/>
                      <w:highlight w:val="none"/>
                      <w:u w:val="none"/>
                      <w:lang w:val="en-US" w:eastAsia="zh-CN" w:bidi="ar-SA"/>
                    </w:rPr>
                    <w:t>70</w:t>
                  </w:r>
                </w:p>
              </w:tc>
              <w:tc>
                <w:tcPr>
                  <w:tcW w:w="860" w:type="dxa"/>
                  <w:tcBorders>
                    <w:tl2br w:val="nil"/>
                    <w:tr2bl w:val="nil"/>
                  </w:tcBorders>
                  <w:vAlign w:val="center"/>
                </w:tcPr>
                <w:p>
                  <w:pPr>
                    <w:pStyle w:val="15"/>
                    <w:bidi w:val="0"/>
                    <w:ind w:firstLine="0" w:firstLineChars="0"/>
                    <w:jc w:val="center"/>
                    <w:rPr>
                      <w:rFonts w:hint="eastAsia" w:ascii="Times New Roman" w:hAnsi="Times New Roman" w:eastAsia="宋体" w:cs="宋体"/>
                      <w:color w:val="auto"/>
                      <w:sz w:val="21"/>
                      <w:szCs w:val="21"/>
                      <w:highlight w:val="none"/>
                      <w:u w:val="none"/>
                      <w:lang w:val="en-US" w:eastAsia="zh-CN" w:bidi="ar-SA"/>
                    </w:rPr>
                  </w:pPr>
                  <w:r>
                    <w:rPr>
                      <w:rFonts w:hint="eastAsia" w:ascii="Times New Roman" w:hAnsi="Times New Roman" w:eastAsia="宋体" w:cs="宋体"/>
                      <w:color w:val="auto"/>
                      <w:sz w:val="21"/>
                      <w:szCs w:val="21"/>
                      <w:highlight w:val="none"/>
                      <w:u w:val="none"/>
                      <w:lang w:val="en-US" w:eastAsia="zh-CN" w:bidi="ar-SA"/>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89" w:type="pct"/>
                  <w:tcBorders>
                    <w:tl2br w:val="nil"/>
                    <w:tr2bl w:val="nil"/>
                  </w:tcBorders>
                  <w:vAlign w:val="center"/>
                </w:tcPr>
                <w:p>
                  <w:pPr>
                    <w:pStyle w:val="15"/>
                    <w:bidi w:val="0"/>
                    <w:ind w:firstLine="0" w:firstLineChars="0"/>
                    <w:jc w:val="center"/>
                    <w:rPr>
                      <w:rFonts w:hint="default" w:ascii="Times New Roman" w:hAnsi="Times New Roman" w:eastAsia="宋体" w:cs="Times New Roman"/>
                      <w:color w:val="auto"/>
                      <w:sz w:val="21"/>
                      <w:szCs w:val="21"/>
                      <w:highlight w:val="none"/>
                      <w:u w:val="none"/>
                      <w:lang w:val="en-US" w:eastAsia="zh-CN"/>
                    </w:rPr>
                  </w:pPr>
                  <w:r>
                    <w:rPr>
                      <w:rFonts w:hint="eastAsia" w:cs="Times New Roman"/>
                      <w:color w:val="auto"/>
                      <w:highlight w:val="none"/>
                      <w:lang w:val="en-US" w:eastAsia="zh-CN"/>
                    </w:rPr>
                    <w:t>后营坝左岸居民</w:t>
                  </w:r>
                </w:p>
              </w:tc>
              <w:tc>
                <w:tcPr>
                  <w:tcW w:w="740" w:type="pct"/>
                  <w:tcBorders>
                    <w:tl2br w:val="nil"/>
                    <w:tr2bl w:val="nil"/>
                  </w:tcBorders>
                  <w:vAlign w:val="center"/>
                </w:tcPr>
                <w:p>
                  <w:pPr>
                    <w:pStyle w:val="15"/>
                    <w:bidi w:val="0"/>
                    <w:ind w:firstLine="0" w:firstLineChars="0"/>
                    <w:rPr>
                      <w:rFonts w:hint="eastAsia" w:ascii="Times New Roman" w:hAnsi="Times New Roman" w:cs="Times New Roman"/>
                      <w:color w:val="auto"/>
                      <w:kern w:val="2"/>
                      <w:sz w:val="21"/>
                      <w:szCs w:val="21"/>
                      <w:highlight w:val="none"/>
                      <w:u w:val="none"/>
                      <w:lang w:val="en-US" w:eastAsia="zh-CN" w:bidi="ar-SA"/>
                    </w:rPr>
                  </w:pPr>
                  <w:r>
                    <w:rPr>
                      <w:rFonts w:hint="eastAsia" w:cs="Times New Roman"/>
                      <w:color w:val="auto"/>
                      <w:highlight w:val="none"/>
                      <w:lang w:val="en-US" w:eastAsia="zh-CN"/>
                    </w:rPr>
                    <w:t>35</w:t>
                  </w:r>
                </w:p>
              </w:tc>
              <w:tc>
                <w:tcPr>
                  <w:tcW w:w="838" w:type="dxa"/>
                  <w:tcBorders>
                    <w:tl2br w:val="nil"/>
                    <w:tr2bl w:val="nil"/>
                  </w:tcBorders>
                  <w:vAlign w:val="center"/>
                </w:tcPr>
                <w:p>
                  <w:pPr>
                    <w:pStyle w:val="15"/>
                    <w:bidi w:val="0"/>
                    <w:ind w:firstLine="0" w:firstLineChars="0"/>
                    <w:rPr>
                      <w:rFonts w:hint="eastAsia" w:ascii="Times New Roman" w:hAnsi="Times New Roman" w:eastAsia="宋体" w:cs="宋体"/>
                      <w:color w:val="auto"/>
                      <w:sz w:val="21"/>
                      <w:szCs w:val="21"/>
                      <w:highlight w:val="none"/>
                      <w:u w:val="none"/>
                      <w:lang w:val="en-US" w:eastAsia="zh-CN" w:bidi="ar-SA"/>
                    </w:rPr>
                  </w:pPr>
                  <w:r>
                    <w:rPr>
                      <w:rFonts w:hint="eastAsia"/>
                      <w:color w:val="auto"/>
                      <w:highlight w:val="none"/>
                      <w:lang w:val="en-US" w:eastAsia="zh-CN"/>
                    </w:rPr>
                    <w:t>86</w:t>
                  </w:r>
                </w:p>
              </w:tc>
              <w:tc>
                <w:tcPr>
                  <w:tcW w:w="493" w:type="pct"/>
                  <w:tcBorders>
                    <w:tl2br w:val="nil"/>
                    <w:tr2bl w:val="nil"/>
                  </w:tcBorders>
                  <w:vAlign w:val="center"/>
                </w:tcPr>
                <w:p>
                  <w:pPr>
                    <w:pStyle w:val="15"/>
                    <w:bidi w:val="0"/>
                    <w:jc w:val="center"/>
                    <w:rPr>
                      <w:rFonts w:hint="default" w:ascii="Times New Roman" w:hAnsi="Times New Roman" w:eastAsia="宋体" w:cs="宋体"/>
                      <w:color w:val="auto"/>
                      <w:sz w:val="21"/>
                      <w:szCs w:val="21"/>
                      <w:highlight w:val="none"/>
                      <w:u w:val="none"/>
                      <w:lang w:val="en-US" w:eastAsia="zh-CN" w:bidi="ar-SA"/>
                    </w:rPr>
                  </w:pPr>
                  <w:r>
                    <w:rPr>
                      <w:rFonts w:hint="eastAsia" w:cs="宋体"/>
                      <w:color w:val="auto"/>
                      <w:sz w:val="21"/>
                      <w:szCs w:val="21"/>
                      <w:highlight w:val="none"/>
                      <w:u w:val="none"/>
                      <w:lang w:val="en-US" w:eastAsia="zh-CN" w:bidi="ar-SA"/>
                    </w:rPr>
                    <w:t>55</w:t>
                  </w:r>
                </w:p>
              </w:tc>
              <w:tc>
                <w:tcPr>
                  <w:tcW w:w="493" w:type="pct"/>
                  <w:tcBorders>
                    <w:tl2br w:val="nil"/>
                    <w:tr2bl w:val="nil"/>
                  </w:tcBorders>
                  <w:shd w:val="clear" w:color="auto" w:fill="auto"/>
                  <w:vAlign w:val="center"/>
                </w:tcPr>
                <w:p>
                  <w:pPr>
                    <w:pStyle w:val="15"/>
                    <w:bidi w:val="0"/>
                    <w:jc w:val="center"/>
                    <w:rPr>
                      <w:rFonts w:hint="default" w:ascii="Times New Roman" w:hAnsi="Times New Roman" w:eastAsia="宋体" w:cs="宋体"/>
                      <w:color w:val="auto"/>
                      <w:sz w:val="21"/>
                      <w:szCs w:val="21"/>
                      <w:highlight w:val="none"/>
                      <w:u w:val="none"/>
                      <w:lang w:val="en-US" w:eastAsia="zh-CN" w:bidi="ar-SA"/>
                    </w:rPr>
                  </w:pPr>
                  <w:r>
                    <w:rPr>
                      <w:rFonts w:hint="eastAsia" w:cs="宋体"/>
                      <w:color w:val="auto"/>
                      <w:sz w:val="21"/>
                      <w:szCs w:val="21"/>
                      <w:highlight w:val="none"/>
                      <w:u w:val="none"/>
                      <w:lang w:val="en-US" w:eastAsia="zh-CN" w:bidi="ar-SA"/>
                    </w:rPr>
                    <w:t>51</w:t>
                  </w:r>
                </w:p>
              </w:tc>
              <w:tc>
                <w:tcPr>
                  <w:tcW w:w="493" w:type="pct"/>
                  <w:tcBorders>
                    <w:tl2br w:val="nil"/>
                    <w:tr2bl w:val="nil"/>
                  </w:tcBorders>
                  <w:shd w:val="clear" w:color="auto" w:fill="auto"/>
                  <w:vAlign w:val="center"/>
                </w:tcPr>
                <w:p>
                  <w:pPr>
                    <w:pStyle w:val="15"/>
                    <w:bidi w:val="0"/>
                    <w:jc w:val="center"/>
                    <w:rPr>
                      <w:rFonts w:hint="default" w:ascii="Times New Roman" w:hAnsi="Times New Roman" w:eastAsia="宋体" w:cs="宋体"/>
                      <w:color w:val="auto"/>
                      <w:sz w:val="21"/>
                      <w:szCs w:val="21"/>
                      <w:highlight w:val="none"/>
                      <w:u w:val="none"/>
                      <w:lang w:val="en-US" w:eastAsia="zh-CN" w:bidi="ar-SA"/>
                    </w:rPr>
                  </w:pPr>
                  <w:r>
                    <w:rPr>
                      <w:rFonts w:hint="eastAsia" w:cs="宋体"/>
                      <w:color w:val="auto"/>
                      <w:sz w:val="21"/>
                      <w:szCs w:val="21"/>
                      <w:highlight w:val="none"/>
                      <w:u w:val="none"/>
                      <w:lang w:val="en-US" w:eastAsia="zh-CN" w:bidi="ar-SA"/>
                    </w:rPr>
                    <w:t>56</w:t>
                  </w:r>
                </w:p>
              </w:tc>
              <w:tc>
                <w:tcPr>
                  <w:tcW w:w="838" w:type="dxa"/>
                  <w:tcBorders>
                    <w:tl2br w:val="nil"/>
                    <w:tr2bl w:val="nil"/>
                  </w:tcBorders>
                  <w:vAlign w:val="center"/>
                </w:tcPr>
                <w:p>
                  <w:pPr>
                    <w:pStyle w:val="15"/>
                    <w:bidi w:val="0"/>
                    <w:ind w:firstLine="0" w:firstLineChars="0"/>
                    <w:jc w:val="center"/>
                    <w:rPr>
                      <w:rFonts w:hint="eastAsia" w:ascii="Times New Roman" w:hAnsi="Times New Roman" w:eastAsia="宋体" w:cs="宋体"/>
                      <w:color w:val="auto"/>
                      <w:sz w:val="21"/>
                      <w:szCs w:val="21"/>
                      <w:highlight w:val="none"/>
                      <w:u w:val="none"/>
                      <w:lang w:val="en-US" w:eastAsia="zh-CN" w:bidi="ar-SA"/>
                    </w:rPr>
                  </w:pPr>
                  <w:r>
                    <w:rPr>
                      <w:rFonts w:hint="eastAsia" w:ascii="Times New Roman" w:hAnsi="Times New Roman" w:eastAsia="宋体" w:cs="宋体"/>
                      <w:color w:val="auto"/>
                      <w:sz w:val="21"/>
                      <w:szCs w:val="21"/>
                      <w:highlight w:val="none"/>
                      <w:u w:val="none"/>
                      <w:lang w:val="en-US" w:eastAsia="zh-CN" w:bidi="ar-SA"/>
                    </w:rPr>
                    <w:t>70</w:t>
                  </w:r>
                </w:p>
              </w:tc>
              <w:tc>
                <w:tcPr>
                  <w:tcW w:w="860" w:type="dxa"/>
                  <w:tcBorders>
                    <w:tl2br w:val="nil"/>
                    <w:tr2bl w:val="nil"/>
                  </w:tcBorders>
                  <w:vAlign w:val="center"/>
                </w:tcPr>
                <w:p>
                  <w:pPr>
                    <w:pStyle w:val="15"/>
                    <w:bidi w:val="0"/>
                    <w:ind w:firstLine="0" w:firstLineChars="0"/>
                    <w:jc w:val="center"/>
                    <w:rPr>
                      <w:rFonts w:hint="eastAsia" w:ascii="Times New Roman" w:hAnsi="Times New Roman" w:eastAsia="宋体" w:cs="宋体"/>
                      <w:color w:val="auto"/>
                      <w:sz w:val="21"/>
                      <w:szCs w:val="21"/>
                      <w:highlight w:val="none"/>
                      <w:u w:val="none"/>
                      <w:lang w:val="en-US" w:eastAsia="zh-CN" w:bidi="ar-SA"/>
                    </w:rPr>
                  </w:pPr>
                  <w:r>
                    <w:rPr>
                      <w:rFonts w:hint="eastAsia" w:ascii="Times New Roman" w:hAnsi="Times New Roman" w:eastAsia="宋体" w:cs="宋体"/>
                      <w:color w:val="auto"/>
                      <w:sz w:val="21"/>
                      <w:szCs w:val="21"/>
                      <w:highlight w:val="none"/>
                      <w:u w:val="none"/>
                      <w:lang w:val="en-US" w:eastAsia="zh-CN" w:bidi="ar-SA"/>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89" w:type="pct"/>
                  <w:tcBorders>
                    <w:tl2br w:val="nil"/>
                    <w:tr2bl w:val="nil"/>
                  </w:tcBorders>
                  <w:vAlign w:val="center"/>
                </w:tcPr>
                <w:p>
                  <w:pPr>
                    <w:pStyle w:val="15"/>
                    <w:bidi w:val="0"/>
                    <w:ind w:firstLine="0" w:firstLineChars="0"/>
                    <w:jc w:val="center"/>
                    <w:rPr>
                      <w:rFonts w:hint="default" w:ascii="Times New Roman" w:hAnsi="Times New Roman" w:eastAsia="宋体" w:cs="Times New Roman"/>
                      <w:color w:val="auto"/>
                      <w:sz w:val="21"/>
                      <w:szCs w:val="21"/>
                      <w:highlight w:val="none"/>
                      <w:u w:val="none"/>
                      <w:lang w:val="en-US" w:eastAsia="zh-CN"/>
                    </w:rPr>
                  </w:pPr>
                  <w:r>
                    <w:rPr>
                      <w:rFonts w:hint="eastAsia" w:cs="Times New Roman"/>
                      <w:color w:val="auto"/>
                      <w:highlight w:val="none"/>
                      <w:lang w:val="en-US" w:eastAsia="zh-CN"/>
                    </w:rPr>
                    <w:t>后营坝右岸居民</w:t>
                  </w:r>
                </w:p>
              </w:tc>
              <w:tc>
                <w:tcPr>
                  <w:tcW w:w="740" w:type="pct"/>
                  <w:tcBorders>
                    <w:tl2br w:val="nil"/>
                    <w:tr2bl w:val="nil"/>
                  </w:tcBorders>
                  <w:vAlign w:val="center"/>
                </w:tcPr>
                <w:p>
                  <w:pPr>
                    <w:pStyle w:val="15"/>
                    <w:bidi w:val="0"/>
                    <w:ind w:firstLine="0" w:firstLineChars="0"/>
                    <w:rPr>
                      <w:rFonts w:hint="eastAsia" w:ascii="Times New Roman" w:hAnsi="Times New Roman" w:cs="Times New Roman"/>
                      <w:color w:val="auto"/>
                      <w:kern w:val="2"/>
                      <w:sz w:val="21"/>
                      <w:szCs w:val="21"/>
                      <w:highlight w:val="none"/>
                      <w:u w:val="none"/>
                      <w:lang w:val="en-US" w:eastAsia="zh-CN" w:bidi="ar-SA"/>
                    </w:rPr>
                  </w:pPr>
                  <w:r>
                    <w:rPr>
                      <w:rFonts w:hint="eastAsia" w:cs="Times New Roman"/>
                      <w:color w:val="auto"/>
                      <w:highlight w:val="none"/>
                      <w:lang w:val="en-US" w:eastAsia="zh-CN"/>
                    </w:rPr>
                    <w:t>10</w:t>
                  </w:r>
                </w:p>
              </w:tc>
              <w:tc>
                <w:tcPr>
                  <w:tcW w:w="838" w:type="dxa"/>
                  <w:tcBorders>
                    <w:tl2br w:val="nil"/>
                    <w:tr2bl w:val="nil"/>
                  </w:tcBorders>
                  <w:vAlign w:val="center"/>
                </w:tcPr>
                <w:p>
                  <w:pPr>
                    <w:pStyle w:val="15"/>
                    <w:bidi w:val="0"/>
                    <w:ind w:firstLine="0" w:firstLineChars="0"/>
                    <w:rPr>
                      <w:rFonts w:hint="eastAsia" w:ascii="Times New Roman" w:hAnsi="Times New Roman" w:eastAsia="宋体" w:cs="宋体"/>
                      <w:color w:val="auto"/>
                      <w:sz w:val="21"/>
                      <w:szCs w:val="21"/>
                      <w:highlight w:val="none"/>
                      <w:u w:val="none"/>
                      <w:lang w:val="en-US" w:eastAsia="zh-CN" w:bidi="ar-SA"/>
                    </w:rPr>
                  </w:pPr>
                  <w:r>
                    <w:rPr>
                      <w:rFonts w:hint="eastAsia"/>
                      <w:color w:val="auto"/>
                      <w:highlight w:val="none"/>
                      <w:lang w:val="en-US" w:eastAsia="zh-CN"/>
                    </w:rPr>
                    <w:t>86</w:t>
                  </w:r>
                </w:p>
              </w:tc>
              <w:tc>
                <w:tcPr>
                  <w:tcW w:w="493" w:type="pct"/>
                  <w:tcBorders>
                    <w:tl2br w:val="nil"/>
                    <w:tr2bl w:val="nil"/>
                  </w:tcBorders>
                  <w:vAlign w:val="center"/>
                </w:tcPr>
                <w:p>
                  <w:pPr>
                    <w:pStyle w:val="15"/>
                    <w:bidi w:val="0"/>
                    <w:jc w:val="center"/>
                    <w:rPr>
                      <w:rFonts w:hint="default" w:ascii="Times New Roman" w:hAnsi="Times New Roman" w:eastAsia="宋体" w:cs="宋体"/>
                      <w:color w:val="auto"/>
                      <w:sz w:val="21"/>
                      <w:szCs w:val="21"/>
                      <w:highlight w:val="none"/>
                      <w:u w:val="none"/>
                      <w:lang w:val="en-US" w:eastAsia="zh-CN" w:bidi="ar-SA"/>
                    </w:rPr>
                  </w:pPr>
                  <w:r>
                    <w:rPr>
                      <w:rFonts w:hint="eastAsia" w:cs="宋体"/>
                      <w:color w:val="auto"/>
                      <w:sz w:val="21"/>
                      <w:szCs w:val="21"/>
                      <w:highlight w:val="none"/>
                      <w:u w:val="none"/>
                      <w:lang w:val="en-US" w:eastAsia="zh-CN" w:bidi="ar-SA"/>
                    </w:rPr>
                    <w:t>66</w:t>
                  </w:r>
                </w:p>
              </w:tc>
              <w:tc>
                <w:tcPr>
                  <w:tcW w:w="493" w:type="pct"/>
                  <w:tcBorders>
                    <w:tl2br w:val="nil"/>
                    <w:tr2bl w:val="nil"/>
                  </w:tcBorders>
                  <w:shd w:val="clear" w:color="auto" w:fill="auto"/>
                  <w:vAlign w:val="center"/>
                </w:tcPr>
                <w:p>
                  <w:pPr>
                    <w:pStyle w:val="15"/>
                    <w:bidi w:val="0"/>
                    <w:jc w:val="center"/>
                    <w:rPr>
                      <w:rFonts w:hint="default" w:ascii="Times New Roman" w:hAnsi="Times New Roman" w:eastAsia="宋体" w:cs="宋体"/>
                      <w:color w:val="auto"/>
                      <w:sz w:val="21"/>
                      <w:szCs w:val="21"/>
                      <w:highlight w:val="none"/>
                      <w:u w:val="none"/>
                      <w:lang w:val="en-US" w:eastAsia="zh-CN" w:bidi="ar-SA"/>
                    </w:rPr>
                  </w:pPr>
                  <w:r>
                    <w:rPr>
                      <w:rFonts w:hint="eastAsia" w:cs="宋体"/>
                      <w:color w:val="auto"/>
                      <w:sz w:val="21"/>
                      <w:szCs w:val="21"/>
                      <w:highlight w:val="none"/>
                      <w:u w:val="none"/>
                      <w:lang w:val="en-US" w:eastAsia="zh-CN" w:bidi="ar-SA"/>
                    </w:rPr>
                    <w:t>53</w:t>
                  </w:r>
                </w:p>
              </w:tc>
              <w:tc>
                <w:tcPr>
                  <w:tcW w:w="493" w:type="pct"/>
                  <w:tcBorders>
                    <w:tl2br w:val="nil"/>
                    <w:tr2bl w:val="nil"/>
                  </w:tcBorders>
                  <w:shd w:val="clear" w:color="auto" w:fill="auto"/>
                  <w:vAlign w:val="center"/>
                </w:tcPr>
                <w:p>
                  <w:pPr>
                    <w:pStyle w:val="15"/>
                    <w:bidi w:val="0"/>
                    <w:jc w:val="center"/>
                    <w:rPr>
                      <w:rFonts w:hint="default" w:ascii="Times New Roman" w:hAnsi="Times New Roman" w:eastAsia="宋体" w:cs="宋体"/>
                      <w:color w:val="auto"/>
                      <w:sz w:val="21"/>
                      <w:szCs w:val="21"/>
                      <w:highlight w:val="none"/>
                      <w:u w:val="none"/>
                      <w:lang w:val="en-US" w:eastAsia="zh-CN" w:bidi="ar-SA"/>
                    </w:rPr>
                  </w:pPr>
                  <w:r>
                    <w:rPr>
                      <w:rFonts w:hint="eastAsia" w:cs="宋体"/>
                      <w:color w:val="auto"/>
                      <w:sz w:val="21"/>
                      <w:szCs w:val="21"/>
                      <w:highlight w:val="none"/>
                      <w:u w:val="none"/>
                      <w:lang w:val="en-US" w:eastAsia="zh-CN" w:bidi="ar-SA"/>
                    </w:rPr>
                    <w:t>66</w:t>
                  </w:r>
                </w:p>
              </w:tc>
              <w:tc>
                <w:tcPr>
                  <w:tcW w:w="838" w:type="dxa"/>
                  <w:tcBorders>
                    <w:tl2br w:val="nil"/>
                    <w:tr2bl w:val="nil"/>
                  </w:tcBorders>
                  <w:vAlign w:val="center"/>
                </w:tcPr>
                <w:p>
                  <w:pPr>
                    <w:pStyle w:val="15"/>
                    <w:bidi w:val="0"/>
                    <w:ind w:firstLine="0" w:firstLineChars="0"/>
                    <w:jc w:val="center"/>
                    <w:rPr>
                      <w:rFonts w:hint="eastAsia" w:ascii="Times New Roman" w:hAnsi="Times New Roman" w:eastAsia="宋体" w:cs="宋体"/>
                      <w:color w:val="auto"/>
                      <w:sz w:val="21"/>
                      <w:szCs w:val="21"/>
                      <w:highlight w:val="none"/>
                      <w:u w:val="none"/>
                      <w:lang w:val="en-US" w:eastAsia="zh-CN" w:bidi="ar-SA"/>
                    </w:rPr>
                  </w:pPr>
                  <w:r>
                    <w:rPr>
                      <w:rFonts w:hint="eastAsia" w:ascii="Times New Roman" w:hAnsi="Times New Roman" w:eastAsia="宋体" w:cs="宋体"/>
                      <w:color w:val="auto"/>
                      <w:sz w:val="21"/>
                      <w:szCs w:val="21"/>
                      <w:highlight w:val="none"/>
                      <w:u w:val="none"/>
                      <w:lang w:val="en-US" w:eastAsia="zh-CN" w:bidi="ar-SA"/>
                    </w:rPr>
                    <w:t>70</w:t>
                  </w:r>
                </w:p>
              </w:tc>
              <w:tc>
                <w:tcPr>
                  <w:tcW w:w="860" w:type="dxa"/>
                  <w:tcBorders>
                    <w:tl2br w:val="nil"/>
                    <w:tr2bl w:val="nil"/>
                  </w:tcBorders>
                  <w:vAlign w:val="center"/>
                </w:tcPr>
                <w:p>
                  <w:pPr>
                    <w:pStyle w:val="15"/>
                    <w:bidi w:val="0"/>
                    <w:ind w:firstLine="0" w:firstLineChars="0"/>
                    <w:jc w:val="center"/>
                    <w:rPr>
                      <w:rFonts w:hint="eastAsia" w:ascii="Times New Roman" w:hAnsi="Times New Roman" w:eastAsia="宋体" w:cs="宋体"/>
                      <w:color w:val="auto"/>
                      <w:sz w:val="21"/>
                      <w:szCs w:val="21"/>
                      <w:highlight w:val="none"/>
                      <w:u w:val="none"/>
                      <w:lang w:val="en-US" w:eastAsia="zh-CN" w:bidi="ar-SA"/>
                    </w:rPr>
                  </w:pPr>
                  <w:r>
                    <w:rPr>
                      <w:rFonts w:hint="eastAsia" w:ascii="Times New Roman" w:hAnsi="Times New Roman" w:eastAsia="宋体" w:cs="宋体"/>
                      <w:color w:val="auto"/>
                      <w:sz w:val="21"/>
                      <w:szCs w:val="21"/>
                      <w:highlight w:val="none"/>
                      <w:u w:val="none"/>
                      <w:lang w:val="en-US" w:eastAsia="zh-CN" w:bidi="ar-SA"/>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000" w:type="pct"/>
                  <w:gridSpan w:val="8"/>
                  <w:tcBorders>
                    <w:tl2br w:val="nil"/>
                    <w:tr2bl w:val="nil"/>
                  </w:tcBorders>
                  <w:vAlign w:val="center"/>
                </w:tcPr>
                <w:p>
                  <w:pPr>
                    <w:pStyle w:val="15"/>
                    <w:bidi w:val="0"/>
                    <w:jc w:val="center"/>
                    <w:rPr>
                      <w:rFonts w:hint="default" w:ascii="Times New Roman" w:hAnsi="Times New Roman" w:eastAsia="宋体" w:cs="宋体"/>
                      <w:color w:val="auto"/>
                      <w:sz w:val="21"/>
                      <w:szCs w:val="21"/>
                      <w:highlight w:val="none"/>
                      <w:u w:val="none"/>
                      <w:lang w:val="en-US" w:eastAsia="zh-CN" w:bidi="ar-SA"/>
                    </w:rPr>
                  </w:pPr>
                  <w:r>
                    <w:rPr>
                      <w:rFonts w:hint="eastAsia" w:ascii="Times New Roman" w:hAnsi="Times New Roman" w:eastAsia="宋体" w:cs="宋体"/>
                      <w:color w:val="auto"/>
                      <w:sz w:val="21"/>
                      <w:szCs w:val="21"/>
                      <w:highlight w:val="none"/>
                      <w:u w:val="none"/>
                      <w:lang w:val="en-US" w:eastAsia="zh-CN" w:bidi="ar-SA"/>
                    </w:rPr>
                    <w:t>注：声屏障、空气吸收等引起的衰减量取10dB（A）；背景值取监测结果最大值，项目夜间不施工。</w:t>
                  </w:r>
                </w:p>
              </w:tc>
            </w:tr>
          </w:tbl>
          <w:p>
            <w:pPr>
              <w:bidi w:val="0"/>
              <w:rPr>
                <w:rFonts w:hint="default"/>
                <w:color w:val="auto"/>
                <w:highlight w:val="none"/>
                <w:lang w:val="en-US" w:eastAsia="zh-CN"/>
              </w:rPr>
            </w:pPr>
            <w:r>
              <w:rPr>
                <w:rFonts w:hint="eastAsia"/>
                <w:color w:val="auto"/>
                <w:highlight w:val="none"/>
                <w:lang w:val="en-US" w:eastAsia="zh-CN"/>
              </w:rPr>
              <w:t>根据预测结果可知，本项目施工期对周边居民的噪声影响不会超标。</w:t>
            </w:r>
          </w:p>
          <w:p>
            <w:pPr>
              <w:bidi w:val="0"/>
              <w:rPr>
                <w:rFonts w:hint="default"/>
                <w:b/>
                <w:bCs/>
                <w:color w:val="auto"/>
                <w:highlight w:val="none"/>
                <w:lang w:val="en-US" w:eastAsia="zh-CN"/>
              </w:rPr>
            </w:pPr>
            <w:r>
              <w:rPr>
                <w:rFonts w:hint="eastAsia"/>
                <w:b/>
                <w:bCs/>
                <w:color w:val="auto"/>
                <w:highlight w:val="none"/>
                <w:lang w:val="en-US" w:eastAsia="zh-CN"/>
              </w:rPr>
              <w:t>5、固废环境影响分析</w:t>
            </w:r>
          </w:p>
          <w:p>
            <w:pPr>
              <w:bidi w:val="0"/>
              <w:rPr>
                <w:rFonts w:hint="eastAsia" w:eastAsia="宋体"/>
                <w:b w:val="0"/>
                <w:bCs w:val="0"/>
                <w:color w:val="auto"/>
                <w:highlight w:val="none"/>
                <w:u w:val="none"/>
                <w:lang w:eastAsia="zh-CN"/>
              </w:rPr>
            </w:pPr>
            <w:r>
              <w:rPr>
                <w:rFonts w:hint="default" w:ascii="Times New Roman" w:hAnsi="Times New Roman" w:eastAsia="微软雅黑" w:cs="Times New Roman"/>
                <w:b w:val="0"/>
                <w:bCs w:val="0"/>
                <w:color w:val="auto"/>
                <w:highlight w:val="none"/>
                <w:u w:val="none"/>
                <w:lang w:val="en-US" w:eastAsia="zh-CN"/>
              </w:rPr>
              <w:t>①</w:t>
            </w:r>
            <w:r>
              <w:rPr>
                <w:rFonts w:hint="eastAsia"/>
                <w:b w:val="0"/>
                <w:bCs w:val="0"/>
                <w:color w:val="auto"/>
                <w:highlight w:val="none"/>
                <w:u w:val="none"/>
                <w:lang w:val="en-US" w:eastAsia="zh-CN"/>
              </w:rPr>
              <w:t>土石方</w:t>
            </w:r>
          </w:p>
          <w:p>
            <w:pPr>
              <w:bidi w:val="0"/>
              <w:rPr>
                <w:rFonts w:hint="eastAsia" w:eastAsia="宋体" w:cs="Times New Roman"/>
                <w:color w:val="auto"/>
                <w:sz w:val="24"/>
                <w:szCs w:val="24"/>
                <w:highlight w:val="none"/>
                <w:lang w:eastAsia="zh-CN"/>
              </w:rPr>
            </w:pPr>
            <w:r>
              <w:rPr>
                <w:rFonts w:hint="eastAsia"/>
                <w:color w:val="auto"/>
                <w:highlight w:val="none"/>
                <w:lang w:val="en-US" w:eastAsia="zh-CN"/>
              </w:rPr>
              <w:t>根据初步设计资料，</w:t>
            </w:r>
            <w:r>
              <w:rPr>
                <w:rFonts w:hint="eastAsia" w:cs="Times New Roman"/>
                <w:color w:val="auto"/>
                <w:sz w:val="24"/>
                <w:szCs w:val="24"/>
                <w:highlight w:val="none"/>
                <w:lang w:val="en-US" w:eastAsia="zh-CN"/>
              </w:rPr>
              <w:t>本</w:t>
            </w:r>
            <w:r>
              <w:rPr>
                <w:rFonts w:hint="default"/>
                <w:color w:val="auto"/>
                <w:highlight w:val="none"/>
                <w:lang w:val="en-US" w:eastAsia="zh-CN"/>
              </w:rPr>
              <w:t>项目设计</w:t>
            </w:r>
            <w:r>
              <w:rPr>
                <w:color w:val="auto"/>
                <w:highlight w:val="none"/>
              </w:rPr>
              <w:t>挖土方29785m</w:t>
            </w:r>
            <w:r>
              <w:rPr>
                <w:color w:val="auto"/>
                <w:highlight w:val="none"/>
                <w:vertAlign w:val="superscript"/>
              </w:rPr>
              <w:t>3</w:t>
            </w:r>
            <w:r>
              <w:rPr>
                <w:color w:val="auto"/>
                <w:highlight w:val="none"/>
              </w:rPr>
              <w:t>，开挖石方5314m</w:t>
            </w:r>
            <w:r>
              <w:rPr>
                <w:color w:val="auto"/>
                <w:highlight w:val="none"/>
                <w:vertAlign w:val="superscript"/>
              </w:rPr>
              <w:t>3</w:t>
            </w:r>
            <w:r>
              <w:rPr>
                <w:color w:val="auto"/>
                <w:highlight w:val="none"/>
              </w:rPr>
              <w:t>，回填土方6563m</w:t>
            </w:r>
            <w:r>
              <w:rPr>
                <w:color w:val="auto"/>
                <w:highlight w:val="none"/>
                <w:vertAlign w:val="superscript"/>
              </w:rPr>
              <w:t>3</w:t>
            </w:r>
            <w:r>
              <w:rPr>
                <w:color w:val="auto"/>
                <w:highlight w:val="none"/>
              </w:rPr>
              <w:t>，经土石方平衡，累计弃渣</w:t>
            </w:r>
            <w:r>
              <w:rPr>
                <w:rFonts w:hint="eastAsia"/>
                <w:color w:val="auto"/>
                <w:highlight w:val="none"/>
                <w:lang w:val="en-US" w:eastAsia="zh-CN"/>
              </w:rPr>
              <w:t>28536</w:t>
            </w:r>
            <w:r>
              <w:rPr>
                <w:color w:val="auto"/>
                <w:highlight w:val="none"/>
              </w:rPr>
              <w:t>万m</w:t>
            </w:r>
            <w:r>
              <w:rPr>
                <w:rFonts w:hint="eastAsia"/>
                <w:color w:val="auto"/>
                <w:highlight w:val="none"/>
                <w:vertAlign w:val="superscript"/>
                <w:lang w:val="en-US" w:eastAsia="zh-CN"/>
              </w:rPr>
              <w:t>3</w:t>
            </w:r>
            <w:r>
              <w:rPr>
                <w:rFonts w:hint="eastAsia"/>
                <w:color w:val="auto"/>
                <w:highlight w:val="none"/>
                <w:lang w:eastAsia="zh-CN"/>
              </w:rPr>
              <w:t>，</w:t>
            </w:r>
            <w:r>
              <w:rPr>
                <w:color w:val="auto"/>
                <w:highlight w:val="none"/>
              </w:rPr>
              <w:t>堆放在胡家城市规划区内</w:t>
            </w:r>
            <w:r>
              <w:rPr>
                <w:rFonts w:hint="eastAsia"/>
                <w:color w:val="auto"/>
                <w:highlight w:val="none"/>
                <w:lang w:eastAsia="zh-CN"/>
              </w:rPr>
              <w:t>，</w:t>
            </w:r>
            <w:r>
              <w:rPr>
                <w:rFonts w:hint="eastAsia"/>
                <w:color w:val="auto"/>
                <w:highlight w:val="none"/>
                <w:lang w:val="en-US" w:eastAsia="zh-CN"/>
              </w:rPr>
              <w:t>经10t</w:t>
            </w:r>
            <w:r>
              <w:rPr>
                <w:rFonts w:hint="default" w:ascii="Times New Roman" w:hAnsi="Times New Roman" w:eastAsia="微软雅黑" w:cs="Times New Roman"/>
                <w:color w:val="auto"/>
                <w:highlight w:val="none"/>
                <w:lang w:val="en-US" w:eastAsia="zh-CN"/>
              </w:rPr>
              <w:t>~</w:t>
            </w:r>
            <w:r>
              <w:rPr>
                <w:rFonts w:hint="eastAsia" w:ascii="Times New Roman" w:hAnsi="Times New Roman" w:eastAsia="微软雅黑" w:cs="Times New Roman"/>
                <w:color w:val="auto"/>
                <w:highlight w:val="none"/>
                <w:lang w:val="en-US" w:eastAsia="zh-CN"/>
              </w:rPr>
              <w:t>15t</w:t>
            </w:r>
            <w:r>
              <w:rPr>
                <w:rFonts w:hint="eastAsia" w:ascii="宋体" w:hAnsi="宋体" w:eastAsia="宋体" w:cs="宋体"/>
                <w:color w:val="auto"/>
                <w:highlight w:val="none"/>
                <w:lang w:val="en-US" w:eastAsia="zh-CN"/>
              </w:rPr>
              <w:t>自卸汽车运输至</w:t>
            </w:r>
            <w:r>
              <w:rPr>
                <w:color w:val="auto"/>
                <w:highlight w:val="none"/>
              </w:rPr>
              <w:t>胡家城市规划区内</w:t>
            </w:r>
            <w:r>
              <w:rPr>
                <w:rFonts w:hint="eastAsia"/>
                <w:color w:val="auto"/>
                <w:highlight w:val="none"/>
                <w:lang w:eastAsia="zh-CN"/>
              </w:rPr>
              <w:t>，</w:t>
            </w:r>
            <w:r>
              <w:rPr>
                <w:rFonts w:hint="eastAsia"/>
                <w:color w:val="auto"/>
                <w:highlight w:val="none"/>
                <w:lang w:val="en-US" w:eastAsia="zh-CN"/>
              </w:rPr>
              <w:t>平均</w:t>
            </w:r>
            <w:r>
              <w:rPr>
                <w:color w:val="auto"/>
                <w:spacing w:val="4"/>
                <w:highlight w:val="none"/>
              </w:rPr>
              <w:t>运距</w:t>
            </w:r>
            <w:r>
              <w:rPr>
                <w:rFonts w:ascii="Times New Roman" w:hAnsi="Times New Roman" w:eastAsia="Times New Roman" w:cs="Times New Roman"/>
                <w:color w:val="auto"/>
                <w:spacing w:val="4"/>
                <w:sz w:val="24"/>
                <w:szCs w:val="24"/>
                <w:highlight w:val="none"/>
              </w:rPr>
              <w:t>1.0</w:t>
            </w:r>
            <w:r>
              <w:rPr>
                <w:rFonts w:ascii="Times New Roman" w:hAnsi="Times New Roman" w:eastAsia="Times New Roman" w:cs="Times New Roman"/>
                <w:color w:val="auto"/>
                <w:sz w:val="24"/>
                <w:szCs w:val="24"/>
                <w:highlight w:val="none"/>
              </w:rPr>
              <w:t>km</w:t>
            </w:r>
            <w:r>
              <w:rPr>
                <w:rFonts w:hint="eastAsia" w:eastAsia="宋体" w:cs="Times New Roman"/>
                <w:color w:val="auto"/>
                <w:sz w:val="24"/>
                <w:szCs w:val="24"/>
                <w:highlight w:val="none"/>
                <w:lang w:eastAsia="zh-CN"/>
              </w:rPr>
              <w:t>。</w:t>
            </w:r>
          </w:p>
          <w:p>
            <w:pPr>
              <w:bidi w:val="0"/>
              <w:rPr>
                <w:rFonts w:hint="default"/>
                <w:color w:val="auto"/>
                <w:highlight w:val="none"/>
                <w:lang w:val="en-US" w:eastAsia="zh-CN"/>
              </w:rPr>
            </w:pPr>
            <w:r>
              <w:rPr>
                <w:rFonts w:hint="default"/>
                <w:color w:val="auto"/>
                <w:highlight w:val="none"/>
                <w:lang w:val="en-US" w:eastAsia="zh-CN"/>
              </w:rPr>
              <w:t>②建筑垃圾</w:t>
            </w:r>
          </w:p>
          <w:p>
            <w:pPr>
              <w:bidi w:val="0"/>
              <w:rPr>
                <w:rFonts w:hint="eastAsia"/>
                <w:color w:val="auto"/>
                <w:highlight w:val="none"/>
                <w:u w:val="none"/>
              </w:rPr>
            </w:pPr>
            <w:r>
              <w:rPr>
                <w:rFonts w:hint="eastAsia"/>
                <w:color w:val="auto"/>
                <w:highlight w:val="none"/>
                <w:u w:val="none"/>
              </w:rPr>
              <w:t>项目建筑垃圾主要来自施工作业，包括砂石、石块、水泥、废木料、废钢筋等杂物，</w:t>
            </w:r>
            <w:r>
              <w:rPr>
                <w:color w:val="auto"/>
                <w:highlight w:val="none"/>
                <w:u w:val="none"/>
              </w:rPr>
              <w:t>如不及时处理不仅有碍观瞻，影响景观，且在遇大风及干燥天气时将产生扬尘。</w:t>
            </w:r>
            <w:r>
              <w:rPr>
                <w:rFonts w:hint="eastAsia"/>
                <w:color w:val="auto"/>
                <w:highlight w:val="none"/>
                <w:u w:val="none"/>
              </w:rPr>
              <w:t>施工生产的废料首先应考虑废料的回收利用，对钢筋、钢板、木材等</w:t>
            </w:r>
            <w:r>
              <w:rPr>
                <w:rFonts w:hint="eastAsia"/>
                <w:color w:val="auto"/>
                <w:highlight w:val="none"/>
                <w:u w:val="none"/>
                <w:lang w:eastAsia="zh-CN"/>
              </w:rPr>
              <w:t>下脚料</w:t>
            </w:r>
            <w:r>
              <w:rPr>
                <w:rFonts w:hint="eastAsia"/>
                <w:color w:val="auto"/>
                <w:highlight w:val="none"/>
                <w:u w:val="none"/>
              </w:rPr>
              <w:t>可分类回收，交废物收购站处理；对不能回收的建筑垃圾，如混凝土废料、含砖、砂石等及时清运到政府部门指定的建筑垃圾堆放场，严禁随意倾倒、填埋，从而可以避免工程废料造成二次污染。</w:t>
            </w:r>
          </w:p>
          <w:p>
            <w:pPr>
              <w:bidi w:val="0"/>
              <w:rPr>
                <w:rFonts w:hint="eastAsia"/>
                <w:b w:val="0"/>
                <w:bCs w:val="0"/>
                <w:color w:val="auto"/>
                <w:highlight w:val="none"/>
                <w:u w:val="none"/>
              </w:rPr>
            </w:pPr>
            <w:r>
              <w:rPr>
                <w:rFonts w:hint="default" w:ascii="Times New Roman" w:hAnsi="Times New Roman" w:cs="Times New Roman"/>
                <w:b w:val="0"/>
                <w:bCs w:val="0"/>
                <w:color w:val="auto"/>
                <w:sz w:val="24"/>
                <w:szCs w:val="32"/>
                <w:highlight w:val="none"/>
                <w:u w:val="none"/>
              </w:rPr>
              <w:t>③</w:t>
            </w:r>
            <w:r>
              <w:rPr>
                <w:rFonts w:hint="eastAsia"/>
                <w:b w:val="0"/>
                <w:bCs w:val="0"/>
                <w:color w:val="auto"/>
                <w:highlight w:val="none"/>
                <w:u w:val="none"/>
              </w:rPr>
              <w:t>生活垃圾</w:t>
            </w:r>
          </w:p>
          <w:p>
            <w:pPr>
              <w:bidi w:val="0"/>
              <w:rPr>
                <w:rFonts w:hint="eastAsia"/>
                <w:color w:val="auto"/>
                <w:highlight w:val="none"/>
                <w:u w:val="none"/>
                <w:lang w:eastAsia="zh-CN"/>
              </w:rPr>
            </w:pPr>
            <w:r>
              <w:rPr>
                <w:color w:val="auto"/>
                <w:highlight w:val="none"/>
                <w:u w:val="none"/>
              </w:rPr>
              <w:t>根据施工组织设计</w:t>
            </w:r>
            <w:r>
              <w:rPr>
                <w:rFonts w:hint="eastAsia"/>
                <w:color w:val="auto"/>
                <w:highlight w:val="none"/>
                <w:u w:val="none"/>
                <w:lang w:eastAsia="zh-CN"/>
              </w:rPr>
              <w:t>，</w:t>
            </w:r>
            <w:r>
              <w:rPr>
                <w:rFonts w:hint="eastAsia"/>
                <w:color w:val="auto"/>
                <w:highlight w:val="none"/>
                <w:u w:val="none"/>
                <w:lang w:val="en-US" w:eastAsia="zh-CN"/>
              </w:rPr>
              <w:t>总工期7个月，</w:t>
            </w:r>
            <w:r>
              <w:rPr>
                <w:rFonts w:hint="eastAsia"/>
                <w:color w:val="auto"/>
                <w:highlight w:val="none"/>
                <w:u w:val="none"/>
              </w:rPr>
              <w:t>施工高峰期施工人员约</w:t>
            </w:r>
            <w:r>
              <w:rPr>
                <w:rFonts w:hint="eastAsia"/>
                <w:color w:val="auto"/>
                <w:highlight w:val="none"/>
                <w:u w:val="none"/>
                <w:lang w:val="en-US" w:eastAsia="zh-CN"/>
              </w:rPr>
              <w:t>54</w:t>
            </w:r>
            <w:r>
              <w:rPr>
                <w:rFonts w:hint="eastAsia"/>
                <w:color w:val="auto"/>
                <w:highlight w:val="none"/>
                <w:u w:val="none"/>
              </w:rPr>
              <w:t>人，产生的生活垃圾按</w:t>
            </w:r>
            <w:r>
              <w:rPr>
                <w:rFonts w:hint="eastAsia"/>
                <w:color w:val="auto"/>
                <w:highlight w:val="none"/>
                <w:u w:val="none"/>
                <w:lang w:val="en-US" w:eastAsia="zh-CN"/>
              </w:rPr>
              <w:t>0.7</w:t>
            </w:r>
            <w:r>
              <w:rPr>
                <w:color w:val="auto"/>
                <w:highlight w:val="none"/>
                <w:u w:val="none"/>
              </w:rPr>
              <w:t>kg/</w:t>
            </w:r>
            <w:r>
              <w:rPr>
                <w:rFonts w:hint="eastAsia"/>
                <w:color w:val="auto"/>
                <w:highlight w:val="none"/>
                <w:u w:val="none"/>
              </w:rPr>
              <w:t>（人·</w:t>
            </w:r>
            <w:r>
              <w:rPr>
                <w:color w:val="auto"/>
                <w:highlight w:val="none"/>
                <w:u w:val="none"/>
              </w:rPr>
              <w:t>d</w:t>
            </w:r>
            <w:r>
              <w:rPr>
                <w:rFonts w:hint="eastAsia"/>
                <w:color w:val="auto"/>
                <w:highlight w:val="none"/>
                <w:u w:val="none"/>
              </w:rPr>
              <w:t>）计算，垃圾产生量为</w:t>
            </w:r>
            <w:r>
              <w:rPr>
                <w:rFonts w:hint="eastAsia"/>
                <w:color w:val="auto"/>
                <w:highlight w:val="none"/>
                <w:u w:val="none"/>
                <w:lang w:val="en-US" w:eastAsia="zh-CN"/>
              </w:rPr>
              <w:t>37.8</w:t>
            </w:r>
            <w:r>
              <w:rPr>
                <w:color w:val="auto"/>
                <w:highlight w:val="none"/>
                <w:u w:val="none"/>
              </w:rPr>
              <w:t>kg/d</w:t>
            </w:r>
            <w:r>
              <w:rPr>
                <w:rFonts w:hint="eastAsia"/>
                <w:color w:val="auto"/>
                <w:highlight w:val="none"/>
                <w:u w:val="none"/>
              </w:rPr>
              <w:t>。</w:t>
            </w:r>
            <w:r>
              <w:rPr>
                <w:color w:val="auto"/>
                <w:highlight w:val="none"/>
                <w:u w:val="none"/>
              </w:rPr>
              <w:t>主体工程施工期共产生生活垃圾</w:t>
            </w:r>
            <w:r>
              <w:rPr>
                <w:rFonts w:hint="eastAsia"/>
                <w:color w:val="auto"/>
                <w:highlight w:val="none"/>
                <w:u w:val="none"/>
                <w:lang w:val="en-US" w:eastAsia="zh-CN"/>
              </w:rPr>
              <w:t>7.94</w:t>
            </w:r>
            <w:r>
              <w:rPr>
                <w:color w:val="auto"/>
                <w:highlight w:val="none"/>
                <w:u w:val="none"/>
              </w:rPr>
              <w:t>吨左右</w:t>
            </w:r>
            <w:r>
              <w:rPr>
                <w:rFonts w:hint="eastAsia"/>
                <w:color w:val="auto"/>
                <w:highlight w:val="none"/>
                <w:u w:val="none"/>
                <w:lang w:eastAsia="zh-CN"/>
              </w:rPr>
              <w:t>。</w:t>
            </w:r>
          </w:p>
          <w:p>
            <w:pPr>
              <w:bidi w:val="0"/>
              <w:rPr>
                <w:rFonts w:hint="eastAsia"/>
                <w:color w:val="auto"/>
                <w:highlight w:val="none"/>
                <w:u w:val="none"/>
              </w:rPr>
            </w:pPr>
            <w:r>
              <w:rPr>
                <w:rFonts w:hint="eastAsia"/>
                <w:color w:val="auto"/>
                <w:highlight w:val="none"/>
                <w:u w:val="none"/>
              </w:rPr>
              <w:t>施工人员每日产生的生活垃圾经袋装收集，由环卫部门统一运送到垃圾处理场集中处理，不会对当地环境产生影响。</w:t>
            </w:r>
          </w:p>
          <w:p>
            <w:pPr>
              <w:bidi w:val="0"/>
              <w:rPr>
                <w:rFonts w:hint="eastAsia"/>
                <w:color w:val="auto"/>
                <w:highlight w:val="none"/>
                <w:lang w:val="en-US" w:eastAsia="zh-CN"/>
              </w:rPr>
            </w:pPr>
            <w:r>
              <w:rPr>
                <w:rFonts w:hint="eastAsia"/>
                <w:color w:val="auto"/>
                <w:highlight w:val="none"/>
                <w:lang w:val="en-US" w:eastAsia="zh-CN"/>
              </w:rPr>
              <w:t>④沉淀池污泥</w:t>
            </w:r>
          </w:p>
          <w:p>
            <w:pPr>
              <w:bidi w:val="0"/>
              <w:rPr>
                <w:rFonts w:hint="eastAsia"/>
                <w:color w:val="auto"/>
                <w:highlight w:val="none"/>
                <w:u w:val="none"/>
              </w:rPr>
            </w:pPr>
            <w:r>
              <w:rPr>
                <w:rFonts w:hint="eastAsia"/>
                <w:color w:val="auto"/>
                <w:highlight w:val="none"/>
                <w:lang w:val="en-US" w:eastAsia="zh-CN"/>
              </w:rPr>
              <w:t>本项目混凝土拌合及砼浇筑系统清洗废水、防洪堤基坑排水、车辆机械冲洗废水都经沉淀池处理，处理过程中废水中的悬浮物沉淀至沉砂池底部形成污泥，污泥产生量较少，可用于建筑砂浆回用。</w:t>
            </w:r>
          </w:p>
          <w:p>
            <w:pPr>
              <w:bidi w:val="0"/>
              <w:rPr>
                <w:rFonts w:hint="default"/>
                <w:color w:val="auto"/>
                <w:highlight w:val="none"/>
                <w:lang w:val="en-US" w:eastAsia="zh-CN"/>
              </w:rPr>
            </w:pPr>
            <w:r>
              <w:rPr>
                <w:rFonts w:hint="eastAsia"/>
                <w:b/>
                <w:bCs/>
                <w:color w:val="auto"/>
                <w:highlight w:val="none"/>
                <w:u w:val="none"/>
              </w:rPr>
              <w:t>综上所述，项目施工期在严格落实相关环保措施之后，</w:t>
            </w:r>
            <w:r>
              <w:rPr>
                <w:rFonts w:hint="eastAsia"/>
                <w:b/>
                <w:bCs/>
                <w:color w:val="auto"/>
                <w:highlight w:val="none"/>
                <w:u w:val="none"/>
                <w:lang w:val="en-US" w:eastAsia="zh-CN"/>
              </w:rPr>
              <w:t>工程对其生态环境影响较小。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c>
          <w:tcPr>
            <w:tcW w:w="475" w:type="dxa"/>
            <w:tcBorders>
              <w:tl2br w:val="nil"/>
              <w:tr2bl w:val="nil"/>
            </w:tcBorders>
            <w:vAlign w:val="center"/>
          </w:tcPr>
          <w:p>
            <w:pPr>
              <w:ind w:left="0" w:leftChars="0" w:firstLine="0" w:firstLineChars="0"/>
              <w:jc w:val="both"/>
              <w:rPr>
                <w:rFonts w:hint="default" w:ascii="Times New Roman" w:hAnsi="Times New Roman" w:cs="Times New Roman"/>
                <w:bCs/>
                <w:color w:val="auto"/>
                <w:spacing w:val="10"/>
                <w:kern w:val="2"/>
                <w:sz w:val="21"/>
                <w:szCs w:val="21"/>
                <w:highlight w:val="none"/>
              </w:rPr>
            </w:pPr>
            <w:r>
              <w:rPr>
                <w:rFonts w:hint="eastAsia" w:cs="宋体"/>
                <w:bCs/>
                <w:color w:val="auto"/>
                <w:spacing w:val="10"/>
                <w:kern w:val="2"/>
                <w:sz w:val="24"/>
                <w:szCs w:val="24"/>
                <w:highlight w:val="none"/>
              </w:rPr>
              <w:t>运营期生态环境影响分析</w:t>
            </w:r>
          </w:p>
        </w:tc>
        <w:tc>
          <w:tcPr>
            <w:tcW w:w="8714" w:type="dxa"/>
            <w:tcBorders>
              <w:tl2br w:val="nil"/>
              <w:tr2bl w:val="nil"/>
            </w:tcBorders>
          </w:tcPr>
          <w:p>
            <w:pPr>
              <w:numPr>
                <w:ilvl w:val="0"/>
                <w:numId w:val="10"/>
              </w:numPr>
              <w:bidi w:val="0"/>
              <w:rPr>
                <w:rFonts w:hint="default"/>
                <w:b/>
                <w:bCs/>
                <w:color w:val="auto"/>
                <w:highlight w:val="none"/>
                <w:lang w:val="en-US" w:eastAsia="zh-CN"/>
              </w:rPr>
            </w:pPr>
            <w:r>
              <w:rPr>
                <w:rFonts w:hint="default"/>
                <w:b/>
                <w:bCs/>
                <w:color w:val="auto"/>
                <w:highlight w:val="none"/>
                <w:lang w:val="en-US" w:eastAsia="zh-CN"/>
              </w:rPr>
              <w:t>运营期对生态环境的影响</w:t>
            </w:r>
          </w:p>
          <w:p>
            <w:pPr>
              <w:bidi w:val="0"/>
              <w:rPr>
                <w:rFonts w:hint="default"/>
                <w:b/>
                <w:bCs/>
                <w:color w:val="auto"/>
                <w:highlight w:val="none"/>
                <w:lang w:val="en-US" w:eastAsia="zh-CN"/>
              </w:rPr>
            </w:pPr>
            <w:r>
              <w:rPr>
                <w:rFonts w:hint="default"/>
                <w:b/>
                <w:bCs/>
                <w:color w:val="auto"/>
                <w:highlight w:val="none"/>
                <w:lang w:val="en-US" w:eastAsia="zh-CN"/>
              </w:rPr>
              <w:t>（1）对陆生生态的影响</w:t>
            </w:r>
          </w:p>
          <w:p>
            <w:pPr>
              <w:bidi w:val="0"/>
              <w:rPr>
                <w:rFonts w:hint="eastAsia"/>
                <w:color w:val="auto"/>
                <w:highlight w:val="none"/>
                <w:lang w:val="en-US" w:eastAsia="zh-CN"/>
              </w:rPr>
            </w:pPr>
            <w:r>
              <w:rPr>
                <w:rFonts w:hint="eastAsia"/>
                <w:color w:val="auto"/>
                <w:highlight w:val="none"/>
                <w:lang w:val="en-US" w:eastAsia="zh-CN"/>
              </w:rPr>
              <w:t>本项目建成后，主要是原有陆生生态变化较大，主要是工程占地范围内用地性质由原有水浇地、内陆滩涂等变为水利设施用地，用地的原有植被，主要是灌木、少量乔木被绿化植草护坡所替代，减少了部分陆生动物、鸟类、两栖、爬行动物的栖息地，但本项目区域生物量不大，本项目建成后，区域内的陆生生物会向周围其他生态环境迁徙。本项目的建成初期可能导致区域部分陆生动物数量减少，但很快会得到恢复，重新实现生态平衡。</w:t>
            </w:r>
          </w:p>
          <w:p>
            <w:pPr>
              <w:bidi w:val="0"/>
              <w:rPr>
                <w:rFonts w:hint="default"/>
                <w:b/>
                <w:bCs/>
                <w:color w:val="auto"/>
                <w:highlight w:val="none"/>
                <w:lang w:val="en-US" w:eastAsia="zh-CN"/>
              </w:rPr>
            </w:pPr>
            <w:r>
              <w:rPr>
                <w:rFonts w:hint="eastAsia"/>
                <w:b/>
                <w:bCs/>
                <w:color w:val="auto"/>
                <w:highlight w:val="none"/>
                <w:lang w:val="en-US" w:eastAsia="zh-CN"/>
              </w:rPr>
              <w:t>（2）对水生生态的影响</w:t>
            </w:r>
          </w:p>
          <w:p>
            <w:pPr>
              <w:bidi w:val="0"/>
              <w:rPr>
                <w:rFonts w:hint="eastAsia"/>
                <w:color w:val="auto"/>
                <w:highlight w:val="none"/>
                <w:lang w:val="en-US" w:eastAsia="zh-CN"/>
              </w:rPr>
            </w:pPr>
            <w:r>
              <w:rPr>
                <w:rFonts w:hint="eastAsia"/>
                <w:color w:val="auto"/>
                <w:highlight w:val="none"/>
                <w:lang w:val="en-US" w:eastAsia="zh-CN"/>
              </w:rPr>
              <w:t>本项目对两岸沿线河道占用面积较小，项目建成前后河道水域面积不变。本项目建成后，主要会改变沿线两岸岸边底栖生物、岸边水生植物的生存环境，对河道鱼类的生产环境几乎无影响。本项目的实施会改善堤防两岸抗冲击能力，相对于原有河道，本项目建成后，可保证河道行洪顺畅、洪水冲击减缓，对于岸边水生生物而言，会提供更加稳定的生存环境，虽然本项目的实施在短期会减少沿线水生生物量，但项目建成后，随着生态环境逐渐恢复、水生生态环境逐步稳定，上述不利影响将会很快得到恢复。</w:t>
            </w:r>
          </w:p>
          <w:p>
            <w:pPr>
              <w:bidi w:val="0"/>
              <w:rPr>
                <w:rFonts w:hint="default"/>
                <w:b/>
                <w:bCs/>
                <w:color w:val="auto"/>
                <w:highlight w:val="none"/>
                <w:lang w:val="en-US" w:eastAsia="zh-CN"/>
              </w:rPr>
            </w:pPr>
            <w:r>
              <w:rPr>
                <w:rFonts w:hint="eastAsia"/>
                <w:b/>
                <w:bCs/>
                <w:color w:val="auto"/>
                <w:highlight w:val="none"/>
                <w:lang w:val="en-US" w:eastAsia="zh-CN"/>
              </w:rPr>
              <w:t>2、运营期对水文情势的影响</w:t>
            </w:r>
          </w:p>
          <w:p>
            <w:pPr>
              <w:bidi w:val="0"/>
              <w:rPr>
                <w:rFonts w:hint="default"/>
                <w:b/>
                <w:bCs/>
                <w:color w:val="auto"/>
                <w:highlight w:val="none"/>
                <w:lang w:val="en-US" w:eastAsia="zh-CN"/>
              </w:rPr>
            </w:pPr>
            <w:r>
              <w:rPr>
                <w:rFonts w:hint="eastAsia"/>
                <w:b/>
                <w:bCs/>
                <w:color w:val="auto"/>
                <w:highlight w:val="none"/>
                <w:lang w:val="en-US" w:eastAsia="zh-CN"/>
              </w:rPr>
              <w:t>（1）对河势稳定和行洪的影响</w:t>
            </w:r>
          </w:p>
          <w:p>
            <w:pPr>
              <w:bidi w:val="0"/>
              <w:rPr>
                <w:rFonts w:hint="default"/>
                <w:color w:val="auto"/>
                <w:highlight w:val="none"/>
                <w:lang w:val="en-US" w:eastAsia="zh-CN"/>
              </w:rPr>
            </w:pPr>
            <w:r>
              <w:rPr>
                <w:rFonts w:hint="eastAsia"/>
                <w:color w:val="auto"/>
                <w:highlight w:val="none"/>
                <w:lang w:val="en-US" w:eastAsia="zh-CN"/>
              </w:rPr>
              <w:t>本项目</w:t>
            </w:r>
            <w:r>
              <w:rPr>
                <w:color w:val="auto"/>
                <w:highlight w:val="none"/>
              </w:rPr>
              <w:t>堤</w:t>
            </w:r>
            <w:r>
              <w:rPr>
                <w:rFonts w:hint="eastAsia"/>
                <w:color w:val="auto"/>
                <w:highlight w:val="none"/>
              </w:rPr>
              <w:t>线</w:t>
            </w:r>
            <w:r>
              <w:rPr>
                <w:color w:val="auto"/>
                <w:highlight w:val="none"/>
              </w:rPr>
              <w:t>基本上是沿原岸线布置，堤线未侵占行洪断面，大部分河段为天然河岸，堤防建成后维持了现状行洪河道的基本格局。</w:t>
            </w:r>
            <w:r>
              <w:rPr>
                <w:rFonts w:hint="default"/>
                <w:color w:val="auto"/>
                <w:highlight w:val="none"/>
                <w:lang w:val="en-US" w:eastAsia="zh-CN"/>
              </w:rPr>
              <w:t>工程对河道进行了清理，增加河道的行洪能力，对河道的水位、流量、流速基本没有影响。防洪堤建成后，由于防洪堤的抗冲性能较强，对岸坡起到保护作用，更有利于河势的稳定。</w:t>
            </w:r>
          </w:p>
          <w:p>
            <w:pPr>
              <w:bidi w:val="0"/>
              <w:rPr>
                <w:rFonts w:hint="default"/>
                <w:color w:val="auto"/>
                <w:highlight w:val="none"/>
                <w:lang w:val="en-US" w:eastAsia="zh-CN"/>
              </w:rPr>
            </w:pPr>
            <w:r>
              <w:rPr>
                <w:rFonts w:hint="default"/>
                <w:color w:val="auto"/>
                <w:highlight w:val="none"/>
                <w:lang w:val="en-US" w:eastAsia="zh-CN"/>
              </w:rPr>
              <w:t>河道经过防洪堤建设和整治，水流顺畅，河道行洪顶冲段消除，改变了洪水原有的流态，洪水主流沿河道中泓线顺畅宣泄，减少了对两岸防洪堤护坡的冲击，稳定了河势，有利于河段河槽的再造和行洪安全。</w:t>
            </w:r>
          </w:p>
          <w:p>
            <w:pPr>
              <w:bidi w:val="0"/>
              <w:rPr>
                <w:rFonts w:hint="default"/>
                <w:b/>
                <w:bCs/>
                <w:color w:val="auto"/>
                <w:highlight w:val="none"/>
                <w:lang w:val="en-US" w:eastAsia="zh-CN"/>
              </w:rPr>
            </w:pPr>
            <w:r>
              <w:rPr>
                <w:rFonts w:hint="eastAsia"/>
                <w:b/>
                <w:bCs/>
                <w:color w:val="auto"/>
                <w:highlight w:val="none"/>
                <w:lang w:val="en-US" w:eastAsia="zh-CN"/>
              </w:rPr>
              <w:t>（2）对水位的影响</w:t>
            </w:r>
          </w:p>
          <w:p>
            <w:pPr>
              <w:bidi w:val="0"/>
              <w:rPr>
                <w:rFonts w:hint="default"/>
                <w:color w:val="auto"/>
                <w:highlight w:val="none"/>
                <w:lang w:val="en-US" w:eastAsia="zh-CN"/>
              </w:rPr>
            </w:pPr>
            <w:r>
              <w:rPr>
                <w:rFonts w:hint="eastAsia"/>
                <w:color w:val="auto"/>
                <w:highlight w:val="none"/>
                <w:lang w:val="en-US" w:eastAsia="zh-CN"/>
              </w:rPr>
              <w:t>本项目对河道占用面积较小，对河道水位的影响不大，且本项目设计水位高于常年水位，非汛期对水位几乎无影响。在洪水期可能会导致水位较原河道有所上升，但本项目建设</w:t>
            </w:r>
            <w:r>
              <w:rPr>
                <w:rFonts w:hint="eastAsia"/>
                <w:color w:val="auto"/>
                <w:highlight w:val="none"/>
                <w:lang w:val="zh-CN"/>
              </w:rPr>
              <w:t>排涝建筑物</w:t>
            </w:r>
            <w:r>
              <w:rPr>
                <w:rFonts w:hint="eastAsia"/>
                <w:color w:val="auto"/>
                <w:highlight w:val="none"/>
              </w:rPr>
              <w:t>4</w:t>
            </w:r>
            <w:r>
              <w:rPr>
                <w:rFonts w:hint="eastAsia"/>
                <w:color w:val="auto"/>
                <w:highlight w:val="none"/>
                <w:lang w:val="zh-CN"/>
              </w:rPr>
              <w:t>处，</w:t>
            </w:r>
            <w:r>
              <w:rPr>
                <w:rFonts w:hint="eastAsia"/>
                <w:color w:val="auto"/>
                <w:highlight w:val="none"/>
                <w:lang w:val="en-US" w:eastAsia="zh-CN"/>
              </w:rPr>
              <w:t>可实现水位调节的作用。因此，总体而言，本项目对河道水位影响轻微。</w:t>
            </w:r>
          </w:p>
          <w:p>
            <w:pPr>
              <w:bidi w:val="0"/>
              <w:rPr>
                <w:rFonts w:hint="default"/>
                <w:b/>
                <w:bCs/>
                <w:color w:val="auto"/>
                <w:highlight w:val="none"/>
                <w:lang w:val="en-US" w:eastAsia="zh-CN"/>
              </w:rPr>
            </w:pPr>
            <w:r>
              <w:rPr>
                <w:rFonts w:hint="eastAsia"/>
                <w:b/>
                <w:bCs/>
                <w:color w:val="auto"/>
                <w:highlight w:val="none"/>
                <w:lang w:val="en-US" w:eastAsia="zh-CN"/>
              </w:rPr>
              <w:t>3）泥沙情势的影响</w:t>
            </w:r>
          </w:p>
          <w:p>
            <w:pPr>
              <w:bidi w:val="0"/>
              <w:rPr>
                <w:rFonts w:hint="default"/>
                <w:color w:val="auto"/>
                <w:highlight w:val="none"/>
                <w:lang w:val="en-US" w:eastAsia="zh-CN"/>
              </w:rPr>
            </w:pPr>
            <w:r>
              <w:rPr>
                <w:color w:val="auto"/>
                <w:highlight w:val="none"/>
              </w:rPr>
              <w:t>项目区上游河段岸坡较陡，田少坡多，植被覆盖好，河流输沙已逐渐趋于天然状态，泥沙主要来源于雨水冲刷地表，主要集中在汛期及大洪水期。经分析，工程河段多年平均泥沙总量为1.85万t，其中多年平均悬移质输沙量为1.61万t</w:t>
            </w:r>
            <w:r>
              <w:rPr>
                <w:rFonts w:hint="eastAsia"/>
                <w:color w:val="auto"/>
                <w:highlight w:val="none"/>
                <w:lang w:eastAsia="zh-CN"/>
              </w:rPr>
              <w:t>，</w:t>
            </w:r>
            <w:r>
              <w:rPr>
                <w:color w:val="auto"/>
                <w:highlight w:val="none"/>
              </w:rPr>
              <w:t>多年平均推移质输沙量为0.24万t。</w:t>
            </w:r>
            <w:r>
              <w:rPr>
                <w:rFonts w:hint="eastAsia"/>
                <w:color w:val="auto"/>
                <w:highlight w:val="none"/>
                <w:lang w:val="en-US" w:eastAsia="zh-CN"/>
              </w:rPr>
              <w:t>本项目建成后，河道两岸结构形式发生改变，本项目能够减少河水对两岸的冲刷，河道泥沙会减少，减少下游冲淤。因此，总体而言，本项目的建设会减少区域河段</w:t>
            </w:r>
            <w:r>
              <w:rPr>
                <w:rFonts w:hint="default"/>
                <w:color w:val="auto"/>
                <w:highlight w:val="none"/>
                <w:lang w:val="en-US" w:eastAsia="zh-CN"/>
              </w:rPr>
              <w:t>输沙量</w:t>
            </w:r>
            <w:r>
              <w:rPr>
                <w:rFonts w:hint="eastAsia"/>
                <w:color w:val="auto"/>
                <w:highlight w:val="none"/>
                <w:lang w:val="en-US" w:eastAsia="zh-CN"/>
              </w:rPr>
              <w:t>，对河道泥沙情势有正效益。</w:t>
            </w:r>
          </w:p>
          <w:p>
            <w:pPr>
              <w:bidi w:val="0"/>
              <w:rPr>
                <w:rFonts w:hint="default"/>
                <w:b/>
                <w:bCs/>
                <w:color w:val="auto"/>
                <w:highlight w:val="none"/>
                <w:lang w:val="en-US" w:eastAsia="zh-CN"/>
              </w:rPr>
            </w:pPr>
            <w:r>
              <w:rPr>
                <w:rFonts w:hint="eastAsia"/>
                <w:b/>
                <w:bCs/>
                <w:color w:val="auto"/>
                <w:highlight w:val="none"/>
                <w:lang w:val="en-US" w:eastAsia="zh-CN"/>
              </w:rPr>
              <w:t>（4）对水温的影响</w:t>
            </w:r>
          </w:p>
          <w:p>
            <w:pPr>
              <w:bidi w:val="0"/>
              <w:rPr>
                <w:rFonts w:hint="default"/>
                <w:color w:val="auto"/>
                <w:highlight w:val="none"/>
                <w:lang w:val="en-US" w:eastAsia="zh-CN"/>
              </w:rPr>
            </w:pPr>
            <w:r>
              <w:rPr>
                <w:rFonts w:hint="eastAsia"/>
                <w:color w:val="auto"/>
                <w:highlight w:val="none"/>
                <w:lang w:val="en-US" w:eastAsia="zh-CN"/>
              </w:rPr>
              <w:t>水温的变化主要与太阳辐射、库容、来水量、水库调节方式等制约。本项目设计水位高于常年水位，非汛期对水位几乎无影响。在洪水期可能会导致水位较原河道有所上升，但</w:t>
            </w:r>
            <w:r>
              <w:rPr>
                <w:rFonts w:hint="default"/>
                <w:color w:val="auto"/>
                <w:highlight w:val="none"/>
                <w:lang w:val="en-US" w:eastAsia="zh-CN"/>
              </w:rPr>
              <w:t>河道经过防洪堤建设和整治，水流顺畅</w:t>
            </w:r>
            <w:r>
              <w:rPr>
                <w:rFonts w:hint="eastAsia"/>
                <w:color w:val="auto"/>
                <w:highlight w:val="none"/>
                <w:lang w:val="en-US" w:eastAsia="zh-CN"/>
              </w:rPr>
              <w:t>，可实现水温调节的作用，因此，在本工程段不会形成库容。因此，本项目的建设对水温无影响。</w:t>
            </w:r>
          </w:p>
          <w:p>
            <w:pPr>
              <w:bidi w:val="0"/>
              <w:rPr>
                <w:rFonts w:hint="eastAsia"/>
                <w:color w:val="auto"/>
                <w:highlight w:val="none"/>
                <w:lang w:val="en-US" w:eastAsia="zh-CN"/>
              </w:rPr>
            </w:pPr>
            <w:r>
              <w:rPr>
                <w:rFonts w:hint="default" w:ascii="Times New Roman" w:hAnsi="Times New Roman" w:cs="Times New Roman"/>
                <w:b/>
                <w:bCs/>
                <w:color w:val="auto"/>
                <w:highlight w:val="none"/>
              </w:rPr>
              <w:t>综上所述，本项目的建设对河道行洪、泥沙情势均有正效益，对河道水位、水温几乎无影响</w:t>
            </w:r>
            <w:r>
              <w:rPr>
                <w:rFonts w:hint="eastAsia"/>
                <w:b/>
                <w:bCs/>
                <w:color w:val="auto"/>
                <w:highlight w:val="none"/>
                <w:lang w:val="en-US" w:eastAsia="zh-CN"/>
              </w:rPr>
              <w:t>。因此，本项目对河道水文情势的影响是正面的，具有显著的环境正效益。</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75" w:type="dxa"/>
            <w:tcBorders>
              <w:tl2br w:val="nil"/>
              <w:tr2bl w:val="nil"/>
            </w:tcBorders>
            <w:vAlign w:val="center"/>
          </w:tcPr>
          <w:p>
            <w:pPr>
              <w:ind w:left="0" w:leftChars="0" w:firstLine="0" w:firstLineChars="0"/>
              <w:jc w:val="both"/>
              <w:rPr>
                <w:rFonts w:hint="eastAsia" w:cs="宋体"/>
                <w:bCs/>
                <w:color w:val="auto"/>
                <w:spacing w:val="10"/>
                <w:kern w:val="2"/>
                <w:sz w:val="24"/>
                <w:szCs w:val="24"/>
                <w:highlight w:val="none"/>
              </w:rPr>
            </w:pPr>
            <w:r>
              <w:rPr>
                <w:rFonts w:hint="eastAsia" w:cs="宋体"/>
                <w:bCs/>
                <w:color w:val="auto"/>
                <w:kern w:val="2"/>
                <w:sz w:val="24"/>
                <w:szCs w:val="24"/>
                <w:highlight w:val="none"/>
              </w:rPr>
              <w:t>选址选线环境合理性分析</w:t>
            </w:r>
          </w:p>
        </w:tc>
        <w:tc>
          <w:tcPr>
            <w:tcW w:w="8714" w:type="dxa"/>
            <w:tcBorders>
              <w:tl2br w:val="nil"/>
              <w:tr2bl w:val="nil"/>
            </w:tcBorders>
          </w:tcPr>
          <w:p>
            <w:pPr>
              <w:numPr>
                <w:ilvl w:val="0"/>
                <w:numId w:val="11"/>
              </w:numPr>
              <w:bidi w:val="0"/>
              <w:jc w:val="left"/>
              <w:rPr>
                <w:rFonts w:hint="eastAsia"/>
                <w:b/>
                <w:bCs/>
                <w:color w:val="auto"/>
                <w:highlight w:val="none"/>
                <w:lang w:val="en-US" w:eastAsia="zh-CN"/>
              </w:rPr>
            </w:pPr>
            <w:r>
              <w:rPr>
                <w:rFonts w:hint="eastAsia"/>
                <w:b/>
                <w:bCs/>
                <w:color w:val="auto"/>
                <w:highlight w:val="none"/>
                <w:lang w:val="en-US" w:eastAsia="zh-CN"/>
              </w:rPr>
              <w:t>主体工程选址合理性分析</w:t>
            </w:r>
          </w:p>
          <w:p>
            <w:pPr>
              <w:bidi w:val="0"/>
              <w:rPr>
                <w:rFonts w:hint="eastAsia"/>
                <w:color w:val="auto"/>
                <w:highlight w:val="none"/>
                <w:lang w:val="en-US" w:eastAsia="zh-CN"/>
              </w:rPr>
            </w:pPr>
            <w:r>
              <w:rPr>
                <w:rFonts w:hint="eastAsia"/>
                <w:color w:val="auto"/>
                <w:highlight w:val="none"/>
                <w:lang w:val="en-US" w:eastAsia="zh-CN"/>
              </w:rPr>
              <w:t>本项目</w:t>
            </w:r>
            <w:r>
              <w:rPr>
                <w:color w:val="auto"/>
                <w:highlight w:val="none"/>
                <w:lang w:val="en-US" w:eastAsia="zh-CN"/>
              </w:rPr>
              <w:t>位于宣汉县胡家镇</w:t>
            </w:r>
            <w:r>
              <w:rPr>
                <w:rFonts w:hint="eastAsia"/>
                <w:color w:val="auto"/>
                <w:highlight w:val="none"/>
                <w:lang w:val="en-US" w:eastAsia="zh-CN"/>
              </w:rPr>
              <w:t>境内</w:t>
            </w:r>
            <w:r>
              <w:rPr>
                <w:color w:val="auto"/>
                <w:highlight w:val="none"/>
                <w:lang w:val="en-US" w:eastAsia="zh-CN"/>
              </w:rPr>
              <w:t>，按河沟分主要</w:t>
            </w:r>
            <w:r>
              <w:rPr>
                <w:rFonts w:hint="eastAsia"/>
                <w:color w:val="auto"/>
                <w:highlight w:val="none"/>
                <w:lang w:val="en-US" w:eastAsia="zh-CN"/>
              </w:rPr>
              <w:t>分布在油坊沟和胡家河两条河上。油坊沟上设计有上下两段堤防，油坊沟右岸上段堤防起点为黄家湾桥至下游已成堤防，该段堤防长为</w:t>
            </w:r>
            <w:r>
              <w:rPr>
                <w:rFonts w:hint="default"/>
                <w:color w:val="auto"/>
                <w:highlight w:val="none"/>
                <w:lang w:val="en-US" w:eastAsia="zh-CN"/>
              </w:rPr>
              <w:t>406.16m</w:t>
            </w:r>
            <w:r>
              <w:rPr>
                <w:rFonts w:hint="eastAsia"/>
                <w:color w:val="auto"/>
                <w:highlight w:val="none"/>
                <w:lang w:val="en-US" w:eastAsia="zh-CN"/>
              </w:rPr>
              <w:t>；油坊沟左下段堤防位于冯家坝</w:t>
            </w:r>
            <w:r>
              <w:rPr>
                <w:rFonts w:hint="eastAsia" w:cs="Times New Roman"/>
                <w:color w:val="auto"/>
                <w:highlight w:val="none"/>
                <w:lang w:eastAsia="zh-CN"/>
              </w:rPr>
              <w:t>，</w:t>
            </w:r>
            <w:r>
              <w:rPr>
                <w:rFonts w:hint="eastAsia"/>
                <w:color w:val="auto"/>
                <w:highlight w:val="none"/>
                <w:lang w:val="en-US" w:eastAsia="zh-CN"/>
              </w:rPr>
              <w:t>堤防设计长度为</w:t>
            </w:r>
            <w:r>
              <w:rPr>
                <w:rFonts w:hint="default"/>
                <w:color w:val="auto"/>
                <w:highlight w:val="none"/>
                <w:lang w:val="en-US" w:eastAsia="zh-CN"/>
              </w:rPr>
              <w:t>160.65m</w:t>
            </w:r>
            <w:r>
              <w:rPr>
                <w:rFonts w:hint="eastAsia"/>
                <w:color w:val="auto"/>
                <w:highlight w:val="none"/>
                <w:lang w:val="en-US" w:eastAsia="zh-CN"/>
              </w:rPr>
              <w:t>。胡家河上设计有上下两段堤防，胡家河左上段堤防起点为花房子公路桥至黄花城段堤防，该段堤防长</w:t>
            </w:r>
            <w:r>
              <w:rPr>
                <w:rFonts w:hint="default"/>
                <w:color w:val="auto"/>
                <w:highlight w:val="none"/>
                <w:lang w:val="en-US" w:eastAsia="zh-CN"/>
              </w:rPr>
              <w:t>564.19m</w:t>
            </w:r>
            <w:r>
              <w:rPr>
                <w:rFonts w:hint="eastAsia"/>
                <w:color w:val="auto"/>
                <w:highlight w:val="none"/>
                <w:lang w:val="en-US" w:eastAsia="zh-CN"/>
              </w:rPr>
              <w:t>；胡家河右下段堤防位于后营坝，堤防设计长度</w:t>
            </w:r>
            <w:r>
              <w:rPr>
                <w:rFonts w:hint="default"/>
                <w:color w:val="auto"/>
                <w:highlight w:val="none"/>
                <w:lang w:val="en-US" w:eastAsia="zh-CN"/>
              </w:rPr>
              <w:t>194.28m</w:t>
            </w:r>
            <w:r>
              <w:rPr>
                <w:rFonts w:hint="eastAsia"/>
                <w:color w:val="auto"/>
                <w:highlight w:val="none"/>
                <w:lang w:val="en-US" w:eastAsia="zh-CN"/>
              </w:rPr>
              <w:t>。胡家镇胡家河山洪沟防洪治理工程四段堤防总长</w:t>
            </w:r>
            <w:r>
              <w:rPr>
                <w:rFonts w:hint="default"/>
                <w:color w:val="auto"/>
                <w:highlight w:val="none"/>
                <w:lang w:val="en-US" w:eastAsia="zh-CN"/>
              </w:rPr>
              <w:t>1325.28m</w:t>
            </w:r>
            <w:r>
              <w:rPr>
                <w:rFonts w:hint="eastAsia"/>
                <w:color w:val="auto"/>
                <w:highlight w:val="none"/>
                <w:lang w:val="en-US" w:eastAsia="zh-CN"/>
              </w:rPr>
              <w:t>，河道治理方式为新建堤防、护坡相结合。</w:t>
            </w:r>
          </w:p>
          <w:p>
            <w:pPr>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rPr>
            </w:pPr>
            <w:r>
              <w:rPr>
                <w:rFonts w:hint="default" w:ascii="Times New Roman" w:hAnsi="Times New Roman" w:cs="Times New Roman"/>
                <w:color w:val="auto"/>
                <w:highlight w:val="none"/>
              </w:rPr>
              <w:t>根据现场调查，评价区域内不涉及自然保护区、风景名胜区、饮用水源保护区等环境敏感区。项目地表水体为</w:t>
            </w:r>
            <w:r>
              <w:rPr>
                <w:rFonts w:hint="eastAsia" w:cs="Times New Roman"/>
                <w:color w:val="auto"/>
                <w:highlight w:val="none"/>
                <w:lang w:val="en-US" w:eastAsia="zh-CN"/>
              </w:rPr>
              <w:t>胡家河山洪沟</w:t>
            </w:r>
            <w:r>
              <w:rPr>
                <w:rFonts w:hint="default" w:ascii="Times New Roman" w:hAnsi="Times New Roman" w:cs="Times New Roman"/>
                <w:color w:val="auto"/>
                <w:highlight w:val="none"/>
              </w:rPr>
              <w:t>，主要水域功能为</w:t>
            </w:r>
            <w:r>
              <w:rPr>
                <w:rFonts w:hint="eastAsia" w:cs="Times New Roman"/>
                <w:color w:val="auto"/>
                <w:highlight w:val="none"/>
                <w:lang w:val="en-US" w:eastAsia="zh-CN"/>
              </w:rPr>
              <w:t>行洪、</w:t>
            </w:r>
            <w:r>
              <w:rPr>
                <w:rFonts w:hint="default" w:ascii="Times New Roman" w:hAnsi="Times New Roman" w:cs="Times New Roman"/>
                <w:color w:val="auto"/>
                <w:highlight w:val="none"/>
              </w:rPr>
              <w:t>灌溉</w:t>
            </w:r>
            <w:r>
              <w:rPr>
                <w:rFonts w:hint="eastAsia" w:cs="Times New Roman"/>
                <w:color w:val="auto"/>
                <w:highlight w:val="none"/>
                <w:lang w:val="en-US" w:eastAsia="zh-CN"/>
              </w:rPr>
              <w:t>等功能为主</w:t>
            </w:r>
            <w:r>
              <w:rPr>
                <w:rFonts w:hint="default" w:ascii="Times New Roman" w:hAnsi="Times New Roman" w:cs="Times New Roman"/>
                <w:color w:val="auto"/>
                <w:highlight w:val="none"/>
              </w:rPr>
              <w:t>，不涉及重要水生生物的自然产卵场、索饵场、越冬场和洄游通道，天然渔场的分布及饮用水源保护区等需要特殊保护的敏感区。根据外环境关系，工程分布敏感点主要是河流沿线的居民、学校，施工期产生的“三废”及噪声通过落实环评提出的防治措施均能得到有效妥善治理，对项目沿线居民、学校影响较小。项目营运期不涉及产污，不会对项目周边环境产生影响。故项目选址合理。</w:t>
            </w:r>
          </w:p>
          <w:p>
            <w:pPr>
              <w:bidi w:val="0"/>
              <w:jc w:val="left"/>
              <w:rPr>
                <w:rFonts w:hint="default" w:ascii="Times New Roman" w:hAnsi="Times New Roman" w:cs="Times New Roman"/>
                <w:color w:val="auto"/>
                <w:highlight w:val="none"/>
              </w:rPr>
            </w:pPr>
            <w:r>
              <w:rPr>
                <w:rFonts w:hint="default" w:ascii="Times New Roman" w:hAnsi="Times New Roman" w:cs="Times New Roman"/>
                <w:b/>
                <w:bCs/>
                <w:color w:val="auto"/>
                <w:highlight w:val="none"/>
              </w:rPr>
              <w:t>二、</w:t>
            </w:r>
            <w:r>
              <w:rPr>
                <w:rFonts w:hint="eastAsia" w:cs="Times New Roman"/>
                <w:b/>
                <w:bCs/>
                <w:color w:val="auto"/>
                <w:highlight w:val="none"/>
                <w:lang w:eastAsia="zh-CN"/>
              </w:rPr>
              <w:t>施工</w:t>
            </w:r>
            <w:r>
              <w:rPr>
                <w:rFonts w:hint="eastAsia" w:cs="Times New Roman"/>
                <w:b/>
                <w:bCs/>
                <w:color w:val="auto"/>
                <w:highlight w:val="none"/>
                <w:lang w:val="en-US" w:eastAsia="zh-CN"/>
              </w:rPr>
              <w:t>工区</w:t>
            </w:r>
            <w:r>
              <w:rPr>
                <w:rFonts w:hint="default" w:ascii="Times New Roman" w:hAnsi="Times New Roman" w:cs="Times New Roman"/>
                <w:b/>
                <w:bCs/>
                <w:color w:val="auto"/>
                <w:highlight w:val="none"/>
              </w:rPr>
              <w:t>选址合理性分析</w:t>
            </w:r>
          </w:p>
          <w:p>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最大限度避免施工期对</w:t>
            </w:r>
            <w:r>
              <w:rPr>
                <w:rFonts w:hint="eastAsia" w:cs="Times New Roman"/>
                <w:color w:val="auto"/>
                <w:highlight w:val="none"/>
                <w:lang w:val="en-US" w:eastAsia="zh-CN"/>
              </w:rPr>
              <w:t>胡家河</w:t>
            </w:r>
            <w:r>
              <w:rPr>
                <w:rFonts w:hint="default" w:ascii="Times New Roman" w:hAnsi="Times New Roman" w:cs="Times New Roman"/>
                <w:color w:val="auto"/>
                <w:highlight w:val="none"/>
              </w:rPr>
              <w:t>的影响，同时考虑降低对</w:t>
            </w:r>
            <w:r>
              <w:rPr>
                <w:rFonts w:hint="eastAsia" w:cs="Times New Roman"/>
                <w:color w:val="auto"/>
                <w:highlight w:val="none"/>
                <w:lang w:val="en-US" w:eastAsia="zh-CN"/>
              </w:rPr>
              <w:t>胡家河两</w:t>
            </w:r>
            <w:r>
              <w:rPr>
                <w:rFonts w:hint="default" w:ascii="Times New Roman" w:hAnsi="Times New Roman" w:cs="Times New Roman"/>
                <w:color w:val="auto"/>
                <w:highlight w:val="none"/>
              </w:rPr>
              <w:t>岸周边居民住宅产生影响，本项目工程设计</w:t>
            </w:r>
            <w:r>
              <w:rPr>
                <w:rFonts w:hint="eastAsia"/>
                <w:color w:val="auto"/>
                <w:highlight w:val="none"/>
                <w:lang w:val="en-US" w:eastAsia="zh-CN"/>
              </w:rPr>
              <w:t>2处集中施工工区</w:t>
            </w:r>
            <w:r>
              <w:rPr>
                <w:rFonts w:hint="default" w:ascii="Times New Roman" w:hAnsi="Times New Roman" w:cs="Times New Roman"/>
                <w:color w:val="auto"/>
                <w:highlight w:val="none"/>
              </w:rPr>
              <w:t>，</w:t>
            </w:r>
            <w:r>
              <w:rPr>
                <w:rFonts w:hint="eastAsia" w:ascii="Times New Roman" w:hAnsi="Times New Roman" w:cs="Times New Roman"/>
                <w:color w:val="auto"/>
                <w:highlight w:val="none"/>
                <w:lang w:val="en-US" w:eastAsia="zh-CN"/>
              </w:rPr>
              <w:t>分别为</w:t>
            </w:r>
            <w:r>
              <w:rPr>
                <w:color w:val="auto"/>
                <w:spacing w:val="12"/>
                <w:highlight w:val="none"/>
              </w:rPr>
              <w:t>油坊沟</w:t>
            </w:r>
            <w:r>
              <w:rPr>
                <w:rFonts w:hint="eastAsia"/>
                <w:color w:val="auto"/>
                <w:spacing w:val="12"/>
                <w:highlight w:val="none"/>
                <w:lang w:val="en-US" w:eastAsia="zh-CN"/>
              </w:rPr>
              <w:t>施工</w:t>
            </w:r>
            <w:r>
              <w:rPr>
                <w:color w:val="auto"/>
                <w:spacing w:val="12"/>
                <w:highlight w:val="none"/>
              </w:rPr>
              <w:t>工区和胡家河</w:t>
            </w:r>
            <w:r>
              <w:rPr>
                <w:rFonts w:hint="eastAsia"/>
                <w:color w:val="auto"/>
                <w:spacing w:val="12"/>
                <w:highlight w:val="none"/>
                <w:lang w:val="en-US" w:eastAsia="zh-CN"/>
              </w:rPr>
              <w:t>施工</w:t>
            </w:r>
            <w:r>
              <w:rPr>
                <w:color w:val="auto"/>
                <w:spacing w:val="12"/>
                <w:highlight w:val="none"/>
              </w:rPr>
              <w:t>工区</w:t>
            </w:r>
            <w:r>
              <w:rPr>
                <w:rFonts w:hint="eastAsia"/>
                <w:color w:val="auto"/>
                <w:spacing w:val="12"/>
                <w:highlight w:val="none"/>
                <w:lang w:eastAsia="zh-CN"/>
              </w:rPr>
              <w:t>，</w:t>
            </w:r>
            <w:r>
              <w:rPr>
                <w:rFonts w:hint="eastAsia"/>
                <w:color w:val="auto"/>
                <w:spacing w:val="12"/>
                <w:highlight w:val="none"/>
                <w:lang w:val="en-US" w:eastAsia="zh-CN"/>
              </w:rPr>
              <w:t>均</w:t>
            </w:r>
            <w:r>
              <w:rPr>
                <w:rFonts w:hint="default" w:ascii="Times New Roman" w:hAnsi="Times New Roman" w:cs="Times New Roman"/>
                <w:color w:val="auto"/>
                <w:highlight w:val="none"/>
              </w:rPr>
              <w:t>布置在河道两侧空闲区域</w:t>
            </w:r>
            <w:r>
              <w:rPr>
                <w:rFonts w:hint="default" w:ascii="Times New Roman" w:hAnsi="Times New Roman" w:cs="Times New Roman"/>
                <w:color w:val="auto"/>
                <w:highlight w:val="none"/>
                <w:lang w:eastAsia="zh-CN"/>
              </w:rPr>
              <w:t>，</w:t>
            </w:r>
            <w:r>
              <w:rPr>
                <w:rFonts w:hint="default" w:ascii="Times New Roman" w:hAnsi="Times New Roman" w:cs="Times New Roman"/>
                <w:color w:val="auto"/>
                <w:spacing w:val="12"/>
                <w:highlight w:val="none"/>
              </w:rPr>
              <w:t>油坊沟</w:t>
            </w:r>
            <w:r>
              <w:rPr>
                <w:rFonts w:hint="default" w:ascii="Times New Roman" w:hAnsi="Times New Roman" w:cs="Times New Roman"/>
                <w:color w:val="auto"/>
                <w:spacing w:val="12"/>
                <w:highlight w:val="none"/>
                <w:lang w:val="en-US" w:eastAsia="zh-CN"/>
              </w:rPr>
              <w:t>施工</w:t>
            </w:r>
            <w:r>
              <w:rPr>
                <w:rFonts w:hint="default" w:ascii="Times New Roman" w:hAnsi="Times New Roman" w:cs="Times New Roman"/>
                <w:color w:val="auto"/>
                <w:spacing w:val="12"/>
                <w:highlight w:val="none"/>
              </w:rPr>
              <w:t>工区</w:t>
            </w:r>
            <w:r>
              <w:rPr>
                <w:rFonts w:hint="default" w:ascii="Times New Roman" w:hAnsi="Times New Roman" w:cs="Times New Roman"/>
                <w:color w:val="auto"/>
                <w:highlight w:val="none"/>
                <w:lang w:val="en-US" w:eastAsia="zh-CN"/>
              </w:rPr>
              <w:t>位于右岸堤防处，场址经纬度为</w:t>
            </w:r>
            <w:r>
              <w:rPr>
                <w:rFonts w:hint="eastAsia" w:cs="Times New Roman"/>
                <w:color w:val="auto"/>
                <w:highlight w:val="none"/>
                <w:lang w:val="en-US" w:eastAsia="zh-CN"/>
              </w:rPr>
              <w:t>E</w:t>
            </w:r>
            <w:r>
              <w:rPr>
                <w:rFonts w:hint="default" w:ascii="Times New Roman" w:hAnsi="Times New Roman" w:cs="Times New Roman"/>
                <w:color w:val="auto"/>
                <w:highlight w:val="none"/>
                <w:lang w:val="en-US" w:eastAsia="zh-CN"/>
              </w:rPr>
              <w:t>107°39′41.72″，</w:t>
            </w:r>
            <w:r>
              <w:rPr>
                <w:rFonts w:hint="eastAsia" w:cs="Times New Roman"/>
                <w:color w:val="auto"/>
                <w:highlight w:val="none"/>
                <w:lang w:val="en-US" w:eastAsia="zh-CN"/>
              </w:rPr>
              <w:t>N</w:t>
            </w:r>
            <w:r>
              <w:rPr>
                <w:rFonts w:hint="default" w:ascii="Times New Roman" w:hAnsi="Times New Roman" w:cs="Times New Roman"/>
                <w:color w:val="auto"/>
                <w:highlight w:val="none"/>
                <w:lang w:val="en-US" w:eastAsia="zh-CN"/>
              </w:rPr>
              <w:t>31°34′15.71″；</w:t>
            </w:r>
            <w:r>
              <w:rPr>
                <w:rFonts w:hint="default" w:ascii="Times New Roman" w:hAnsi="Times New Roman" w:cs="Times New Roman"/>
                <w:color w:val="auto"/>
                <w:spacing w:val="12"/>
                <w:highlight w:val="none"/>
              </w:rPr>
              <w:t>胡家河</w:t>
            </w:r>
            <w:r>
              <w:rPr>
                <w:rFonts w:hint="default" w:ascii="Times New Roman" w:hAnsi="Times New Roman" w:cs="Times New Roman"/>
                <w:color w:val="auto"/>
                <w:spacing w:val="12"/>
                <w:highlight w:val="none"/>
                <w:lang w:val="en-US" w:eastAsia="zh-CN"/>
              </w:rPr>
              <w:t>施工</w:t>
            </w:r>
            <w:r>
              <w:rPr>
                <w:rFonts w:hint="default" w:ascii="Times New Roman" w:hAnsi="Times New Roman" w:cs="Times New Roman"/>
                <w:color w:val="auto"/>
                <w:spacing w:val="12"/>
                <w:highlight w:val="none"/>
              </w:rPr>
              <w:t>工区</w:t>
            </w:r>
            <w:r>
              <w:rPr>
                <w:rFonts w:hint="default" w:ascii="Times New Roman" w:hAnsi="Times New Roman" w:cs="Times New Roman"/>
                <w:color w:val="auto"/>
                <w:highlight w:val="none"/>
                <w:lang w:val="en-US" w:eastAsia="zh-CN"/>
              </w:rPr>
              <w:t>位于左岸堤防处，场址经纬度为</w:t>
            </w:r>
            <w:r>
              <w:rPr>
                <w:rFonts w:hint="eastAsia" w:cs="Times New Roman"/>
                <w:color w:val="auto"/>
                <w:highlight w:val="none"/>
                <w:lang w:val="en-US" w:eastAsia="zh-CN"/>
              </w:rPr>
              <w:t>E</w:t>
            </w:r>
            <w:r>
              <w:rPr>
                <w:rFonts w:hint="default" w:ascii="Times New Roman" w:hAnsi="Times New Roman" w:cs="Times New Roman"/>
                <w:color w:val="auto"/>
                <w:highlight w:val="none"/>
                <w:lang w:val="en-US" w:eastAsia="zh-CN"/>
              </w:rPr>
              <w:t>107°38′52.70″，</w:t>
            </w:r>
            <w:r>
              <w:rPr>
                <w:rFonts w:hint="eastAsia" w:cs="Times New Roman"/>
                <w:color w:val="auto"/>
                <w:highlight w:val="none"/>
                <w:lang w:val="en-US" w:eastAsia="zh-CN"/>
              </w:rPr>
              <w:t>N</w:t>
            </w:r>
            <w:r>
              <w:rPr>
                <w:rFonts w:hint="default" w:ascii="Times New Roman" w:hAnsi="Times New Roman" w:cs="Times New Roman"/>
                <w:color w:val="auto"/>
                <w:highlight w:val="none"/>
                <w:lang w:val="en-US" w:eastAsia="zh-CN"/>
              </w:rPr>
              <w:t>31°34′34.01″处。</w:t>
            </w:r>
            <w:r>
              <w:rPr>
                <w:rFonts w:hint="eastAsia" w:cs="Times New Roman"/>
                <w:color w:val="auto"/>
                <w:highlight w:val="none"/>
                <w:lang w:val="en-US" w:eastAsia="zh-CN"/>
              </w:rPr>
              <w:t>均为临时用地，</w:t>
            </w:r>
            <w:r>
              <w:rPr>
                <w:rFonts w:hint="default" w:ascii="Times New Roman" w:hAnsi="Times New Roman" w:cs="Times New Roman"/>
                <w:color w:val="auto"/>
                <w:highlight w:val="none"/>
                <w:lang w:val="en-US" w:eastAsia="zh-CN"/>
              </w:rPr>
              <w:t>总占地面积0.3亩，</w:t>
            </w:r>
            <w:r>
              <w:rPr>
                <w:rFonts w:hint="eastAsia" w:cs="Times New Roman"/>
                <w:color w:val="auto"/>
                <w:highlight w:val="none"/>
                <w:lang w:val="en-US" w:eastAsia="zh-CN"/>
              </w:rPr>
              <w:t>占地类型为水浇地和内陆滩涂，</w:t>
            </w:r>
            <w:r>
              <w:rPr>
                <w:rFonts w:hint="eastAsia"/>
                <w:color w:val="auto"/>
                <w:sz w:val="24"/>
                <w:highlight w:val="none"/>
                <w:u w:val="none"/>
                <w:lang w:val="en-US" w:eastAsia="zh-CN"/>
              </w:rPr>
              <w:t>不占用耕地、基本农田，不涉及生态敏感区</w:t>
            </w:r>
            <w:r>
              <w:rPr>
                <w:rFonts w:hint="eastAsia"/>
                <w:color w:val="auto"/>
                <w:highlight w:val="none"/>
                <w:vertAlign w:val="baseline"/>
                <w:lang w:val="en-US" w:eastAsia="zh-CN"/>
              </w:rPr>
              <w:t>。</w:t>
            </w:r>
            <w:r>
              <w:rPr>
                <w:rFonts w:hint="default" w:ascii="Times New Roman" w:hAnsi="Times New Roman" w:cs="Times New Roman"/>
                <w:color w:val="auto"/>
                <w:highlight w:val="none"/>
                <w:lang w:val="en-US" w:eastAsia="zh-CN"/>
              </w:rPr>
              <w:t>各工区内布置生产所需的临时</w:t>
            </w:r>
            <w:r>
              <w:rPr>
                <w:rFonts w:hint="default" w:ascii="Times New Roman" w:hAnsi="Times New Roman" w:cs="Times New Roman"/>
                <w:color w:val="auto"/>
                <w:spacing w:val="12"/>
                <w:highlight w:val="none"/>
              </w:rPr>
              <w:t>水电系统、拌和系统、仓库、场内公路堆料</w:t>
            </w:r>
            <w:r>
              <w:rPr>
                <w:rFonts w:hint="default" w:ascii="Times New Roman" w:hAnsi="Times New Roman" w:cs="Times New Roman"/>
                <w:color w:val="auto"/>
                <w:spacing w:val="6"/>
                <w:highlight w:val="none"/>
              </w:rPr>
              <w:t>场及其它临时设施</w:t>
            </w:r>
            <w:r>
              <w:rPr>
                <w:rFonts w:hint="default" w:ascii="Times New Roman" w:hAnsi="Times New Roman" w:cs="Times New Roman"/>
                <w:color w:val="auto"/>
                <w:highlight w:val="none"/>
              </w:rPr>
              <w:t>。工区与施工作业面采用施工公路相连。施工期不设置施工营地</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办公区</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u w:val="none"/>
              </w:rPr>
              <w:t>施工</w:t>
            </w:r>
            <w:r>
              <w:rPr>
                <w:rFonts w:hint="default" w:ascii="Times New Roman" w:hAnsi="Times New Roman" w:cs="Times New Roman"/>
                <w:color w:val="auto"/>
                <w:highlight w:val="none"/>
                <w:u w:val="none"/>
                <w:lang w:val="en-US" w:eastAsia="zh-CN"/>
              </w:rPr>
              <w:t>期生活</w:t>
            </w:r>
            <w:r>
              <w:rPr>
                <w:rFonts w:hint="default" w:ascii="Times New Roman" w:hAnsi="Times New Roman" w:cs="Times New Roman"/>
                <w:color w:val="auto"/>
                <w:highlight w:val="none"/>
                <w:u w:val="none"/>
              </w:rPr>
              <w:t>办公用房</w:t>
            </w:r>
            <w:r>
              <w:rPr>
                <w:rFonts w:hint="default" w:ascii="Times New Roman" w:hAnsi="Times New Roman" w:cs="Times New Roman"/>
                <w:color w:val="auto"/>
                <w:highlight w:val="none"/>
                <w:u w:val="none"/>
                <w:lang w:val="en-US" w:eastAsia="zh-CN"/>
              </w:rPr>
              <w:t>和仓库</w:t>
            </w:r>
            <w:r>
              <w:rPr>
                <w:rFonts w:hint="default" w:ascii="Times New Roman" w:hAnsi="Times New Roman" w:cs="Times New Roman"/>
                <w:color w:val="auto"/>
                <w:highlight w:val="none"/>
                <w:u w:val="none"/>
              </w:rPr>
              <w:t>租赁</w:t>
            </w:r>
            <w:r>
              <w:rPr>
                <w:rFonts w:hint="default" w:ascii="Times New Roman" w:hAnsi="Times New Roman" w:cs="Times New Roman"/>
                <w:color w:val="auto"/>
                <w:highlight w:val="none"/>
                <w:u w:val="none"/>
                <w:lang w:val="en-US" w:eastAsia="zh-CN"/>
              </w:rPr>
              <w:t>附近民房</w:t>
            </w:r>
            <w:r>
              <w:rPr>
                <w:rFonts w:hint="default" w:ascii="Times New Roman" w:hAnsi="Times New Roman" w:cs="Times New Roman"/>
                <w:color w:val="auto"/>
                <w:highlight w:val="none"/>
                <w:u w:val="none"/>
              </w:rPr>
              <w:t>。</w:t>
            </w:r>
          </w:p>
          <w:p>
            <w:pPr>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本项目在</w:t>
            </w:r>
            <w:r>
              <w:rPr>
                <w:rFonts w:hint="eastAsia" w:cs="Times New Roman"/>
                <w:color w:val="auto"/>
                <w:highlight w:val="none"/>
                <w:lang w:eastAsia="zh-CN"/>
              </w:rPr>
              <w:t>施工场地</w:t>
            </w:r>
            <w:r>
              <w:rPr>
                <w:rFonts w:hint="default" w:ascii="Times New Roman" w:hAnsi="Times New Roman" w:cs="Times New Roman"/>
                <w:color w:val="auto"/>
                <w:highlight w:val="none"/>
              </w:rPr>
              <w:t>设置</w:t>
            </w:r>
            <w:r>
              <w:rPr>
                <w:rFonts w:hint="eastAsia" w:cs="Times New Roman"/>
                <w:color w:val="auto"/>
                <w:highlight w:val="none"/>
                <w:lang w:val="en-US" w:eastAsia="zh-CN"/>
              </w:rPr>
              <w:t>4处</w:t>
            </w:r>
            <w:r>
              <w:rPr>
                <w:rFonts w:hint="default" w:ascii="Times New Roman" w:hAnsi="Times New Roman" w:cs="Times New Roman"/>
                <w:color w:val="auto"/>
                <w:highlight w:val="none"/>
              </w:rPr>
              <w:t>0.</w:t>
            </w:r>
            <w:r>
              <w:rPr>
                <w:rFonts w:hint="eastAsia" w:cs="Times New Roman"/>
                <w:color w:val="auto"/>
                <w:highlight w:val="none"/>
                <w:lang w:val="en-US" w:eastAsia="zh-CN"/>
              </w:rPr>
              <w:t>8</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砼拌和机进行混凝土拌和系统和砼浇筑系统，</w:t>
            </w:r>
            <w:r>
              <w:rPr>
                <w:rFonts w:hint="eastAsia" w:cs="Times New Roman"/>
                <w:color w:val="auto"/>
                <w:highlight w:val="none"/>
                <w:lang w:val="en-US" w:eastAsia="zh-CN"/>
              </w:rPr>
              <w:t>布设于2处施工工区内，</w:t>
            </w:r>
            <w:r>
              <w:rPr>
                <w:rFonts w:hint="default" w:ascii="Times New Roman" w:hAnsi="Times New Roman" w:cs="Times New Roman"/>
                <w:color w:val="auto"/>
                <w:highlight w:val="none"/>
              </w:rPr>
              <w:t>既方便施工又能有效集中控制施工扬尘，施工期间混凝土拌和为密闭搅拌并配备防尘除尘装置，采用湿法作业和喷淋洒水降尘措施并设置围堰，对周边居民及大气环境影响较小，选址合理。此外，建设单位还应参照《防治城市扬尘技术规范》要求，采取降尘措施，具体措施详见主要生态环境保护措施章节中大气环境保护措施内容，避免对周边居民造成影响。</w:t>
            </w:r>
          </w:p>
          <w:p>
            <w:pPr>
              <w:numPr>
                <w:ilvl w:val="0"/>
                <w:numId w:val="0"/>
              </w:numPr>
              <w:bidi w:val="0"/>
              <w:ind w:leftChars="200"/>
              <w:rPr>
                <w:rFonts w:hint="eastAsia"/>
                <w:b/>
                <w:bCs/>
                <w:color w:val="auto"/>
                <w:highlight w:val="none"/>
                <w:u w:val="none"/>
                <w:lang w:val="en-US" w:eastAsia="zh-CN"/>
              </w:rPr>
            </w:pPr>
            <w:r>
              <w:rPr>
                <w:rFonts w:hint="eastAsia" w:cstheme="minorBidi"/>
                <w:b/>
                <w:bCs/>
                <w:color w:val="auto"/>
                <w:sz w:val="24"/>
                <w:szCs w:val="24"/>
                <w:highlight w:val="none"/>
                <w:u w:val="none"/>
                <w:lang w:val="en-US" w:eastAsia="zh-CN"/>
              </w:rPr>
              <w:t>三、临时堆渣场</w:t>
            </w:r>
            <w:r>
              <w:rPr>
                <w:rFonts w:hint="eastAsia"/>
                <w:b/>
                <w:bCs/>
                <w:color w:val="auto"/>
                <w:highlight w:val="none"/>
                <w:u w:val="none"/>
                <w:lang w:val="en-US" w:eastAsia="zh-CN"/>
              </w:rPr>
              <w:t>选址合理性分析</w:t>
            </w:r>
          </w:p>
          <w:p>
            <w:pPr>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highlight w:val="none"/>
                <w:lang w:val="en-US" w:eastAsia="zh-CN"/>
              </w:rPr>
              <w:t>本项目设置2处临时堆渣场，分别为胡家河临时堆渣场和油坊沟临时堆渣场。2处堆渣场均采用临河设施，胡家河临时堆渣场位于左岸堤防旁，场址坐标为</w:t>
            </w:r>
            <w:r>
              <w:rPr>
                <w:rFonts w:hint="eastAsia" w:cs="Times New Roman"/>
                <w:color w:val="auto"/>
                <w:highlight w:val="none"/>
                <w:lang w:val="en-US" w:eastAsia="zh-CN"/>
              </w:rPr>
              <w:t>E</w:t>
            </w:r>
            <w:r>
              <w:rPr>
                <w:rFonts w:hint="default" w:ascii="Times New Roman" w:hAnsi="Times New Roman" w:cs="Times New Roman"/>
                <w:color w:val="auto"/>
                <w:highlight w:val="none"/>
                <w:lang w:val="en-US" w:eastAsia="zh-CN"/>
              </w:rPr>
              <w:t>107°38′53.54″，</w:t>
            </w:r>
            <w:r>
              <w:rPr>
                <w:rFonts w:hint="eastAsia" w:cs="Times New Roman"/>
                <w:color w:val="auto"/>
                <w:highlight w:val="none"/>
                <w:lang w:val="en-US" w:eastAsia="zh-CN"/>
              </w:rPr>
              <w:t>N</w:t>
            </w:r>
            <w:r>
              <w:rPr>
                <w:rFonts w:hint="default" w:ascii="Times New Roman" w:hAnsi="Times New Roman" w:cs="Times New Roman"/>
                <w:color w:val="auto"/>
                <w:highlight w:val="none"/>
                <w:lang w:val="en-US" w:eastAsia="zh-CN"/>
              </w:rPr>
              <w:t>31°34′27.24″；油坊沟临时堆渣场位于右岸堤防旁，场址坐标为</w:t>
            </w:r>
            <w:r>
              <w:rPr>
                <w:rFonts w:hint="eastAsia" w:cs="Times New Roman"/>
                <w:color w:val="auto"/>
                <w:highlight w:val="none"/>
                <w:lang w:val="en-US" w:eastAsia="zh-CN"/>
              </w:rPr>
              <w:t>E</w:t>
            </w:r>
            <w:r>
              <w:rPr>
                <w:rFonts w:hint="default" w:ascii="Times New Roman" w:hAnsi="Times New Roman" w:cs="Times New Roman"/>
                <w:color w:val="auto"/>
                <w:highlight w:val="none"/>
                <w:lang w:val="en-US" w:eastAsia="zh-CN"/>
              </w:rPr>
              <w:t>107°39′40.01″</w:t>
            </w:r>
            <w:r>
              <w:rPr>
                <w:rFonts w:hint="eastAsia" w:ascii="Times New Roman" w:hAnsi="Times New Roman" w:cs="Times New Roman"/>
                <w:color w:val="auto"/>
                <w:highlight w:val="none"/>
                <w:lang w:val="en-US" w:eastAsia="zh-CN"/>
              </w:rPr>
              <w:t>，</w:t>
            </w:r>
            <w:r>
              <w:rPr>
                <w:rFonts w:hint="eastAsia" w:cs="Times New Roman"/>
                <w:color w:val="auto"/>
                <w:highlight w:val="none"/>
                <w:lang w:val="en-US" w:eastAsia="zh-CN"/>
              </w:rPr>
              <w:t>N</w:t>
            </w:r>
            <w:r>
              <w:rPr>
                <w:rFonts w:hint="default" w:ascii="Times New Roman" w:hAnsi="Times New Roman" w:cs="Times New Roman"/>
                <w:color w:val="auto"/>
                <w:highlight w:val="none"/>
                <w:lang w:val="en-US" w:eastAsia="zh-CN"/>
              </w:rPr>
              <w:t>31°34′14.39″。临时堆渣场主要用于临时堆放堤防工程产生的土石方。</w:t>
            </w:r>
            <w:r>
              <w:rPr>
                <w:rFonts w:hint="eastAsia" w:cs="Times New Roman"/>
                <w:color w:val="auto"/>
                <w:highlight w:val="none"/>
                <w:lang w:val="en-US" w:eastAsia="zh-CN"/>
              </w:rPr>
              <w:t>临时堆渣场</w:t>
            </w:r>
            <w:r>
              <w:rPr>
                <w:rFonts w:hint="default" w:ascii="Times New Roman" w:hAnsi="Times New Roman" w:cs="Times New Roman"/>
                <w:color w:val="auto"/>
                <w:highlight w:val="none"/>
                <w:lang w:val="en-US" w:eastAsia="zh-CN"/>
              </w:rPr>
              <w:t>占地共2.4亩，均为临时占地</w:t>
            </w:r>
            <w:r>
              <w:rPr>
                <w:rFonts w:hint="eastAsia" w:cs="Times New Roman"/>
                <w:color w:val="auto"/>
                <w:highlight w:val="none"/>
                <w:lang w:val="en-US" w:eastAsia="zh-CN"/>
              </w:rPr>
              <w:t>，占地类型为水浇地和内陆滩涂，</w:t>
            </w:r>
            <w:r>
              <w:rPr>
                <w:rFonts w:hint="eastAsia"/>
                <w:color w:val="auto"/>
                <w:sz w:val="24"/>
                <w:highlight w:val="none"/>
                <w:u w:val="none"/>
                <w:lang w:val="en-US" w:eastAsia="zh-CN"/>
              </w:rPr>
              <w:t>不占用耕地、基本农田，不涉及生态敏感区</w:t>
            </w:r>
            <w:r>
              <w:rPr>
                <w:rFonts w:hint="eastAsia"/>
                <w:color w:val="auto"/>
                <w:highlight w:val="none"/>
                <w:vertAlign w:val="baseline"/>
                <w:lang w:val="en-US" w:eastAsia="zh-CN"/>
              </w:rPr>
              <w:t>。2处</w:t>
            </w:r>
            <w:r>
              <w:rPr>
                <w:rFonts w:hint="default" w:ascii="Times New Roman" w:hAnsi="Times New Roman" w:cs="Times New Roman"/>
                <w:color w:val="auto"/>
                <w:highlight w:val="none"/>
                <w:u w:val="none"/>
                <w:lang w:val="en-US" w:eastAsia="zh-CN"/>
              </w:rPr>
              <w:t>临时堆渣场</w:t>
            </w:r>
            <w:r>
              <w:rPr>
                <w:rFonts w:hint="eastAsia" w:cs="Times New Roman"/>
                <w:color w:val="auto"/>
                <w:highlight w:val="none"/>
                <w:u w:val="none"/>
                <w:lang w:val="en-US" w:eastAsia="zh-CN"/>
              </w:rPr>
              <w:t>均</w:t>
            </w:r>
            <w:r>
              <w:rPr>
                <w:rFonts w:hint="default" w:ascii="Times New Roman" w:hAnsi="Times New Roman" w:cs="Times New Roman"/>
                <w:color w:val="auto"/>
                <w:highlight w:val="none"/>
                <w:u w:val="none"/>
                <w:lang w:val="en-US" w:eastAsia="zh-CN"/>
              </w:rPr>
              <w:t>位于周边居民50m外</w:t>
            </w:r>
            <w:r>
              <w:rPr>
                <w:rFonts w:hint="eastAsia" w:cs="Times New Roman"/>
                <w:color w:val="auto"/>
                <w:highlight w:val="none"/>
                <w:u w:val="none"/>
                <w:lang w:val="en-US" w:eastAsia="zh-CN"/>
              </w:rPr>
              <w:t>，</w:t>
            </w:r>
            <w:r>
              <w:rPr>
                <w:rFonts w:hint="default" w:ascii="Times New Roman" w:hAnsi="Times New Roman" w:cs="Times New Roman"/>
                <w:color w:val="auto"/>
                <w:highlight w:val="none"/>
                <w:u w:val="none"/>
                <w:lang w:val="en-US" w:eastAsia="zh-CN"/>
              </w:rPr>
              <w:t>选址便于土石方清运，减少运输路程，且运输路线离场镇居民较远，最大限度降低了对周边居民的影响，同时，为防止开挖土石料堆渣过程中因暴雨天气或其他原因形成新的水土流失，在临时堆渣场周边修建临时排水沟，并采用塑料彩条布遮盖，排水沟末端设置沉砂池，废水经沉淀后</w:t>
            </w:r>
            <w:r>
              <w:rPr>
                <w:rFonts w:hint="eastAsia" w:cs="Times New Roman"/>
                <w:color w:val="auto"/>
                <w:highlight w:val="none"/>
                <w:u w:val="none"/>
                <w:lang w:val="en-US" w:eastAsia="zh-CN"/>
              </w:rPr>
              <w:t>用于洒水降尘</w:t>
            </w:r>
            <w:r>
              <w:rPr>
                <w:rFonts w:hint="default" w:ascii="Times New Roman" w:hAnsi="Times New Roman" w:cs="Times New Roman"/>
                <w:color w:val="auto"/>
                <w:highlight w:val="none"/>
                <w:u w:val="none"/>
                <w:lang w:val="en-US" w:eastAsia="zh-CN"/>
              </w:rPr>
              <w:t>。</w:t>
            </w:r>
            <w:r>
              <w:rPr>
                <w:rFonts w:hint="eastAsia"/>
                <w:color w:val="auto"/>
                <w:highlight w:val="none"/>
                <w:u w:val="none"/>
                <w:lang w:val="en-US" w:eastAsia="zh-CN"/>
              </w:rPr>
              <w:t>故工程施工期间在严格采取相应的污染防治措施后对周边居民影响较小，</w:t>
            </w:r>
            <w:r>
              <w:rPr>
                <w:rFonts w:hint="default" w:ascii="Times New Roman" w:hAnsi="Times New Roman" w:cs="Times New Roman"/>
                <w:color w:val="auto"/>
                <w:highlight w:val="none"/>
                <w:u w:val="none"/>
                <w:lang w:val="en-US" w:eastAsia="zh-CN"/>
              </w:rPr>
              <w:t>因此，临时堆渣场选址合理。</w:t>
            </w:r>
          </w:p>
          <w:p>
            <w:pPr>
              <w:bidi w:val="0"/>
              <w:rPr>
                <w:rFonts w:hint="default" w:ascii="Times New Roman" w:hAnsi="Times New Roman" w:cs="Times New Roman"/>
                <w:color w:val="auto"/>
                <w:highlight w:val="none"/>
                <w:lang w:val="en-US" w:eastAsia="zh-CN"/>
              </w:rPr>
            </w:pPr>
          </w:p>
          <w:p>
            <w:pPr>
              <w:bidi w:val="0"/>
              <w:rPr>
                <w:rFonts w:hint="eastAsia"/>
                <w:color w:val="auto"/>
                <w:highlight w:val="none"/>
                <w:lang w:val="en-US" w:eastAsia="zh-CN"/>
              </w:rPr>
            </w:pPr>
          </w:p>
          <w:p>
            <w:pPr>
              <w:bidi w:val="0"/>
              <w:rPr>
                <w:rFonts w:hint="eastAsia"/>
                <w:color w:val="auto"/>
                <w:highlight w:val="none"/>
                <w:lang w:val="en-US" w:eastAsia="zh-CN"/>
              </w:rPr>
            </w:pPr>
          </w:p>
          <w:p>
            <w:pPr>
              <w:bidi w:val="0"/>
              <w:rPr>
                <w:rFonts w:hint="eastAsia"/>
                <w:color w:val="auto"/>
                <w:highlight w:val="none"/>
                <w:lang w:val="en-US" w:eastAsia="zh-CN"/>
              </w:rPr>
            </w:pPr>
          </w:p>
          <w:p>
            <w:pPr>
              <w:bidi w:val="0"/>
              <w:rPr>
                <w:rFonts w:hint="eastAsia"/>
                <w:color w:val="auto"/>
                <w:highlight w:val="none"/>
                <w:lang w:val="en-US" w:eastAsia="zh-CN"/>
              </w:rPr>
            </w:pPr>
          </w:p>
          <w:p>
            <w:pPr>
              <w:bidi w:val="0"/>
              <w:rPr>
                <w:rFonts w:hint="eastAsia"/>
                <w:color w:val="auto"/>
                <w:highlight w:val="none"/>
                <w:lang w:val="en-US" w:eastAsia="zh-CN"/>
              </w:rPr>
            </w:pPr>
          </w:p>
          <w:p>
            <w:pPr>
              <w:bidi w:val="0"/>
              <w:rPr>
                <w:rFonts w:hint="eastAsia"/>
                <w:color w:val="auto"/>
                <w:highlight w:val="none"/>
                <w:lang w:val="en-US" w:eastAsia="zh-CN"/>
              </w:rPr>
            </w:pPr>
          </w:p>
          <w:p>
            <w:pPr>
              <w:bidi w:val="0"/>
              <w:rPr>
                <w:rFonts w:hint="eastAsia"/>
                <w:color w:val="auto"/>
                <w:highlight w:val="none"/>
                <w:lang w:val="en-US" w:eastAsia="zh-CN"/>
              </w:rPr>
            </w:pPr>
          </w:p>
          <w:p>
            <w:pPr>
              <w:bidi w:val="0"/>
              <w:rPr>
                <w:rFonts w:hint="eastAsia"/>
                <w:color w:val="auto"/>
                <w:highlight w:val="none"/>
                <w:lang w:val="en-US" w:eastAsia="zh-CN"/>
              </w:rPr>
            </w:pPr>
          </w:p>
          <w:p>
            <w:pPr>
              <w:bidi w:val="0"/>
              <w:rPr>
                <w:rFonts w:hint="eastAsia"/>
                <w:color w:val="auto"/>
                <w:highlight w:val="none"/>
                <w:lang w:val="en-US" w:eastAsia="zh-CN"/>
              </w:rPr>
            </w:pPr>
          </w:p>
        </w:tc>
      </w:tr>
    </w:tbl>
    <w:p>
      <w:pPr>
        <w:rPr>
          <w:rFonts w:hint="default" w:ascii="宋体" w:hAnsi="宋体" w:eastAsia="宋体"/>
          <w:b w:val="0"/>
          <w:bCs w:val="0"/>
          <w:sz w:val="28"/>
          <w:szCs w:val="28"/>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2"/>
        <w:keepLines/>
        <w:overflowPunct/>
        <w:bidi w:val="0"/>
        <w:snapToGrid/>
        <w:spacing w:before="340" w:beforeLines="0" w:beforeAutospacing="0" w:after="330" w:afterLines="0" w:afterAutospacing="0" w:line="416" w:lineRule="auto"/>
        <w:ind w:left="0" w:firstLine="0" w:firstLineChars="0"/>
        <w:jc w:val="center"/>
        <w:rPr>
          <w:rFonts w:hint="default" w:ascii="Times New Roman" w:hAnsi="Times New Roman" w:cs="Times New Roman"/>
          <w:color w:val="auto"/>
          <w:sz w:val="32"/>
          <w:szCs w:val="32"/>
        </w:rPr>
      </w:pPr>
      <w:bookmarkStart w:id="69" w:name="_Toc7148"/>
      <w:bookmarkStart w:id="70" w:name="_Toc29574"/>
      <w:bookmarkStart w:id="71" w:name="_Toc23059"/>
      <w:r>
        <w:rPr>
          <w:rFonts w:hint="default" w:ascii="Times New Roman" w:hAnsi="Times New Roman" w:cs="Times New Roman"/>
          <w:color w:val="auto"/>
          <w:sz w:val="32"/>
          <w:szCs w:val="32"/>
        </w:rPr>
        <w:t>五、主要生态环境保护措施</w:t>
      </w:r>
      <w:bookmarkEnd w:id="69"/>
      <w:bookmarkEnd w:id="70"/>
      <w:bookmarkEnd w:id="71"/>
    </w:p>
    <w:tbl>
      <w:tblPr>
        <w:tblStyle w:val="12"/>
        <w:tblW w:w="9038" w:type="dxa"/>
        <w:tblInd w:w="-263" w:type="dxa"/>
        <w:tblBorders>
          <w:top w:val="single" w:color="auto" w:sz="12" w:space="0"/>
          <w:left w:val="single" w:color="auto" w:sz="12" w:space="0"/>
          <w:bottom w:val="single" w:color="auto" w:sz="12" w:space="0"/>
          <w:right w:val="single" w:color="auto" w:sz="12" w:space="0"/>
          <w:insideH w:val="single" w:color="auto" w:sz="12" w:space="0"/>
          <w:insideV w:val="single" w:color="auto" w:sz="4" w:space="0"/>
        </w:tblBorders>
        <w:tblLayout w:type="autofit"/>
        <w:tblCellMar>
          <w:top w:w="0" w:type="dxa"/>
          <w:left w:w="108" w:type="dxa"/>
          <w:bottom w:w="0" w:type="dxa"/>
          <w:right w:w="108" w:type="dxa"/>
        </w:tblCellMar>
      </w:tblPr>
      <w:tblGrid>
        <w:gridCol w:w="476"/>
        <w:gridCol w:w="8739"/>
      </w:tblGrid>
      <w:tr>
        <w:tblPrEx>
          <w:tblBorders>
            <w:top w:val="single" w:color="auto" w:sz="12" w:space="0"/>
            <w:left w:val="single" w:color="auto" w:sz="12" w:space="0"/>
            <w:bottom w:val="single" w:color="auto" w:sz="12" w:space="0"/>
            <w:right w:val="single" w:color="auto" w:sz="12" w:space="0"/>
            <w:insideH w:val="single" w:color="auto" w:sz="12" w:space="0"/>
            <w:insideV w:val="single" w:color="auto" w:sz="4" w:space="0"/>
          </w:tblBorders>
          <w:tblCellMar>
            <w:top w:w="0" w:type="dxa"/>
            <w:left w:w="108" w:type="dxa"/>
            <w:bottom w:w="0" w:type="dxa"/>
            <w:right w:w="108" w:type="dxa"/>
          </w:tblCellMar>
        </w:tblPrEx>
        <w:tc>
          <w:tcPr>
            <w:tcW w:w="400" w:type="dxa"/>
            <w:tcBorders>
              <w:tl2br w:val="nil"/>
              <w:tr2bl w:val="nil"/>
            </w:tcBorders>
            <w:vAlign w:val="center"/>
          </w:tcPr>
          <w:p>
            <w:pPr>
              <w:ind w:left="0" w:leftChars="0" w:firstLine="0" w:firstLineChars="0"/>
              <w:jc w:val="both"/>
              <w:rPr>
                <w:rFonts w:hint="default"/>
                <w:vertAlign w:val="baseline"/>
                <w:lang w:val="en-US" w:eastAsia="zh-CN"/>
              </w:rPr>
            </w:pPr>
            <w:r>
              <w:rPr>
                <w:rFonts w:hint="default" w:ascii="Times New Roman" w:hAnsi="Times New Roman" w:eastAsia="宋体" w:cs="Times New Roman"/>
                <w:color w:val="auto"/>
                <w:kern w:val="2"/>
                <w:sz w:val="24"/>
                <w:szCs w:val="21"/>
                <w:lang w:val="en-US" w:eastAsia="zh-CN" w:bidi="ar-SA"/>
              </w:rPr>
              <w:t>施工期生态环境保护措施</w:t>
            </w:r>
          </w:p>
        </w:tc>
        <w:tc>
          <w:tcPr>
            <w:tcW w:w="8638" w:type="dxa"/>
            <w:tcBorders>
              <w:tl2br w:val="nil"/>
              <w:tr2bl w:val="nil"/>
            </w:tcBorders>
          </w:tcPr>
          <w:p>
            <w:pPr>
              <w:numPr>
                <w:ilvl w:val="0"/>
                <w:numId w:val="12"/>
              </w:numPr>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水环境保护措施</w:t>
            </w:r>
          </w:p>
          <w:p>
            <w:pPr>
              <w:bidi w:val="0"/>
              <w:rPr>
                <w:rFonts w:hint="default"/>
                <w:b/>
                <w:bCs/>
                <w:color w:val="auto"/>
                <w:lang w:val="en-US" w:eastAsia="zh-CN"/>
              </w:rPr>
            </w:pPr>
            <w:r>
              <w:rPr>
                <w:rFonts w:hint="eastAsia"/>
                <w:b/>
                <w:bCs/>
                <w:color w:val="auto"/>
                <w:lang w:val="en-US" w:eastAsia="zh-CN"/>
              </w:rPr>
              <w:t>1、堤防工程水环境防治措施</w:t>
            </w:r>
          </w:p>
          <w:p>
            <w:pPr>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（1）</w:t>
            </w:r>
            <w:r>
              <w:rPr>
                <w:rFonts w:hint="eastAsia" w:cs="Times New Roman"/>
                <w:b w:val="0"/>
                <w:bCs w:val="0"/>
                <w:color w:val="auto"/>
                <w:u w:val="none"/>
                <w:lang w:val="en-US" w:eastAsia="zh-CN"/>
              </w:rPr>
              <w:t>堤防</w:t>
            </w:r>
            <w:r>
              <w:rPr>
                <w:rFonts w:hint="default" w:ascii="Times New Roman" w:hAnsi="Times New Roman" w:cs="Times New Roman"/>
                <w:b w:val="0"/>
                <w:bCs w:val="0"/>
                <w:color w:val="auto"/>
                <w:u w:val="none"/>
                <w:lang w:val="en-US" w:eastAsia="zh-CN"/>
              </w:rPr>
              <w:t>施工水污染防治措施</w:t>
            </w:r>
          </w:p>
          <w:p>
            <w:pPr>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①</w:t>
            </w:r>
            <w:r>
              <w:rPr>
                <w:rFonts w:hint="eastAsia" w:cs="Times New Roman"/>
                <w:b w:val="0"/>
                <w:bCs w:val="0"/>
                <w:color w:val="auto"/>
                <w:u w:val="none"/>
                <w:lang w:val="en-US" w:eastAsia="zh-CN"/>
              </w:rPr>
              <w:t>堤防</w:t>
            </w:r>
            <w:r>
              <w:rPr>
                <w:rFonts w:hint="default" w:ascii="Times New Roman" w:hAnsi="Times New Roman" w:cs="Times New Roman"/>
                <w:b w:val="0"/>
                <w:bCs w:val="0"/>
                <w:color w:val="auto"/>
                <w:u w:val="none"/>
                <w:lang w:val="en-US" w:eastAsia="zh-CN"/>
              </w:rPr>
              <w:t>施工应在枯水期进行，选择避开雨季，减轻水流对围堰的冲刷影响。</w:t>
            </w:r>
          </w:p>
          <w:p>
            <w:pPr>
              <w:bidi w:val="0"/>
              <w:rPr>
                <w:rFonts w:hint="default"/>
                <w:lang w:val="en-US" w:eastAsia="zh-CN"/>
              </w:rPr>
            </w:pPr>
            <w:r>
              <w:rPr>
                <w:rFonts w:hint="default" w:ascii="Times New Roman" w:hAnsi="Times New Roman" w:cs="Times New Roman"/>
                <w:b w:val="0"/>
                <w:bCs w:val="0"/>
                <w:color w:val="auto"/>
                <w:u w:val="none"/>
                <w:lang w:val="en-US" w:eastAsia="zh-CN"/>
              </w:rPr>
              <w:t>②</w:t>
            </w:r>
            <w:r>
              <w:rPr>
                <w:rFonts w:hint="default"/>
                <w:lang w:val="en-US" w:eastAsia="zh-CN"/>
              </w:rPr>
              <w:t>采用</w:t>
            </w:r>
            <w:r>
              <w:rPr>
                <w:rFonts w:hint="eastAsia"/>
                <w:lang w:val="en-US" w:eastAsia="zh-CN"/>
              </w:rPr>
              <w:t>全断面</w:t>
            </w:r>
            <w:r>
              <w:rPr>
                <w:rFonts w:hint="default"/>
                <w:lang w:val="en-US" w:eastAsia="zh-CN"/>
              </w:rPr>
              <w:t>围堰施工方式，</w:t>
            </w:r>
            <w:r>
              <w:rPr>
                <w:lang w:val="en-US" w:eastAsia="zh-CN"/>
              </w:rPr>
              <w:t>防渗采用袋装粉质黏土配合土工膜</w:t>
            </w:r>
            <w:r>
              <w:rPr>
                <w:rFonts w:hint="default"/>
                <w:lang w:val="en-US" w:eastAsia="zh-CN"/>
              </w:rPr>
              <w:t>，防止河水浑浊。</w:t>
            </w:r>
          </w:p>
          <w:p>
            <w:pPr>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③施工期间应减轻施工设备对</w:t>
            </w:r>
            <w:r>
              <w:rPr>
                <w:rFonts w:hint="eastAsia" w:cs="Times New Roman"/>
                <w:b w:val="0"/>
                <w:bCs w:val="0"/>
                <w:color w:val="auto"/>
                <w:u w:val="none"/>
                <w:lang w:val="en-US" w:eastAsia="zh-CN"/>
              </w:rPr>
              <w:t>胡家河</w:t>
            </w:r>
            <w:r>
              <w:rPr>
                <w:rFonts w:hint="default" w:ascii="Times New Roman" w:hAnsi="Times New Roman" w:cs="Times New Roman"/>
                <w:b w:val="0"/>
                <w:bCs w:val="0"/>
                <w:color w:val="auto"/>
                <w:u w:val="none"/>
                <w:lang w:val="en-US" w:eastAsia="zh-CN"/>
              </w:rPr>
              <w:t>底的扰动，降低因扰动造成的局部悬浮物浓度过高情况发生。</w:t>
            </w:r>
          </w:p>
          <w:p>
            <w:pPr>
              <w:keepNext w:val="0"/>
              <w:keepLines w:val="0"/>
              <w:suppressLineNumbers w:val="0"/>
              <w:bidi w:val="0"/>
              <w:spacing w:before="0" w:beforeAutospacing="0" w:after="0" w:afterAutospacing="0"/>
              <w:ind w:left="0" w:right="0"/>
              <w:rPr>
                <w:rFonts w:hint="default" w:ascii="Times New Roman" w:hAnsi="Times New Roman" w:cs="Times New Roman"/>
                <w:b/>
                <w:bCs/>
                <w:color w:val="auto"/>
                <w:highlight w:val="none"/>
                <w:u w:val="none"/>
                <w:lang w:val="en-US" w:eastAsia="zh-CN"/>
              </w:rPr>
            </w:pPr>
            <w:r>
              <w:rPr>
                <w:rFonts w:hint="eastAsia" w:cs="Times New Roman"/>
                <w:b w:val="0"/>
                <w:bCs w:val="0"/>
                <w:color w:val="auto"/>
                <w:u w:val="none"/>
                <w:lang w:val="en-US" w:eastAsia="zh-CN"/>
              </w:rPr>
              <w:t>④</w:t>
            </w:r>
            <w:r>
              <w:rPr>
                <w:rFonts w:hint="default" w:ascii="Times New Roman" w:hAnsi="Times New Roman" w:cs="Times New Roman"/>
                <w:b w:val="0"/>
                <w:bCs w:val="0"/>
                <w:color w:val="auto"/>
                <w:u w:val="none"/>
                <w:lang w:val="en-US" w:eastAsia="zh-CN"/>
              </w:rPr>
              <w:t>施工结束后，应立即拆除围堰，</w:t>
            </w:r>
            <w:r>
              <w:rPr>
                <w:rFonts w:hint="default" w:ascii="Times New Roman" w:hAnsi="Times New Roman" w:cs="Times New Roman"/>
                <w:b w:val="0"/>
                <w:bCs w:val="0"/>
                <w:color w:val="auto"/>
                <w:highlight w:val="none"/>
                <w:u w:val="none"/>
                <w:lang w:val="en-US" w:eastAsia="zh-CN"/>
              </w:rPr>
              <w:t>拆除围堰</w:t>
            </w:r>
            <w:r>
              <w:rPr>
                <w:rFonts w:hint="eastAsia" w:cs="Times New Roman"/>
                <w:b w:val="0"/>
                <w:bCs w:val="0"/>
                <w:color w:val="auto"/>
                <w:highlight w:val="none"/>
                <w:u w:val="none"/>
                <w:lang w:val="en-US" w:eastAsia="zh-CN"/>
              </w:rPr>
              <w:t>后用于堤身填筑</w:t>
            </w:r>
            <w:r>
              <w:rPr>
                <w:rFonts w:hint="default" w:ascii="Times New Roman" w:hAnsi="Times New Roman" w:cs="Times New Roman"/>
                <w:b w:val="0"/>
                <w:bCs w:val="0"/>
                <w:color w:val="auto"/>
                <w:highlight w:val="none"/>
                <w:u w:val="none"/>
                <w:lang w:val="en-US" w:eastAsia="zh-CN"/>
              </w:rPr>
              <w:t>，不得抛弃至</w:t>
            </w:r>
            <w:r>
              <w:rPr>
                <w:rFonts w:hint="eastAsia" w:cs="Times New Roman"/>
                <w:b w:val="0"/>
                <w:bCs w:val="0"/>
                <w:color w:val="auto"/>
                <w:highlight w:val="none"/>
                <w:u w:val="none"/>
                <w:lang w:val="en-US" w:eastAsia="zh-CN"/>
              </w:rPr>
              <w:t>河道</w:t>
            </w:r>
            <w:r>
              <w:rPr>
                <w:rFonts w:hint="default" w:ascii="Times New Roman" w:hAnsi="Times New Roman" w:cs="Times New Roman"/>
                <w:b w:val="0"/>
                <w:bCs w:val="0"/>
                <w:color w:val="auto"/>
                <w:highlight w:val="none"/>
                <w:u w:val="none"/>
                <w:lang w:val="en-US" w:eastAsia="zh-CN"/>
              </w:rPr>
              <w:t>内。</w:t>
            </w:r>
          </w:p>
          <w:p>
            <w:pPr>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rPr>
            </w:pPr>
            <w:r>
              <w:rPr>
                <w:rFonts w:hint="eastAsia" w:cs="Times New Roman"/>
                <w:b w:val="0"/>
                <w:bCs w:val="0"/>
                <w:color w:val="auto"/>
                <w:u w:val="none"/>
                <w:lang w:eastAsia="zh-CN"/>
              </w:rPr>
              <w:t>（</w:t>
            </w:r>
            <w:r>
              <w:rPr>
                <w:rFonts w:hint="eastAsia" w:cs="Times New Roman"/>
                <w:b w:val="0"/>
                <w:bCs w:val="0"/>
                <w:color w:val="auto"/>
                <w:u w:val="none"/>
                <w:lang w:val="en-US" w:eastAsia="zh-CN"/>
              </w:rPr>
              <w:t>2）</w:t>
            </w:r>
            <w:r>
              <w:rPr>
                <w:rFonts w:hint="default" w:ascii="Times New Roman" w:hAnsi="Times New Roman" w:cs="Times New Roman"/>
                <w:b w:val="0"/>
                <w:bCs w:val="0"/>
                <w:color w:val="auto"/>
                <w:u w:val="none"/>
              </w:rPr>
              <w:t>防洪堤基坑排水防治措施</w:t>
            </w:r>
          </w:p>
          <w:p>
            <w:pPr>
              <w:keepNext w:val="0"/>
              <w:keepLines w:val="0"/>
              <w:suppressLineNumbers w:val="0"/>
              <w:bidi w:val="0"/>
              <w:spacing w:before="0" w:beforeAutospacing="0" w:after="0" w:afterAutospacing="0"/>
              <w:ind w:left="0" w:right="0"/>
              <w:rPr>
                <w:rFonts w:hint="default" w:ascii="Times New Roman" w:hAnsi="Times New Roman" w:cs="Times New Roman"/>
                <w:color w:val="auto"/>
                <w:u w:val="none"/>
              </w:rPr>
            </w:pPr>
            <w:r>
              <w:rPr>
                <w:rFonts w:hint="default" w:ascii="Times New Roman" w:hAnsi="Times New Roman" w:cs="Times New Roman"/>
                <w:color w:val="auto"/>
                <w:u w:val="none"/>
              </w:rPr>
              <w:t>初期排水采用浮式排水，每一施工段初期排水设离水泵1～2台，抽排出基坑内的积水；经常性排水设离水泵</w:t>
            </w:r>
            <w:r>
              <w:rPr>
                <w:rFonts w:hint="default" w:ascii="Times New Roman" w:hAnsi="Times New Roman" w:cs="Times New Roman"/>
              </w:rPr>
              <w:t>3～4</w:t>
            </w:r>
            <w:r>
              <w:rPr>
                <w:rFonts w:hint="default" w:ascii="Times New Roman" w:hAnsi="Times New Roman" w:cs="Times New Roman"/>
                <w:color w:val="auto"/>
                <w:u w:val="none"/>
              </w:rPr>
              <w:t>台，抽排积水。本工程基坑排水主要为经常性排水，因此采用混凝土管配水泵抽排水，排水管端部设置沉淀池，基坑废水及地面径流水经沉淀池处理后</w:t>
            </w:r>
            <w:r>
              <w:rPr>
                <w:rFonts w:hint="default" w:ascii="Times New Roman" w:hAnsi="Times New Roman" w:cs="Times New Roman"/>
                <w:iCs/>
                <w:color w:val="auto"/>
                <w:sz w:val="24"/>
                <w:szCs w:val="24"/>
                <w:highlight w:val="none"/>
              </w:rPr>
              <w:t>用于</w:t>
            </w:r>
            <w:r>
              <w:rPr>
                <w:rFonts w:hint="default" w:ascii="Times New Roman" w:hAnsi="Times New Roman" w:cs="Times New Roman"/>
                <w:iCs/>
                <w:color w:val="auto"/>
                <w:sz w:val="24"/>
                <w:szCs w:val="24"/>
                <w:highlight w:val="none"/>
                <w:lang w:eastAsia="zh-CN"/>
              </w:rPr>
              <w:t>项目施工用水及洒水降尘</w:t>
            </w:r>
            <w:r>
              <w:rPr>
                <w:rFonts w:hint="default" w:ascii="Times New Roman" w:hAnsi="Times New Roman" w:cs="Times New Roman"/>
                <w:iCs/>
                <w:color w:val="auto"/>
                <w:sz w:val="24"/>
                <w:szCs w:val="24"/>
                <w:highlight w:val="none"/>
              </w:rPr>
              <w:t>，</w:t>
            </w:r>
            <w:r>
              <w:rPr>
                <w:rFonts w:hint="default" w:ascii="Times New Roman" w:hAnsi="Times New Roman" w:cs="Times New Roman"/>
                <w:iCs/>
                <w:color w:val="auto"/>
                <w:sz w:val="24"/>
                <w:szCs w:val="24"/>
                <w:highlight w:val="none"/>
                <w:lang w:eastAsia="zh-CN"/>
              </w:rPr>
              <w:t>不</w:t>
            </w:r>
            <w:r>
              <w:rPr>
                <w:rFonts w:hint="default" w:ascii="Times New Roman" w:hAnsi="Times New Roman" w:cs="Times New Roman"/>
                <w:iCs/>
                <w:color w:val="auto"/>
                <w:sz w:val="24"/>
                <w:szCs w:val="24"/>
                <w:highlight w:val="none"/>
              </w:rPr>
              <w:t>外排。</w:t>
            </w:r>
          </w:p>
          <w:p>
            <w:pPr>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2、施工</w:t>
            </w:r>
            <w:r>
              <w:rPr>
                <w:rFonts w:hint="eastAsia" w:cs="Times New Roman"/>
                <w:b/>
                <w:bCs/>
                <w:color w:val="auto"/>
                <w:lang w:val="en-US" w:eastAsia="zh-CN"/>
              </w:rPr>
              <w:t>工区</w:t>
            </w:r>
            <w:r>
              <w:rPr>
                <w:rFonts w:hint="default" w:ascii="Times New Roman" w:hAnsi="Times New Roman" w:cs="Times New Roman"/>
                <w:b/>
                <w:bCs/>
                <w:color w:val="auto"/>
                <w:lang w:val="en-US" w:eastAsia="zh-CN"/>
              </w:rPr>
              <w:t>水环境防治措施</w:t>
            </w:r>
          </w:p>
          <w:p>
            <w:pPr>
              <w:bidi w:val="0"/>
              <w:rPr>
                <w:rFonts w:hint="default" w:ascii="Times New Roman" w:hAnsi="Times New Roman" w:cs="Times New Roman"/>
                <w:b w:val="0"/>
                <w:bCs w:val="0"/>
                <w:color w:val="auto"/>
                <w:sz w:val="24"/>
                <w:szCs w:val="32"/>
                <w:u w:val="none"/>
                <w:lang w:val="en-US" w:eastAsia="zh-CN"/>
              </w:rPr>
            </w:pPr>
            <w:r>
              <w:rPr>
                <w:rFonts w:hint="default" w:ascii="Times New Roman" w:hAnsi="Times New Roman" w:cs="Times New Roman"/>
                <w:b w:val="0"/>
                <w:bCs w:val="0"/>
                <w:color w:val="auto"/>
                <w:lang w:val="en-US" w:eastAsia="zh-CN"/>
              </w:rPr>
              <w:t>（1）</w:t>
            </w:r>
            <w:r>
              <w:rPr>
                <w:rFonts w:hint="default" w:ascii="Times New Roman" w:hAnsi="Times New Roman" w:cs="Times New Roman"/>
                <w:b w:val="0"/>
                <w:bCs w:val="0"/>
                <w:color w:val="auto"/>
                <w:sz w:val="24"/>
                <w:szCs w:val="32"/>
                <w:u w:val="none"/>
                <w:lang w:val="en-US" w:eastAsia="zh-CN"/>
              </w:rPr>
              <w:t>砂石骨料冲洗及</w:t>
            </w:r>
            <w:r>
              <w:rPr>
                <w:rFonts w:hint="default" w:ascii="Times New Roman" w:hAnsi="Times New Roman" w:cs="Times New Roman"/>
                <w:color w:val="auto"/>
                <w:u w:val="none"/>
              </w:rPr>
              <w:t>砼浇筑</w:t>
            </w:r>
            <w:r>
              <w:rPr>
                <w:rFonts w:hint="default" w:ascii="Times New Roman" w:hAnsi="Times New Roman" w:cs="Times New Roman"/>
                <w:b w:val="0"/>
                <w:bCs w:val="0"/>
                <w:color w:val="auto"/>
                <w:sz w:val="24"/>
                <w:szCs w:val="32"/>
                <w:u w:val="none"/>
              </w:rPr>
              <w:t>废水</w:t>
            </w:r>
            <w:r>
              <w:rPr>
                <w:rFonts w:hint="default" w:ascii="Times New Roman" w:hAnsi="Times New Roman" w:cs="Times New Roman"/>
                <w:b w:val="0"/>
                <w:bCs w:val="0"/>
                <w:color w:val="auto"/>
                <w:sz w:val="24"/>
                <w:szCs w:val="32"/>
                <w:u w:val="none"/>
                <w:lang w:val="en-US" w:eastAsia="zh-CN"/>
              </w:rPr>
              <w:t>影响分析</w:t>
            </w:r>
          </w:p>
          <w:p>
            <w:pPr>
              <w:bidi w:val="0"/>
              <w:rPr>
                <w:rFonts w:hint="default" w:ascii="Times New Roman" w:hAnsi="Times New Roman" w:cs="Times New Roman"/>
                <w:b w:val="0"/>
                <w:bCs w:val="0"/>
                <w:color w:val="auto"/>
                <w:lang w:eastAsia="zh-CN"/>
              </w:rPr>
            </w:pPr>
            <w:r>
              <w:rPr>
                <w:rFonts w:hint="default" w:ascii="Times New Roman" w:hAnsi="Times New Roman" w:cs="Times New Roman"/>
                <w:color w:val="auto"/>
              </w:rPr>
              <w:t>针对本项目施工废水特点</w:t>
            </w:r>
            <w:r>
              <w:rPr>
                <w:rFonts w:hint="default" w:ascii="Times New Roman" w:hAnsi="Times New Roman" w:cs="Times New Roman"/>
                <w:color w:val="auto"/>
                <w:lang w:eastAsia="zh-CN"/>
              </w:rPr>
              <w:t>，</w:t>
            </w:r>
            <w:r>
              <w:rPr>
                <w:rFonts w:hint="default" w:ascii="Times New Roman" w:hAnsi="Times New Roman" w:cs="Times New Roman"/>
                <w:color w:val="auto"/>
              </w:rPr>
              <w:t>四周布置的集水沟汇集生产废水</w:t>
            </w:r>
            <w:r>
              <w:rPr>
                <w:rFonts w:hint="default" w:ascii="Times New Roman" w:hAnsi="Times New Roman" w:cs="Times New Roman"/>
                <w:color w:val="auto"/>
                <w:lang w:eastAsia="zh-CN"/>
              </w:rPr>
              <w:t>，采用预沉与沉淀组合的二级沉淀型式和土工布除油处理措施，利用砂石料加工系统四周布置的集水沟汇集生产废水，导入预沉池，加絮凝剂</w:t>
            </w:r>
            <w:r>
              <w:rPr>
                <w:rFonts w:hint="default" w:ascii="Times New Roman" w:hAnsi="Times New Roman" w:cs="Times New Roman"/>
                <w:color w:val="auto"/>
              </w:rPr>
              <w:t>并调节pH</w:t>
            </w:r>
            <w:r>
              <w:rPr>
                <w:rFonts w:hint="default" w:ascii="Times New Roman" w:hAnsi="Times New Roman" w:cs="Times New Roman"/>
                <w:color w:val="auto"/>
                <w:lang w:eastAsia="zh-CN"/>
              </w:rPr>
              <w:t>，</w:t>
            </w:r>
            <w:r>
              <w:rPr>
                <w:rFonts w:hint="default" w:ascii="Times New Roman" w:hAnsi="Times New Roman" w:cs="Times New Roman"/>
                <w:color w:val="auto"/>
                <w:u w:val="none"/>
                <w:lang w:eastAsia="zh-CN"/>
              </w:rPr>
              <w:t>利用土工布吸油，</w:t>
            </w:r>
            <w:r>
              <w:rPr>
                <w:rFonts w:hint="default" w:ascii="Times New Roman" w:hAnsi="Times New Roman" w:cs="Times New Roman"/>
                <w:color w:val="auto"/>
                <w:u w:val="none"/>
                <w:lang w:val="en-US" w:eastAsia="zh-CN"/>
              </w:rPr>
              <w:t>经处理</w:t>
            </w:r>
            <w:r>
              <w:rPr>
                <w:rFonts w:hint="eastAsia" w:ascii="Times New Roman" w:hAnsi="Times New Roman" w:cs="Times New Roman"/>
                <w:color w:val="auto"/>
                <w:u w:val="none"/>
                <w:lang w:val="en-US" w:eastAsia="zh-CN"/>
              </w:rPr>
              <w:t>后回用于施工或洒水降尘</w:t>
            </w:r>
            <w:r>
              <w:rPr>
                <w:rFonts w:hint="default" w:ascii="Times New Roman" w:hAnsi="Times New Roman" w:cs="Times New Roman"/>
                <w:color w:val="auto"/>
                <w:u w:val="none"/>
                <w:lang w:val="en-US" w:eastAsia="zh-CN"/>
              </w:rPr>
              <w:t>，</w:t>
            </w:r>
            <w:r>
              <w:rPr>
                <w:rFonts w:hint="default" w:ascii="Times New Roman" w:hAnsi="Times New Roman" w:cs="Times New Roman"/>
                <w:color w:val="auto"/>
                <w:u w:val="none"/>
              </w:rPr>
              <w:t>施工生产废水不得排入饮用水源地、耕地和</w:t>
            </w:r>
            <w:r>
              <w:rPr>
                <w:rFonts w:hint="default" w:ascii="Times New Roman" w:hAnsi="Times New Roman" w:cs="Times New Roman"/>
                <w:color w:val="auto"/>
              </w:rPr>
              <w:t>鱼塘等敏感区域。根据施工单次产生的废水量，沉淀池按照</w:t>
            </w:r>
            <w:r>
              <w:rPr>
                <w:rFonts w:hint="default" w:ascii="Times New Roman" w:hAnsi="Times New Roman" w:cs="Times New Roman"/>
                <w:color w:val="auto"/>
                <w:lang w:val="en-US" w:eastAsia="zh-CN"/>
              </w:rPr>
              <w:t>3</w:t>
            </w:r>
            <w:r>
              <w:rPr>
                <w:rFonts w:hint="default" w:ascii="Times New Roman" w:hAnsi="Times New Roman" w:cs="Times New Roman"/>
                <w:color w:val="auto"/>
              </w:rPr>
              <w:t>m</w:t>
            </w:r>
            <w:r>
              <w:rPr>
                <w:rFonts w:hint="default" w:ascii="Times New Roman" w:hAnsi="Times New Roman" w:cs="Times New Roman"/>
                <w:color w:val="auto"/>
                <w:vertAlign w:val="superscript"/>
              </w:rPr>
              <w:t>3</w:t>
            </w:r>
            <w:r>
              <w:rPr>
                <w:rFonts w:hint="default" w:ascii="Times New Roman" w:hAnsi="Times New Roman" w:cs="Times New Roman"/>
                <w:color w:val="auto"/>
              </w:rPr>
              <w:t>/d规格进行设计，共设置</w:t>
            </w:r>
            <w:r>
              <w:rPr>
                <w:rFonts w:hint="eastAsia" w:cs="Times New Roman"/>
                <w:color w:val="auto"/>
                <w:lang w:val="en-US" w:eastAsia="zh-CN"/>
              </w:rPr>
              <w:t>5</w:t>
            </w:r>
            <w:r>
              <w:rPr>
                <w:rFonts w:hint="default" w:ascii="Times New Roman" w:hAnsi="Times New Roman" w:cs="Times New Roman"/>
                <w:color w:val="auto"/>
              </w:rPr>
              <w:t>座，主要是设置在施工组织方案中布置的施工</w:t>
            </w:r>
            <w:r>
              <w:rPr>
                <w:rFonts w:hint="default" w:ascii="Times New Roman" w:hAnsi="Times New Roman" w:cs="Times New Roman"/>
                <w:color w:val="auto"/>
                <w:lang w:val="en-US" w:eastAsia="zh-CN"/>
              </w:rPr>
              <w:t>工区内</w:t>
            </w:r>
            <w:r>
              <w:rPr>
                <w:rFonts w:hint="default" w:ascii="Times New Roman" w:hAnsi="Times New Roman" w:cs="Times New Roman"/>
                <w:color w:val="auto"/>
              </w:rPr>
              <w:t>，具体位置也可根据后期施工需要进行微调。工程施工结束后沉淀池应及时进行回填处理</w:t>
            </w: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采取以上废水治理措施后，其浓度可得到有效控制，能够实现达标排放，对区域地表水环境影响不大。</w:t>
            </w:r>
          </w:p>
          <w:p>
            <w:pPr>
              <w:numPr>
                <w:ilvl w:val="0"/>
                <w:numId w:val="0"/>
              </w:numPr>
              <w:ind w:left="480" w:leftChars="0"/>
              <w:rPr>
                <w:rFonts w:hint="default" w:ascii="Times New Roman" w:hAnsi="Times New Roman" w:cs="Times New Roman"/>
                <w:b w:val="0"/>
                <w:bCs w:val="0"/>
                <w:color w:val="auto"/>
                <w:lang w:eastAsia="zh-CN"/>
              </w:rPr>
            </w:pPr>
            <w:r>
              <w:rPr>
                <w:rFonts w:hint="eastAsia" w:cs="Times New Roman"/>
                <w:b w:val="0"/>
                <w:bCs w:val="0"/>
                <w:color w:val="auto"/>
                <w:lang w:eastAsia="zh-CN"/>
              </w:rPr>
              <w:t>（</w:t>
            </w:r>
            <w:r>
              <w:rPr>
                <w:rFonts w:hint="eastAsia" w:cs="Times New Roman"/>
                <w:b w:val="0"/>
                <w:bCs w:val="0"/>
                <w:color w:val="auto"/>
                <w:lang w:val="en-US" w:eastAsia="zh-CN"/>
              </w:rPr>
              <w:t>2</w:t>
            </w:r>
            <w:r>
              <w:rPr>
                <w:rFonts w:hint="eastAsia" w:cs="Times New Roman"/>
                <w:b w:val="0"/>
                <w:bCs w:val="0"/>
                <w:color w:val="auto"/>
                <w:lang w:eastAsia="zh-CN"/>
              </w:rPr>
              <w:t>）</w:t>
            </w:r>
            <w:r>
              <w:rPr>
                <w:rFonts w:hint="default" w:ascii="Times New Roman" w:hAnsi="Times New Roman" w:cs="Times New Roman"/>
                <w:b w:val="0"/>
                <w:bCs w:val="0"/>
                <w:color w:val="auto"/>
                <w:lang w:eastAsia="zh-CN"/>
              </w:rPr>
              <w:t>车辆机械冲洗废水防治措施</w:t>
            </w:r>
          </w:p>
          <w:p>
            <w:pPr>
              <w:rPr>
                <w:rFonts w:hint="eastAsia" w:eastAsia="宋体"/>
                <w:color w:val="auto"/>
                <w:lang w:val="en-US" w:eastAsia="zh-CN"/>
              </w:rPr>
            </w:pPr>
            <w:r>
              <w:rPr>
                <w:rFonts w:hint="eastAsia"/>
                <w:color w:val="auto"/>
              </w:rPr>
              <w:t>根据施工机械及汽车冲洗、保养废水的排放量、水质等特点，拟采用小型隔油池处理含油废水。</w:t>
            </w:r>
            <w:r>
              <w:rPr>
                <w:rFonts w:hint="eastAsia"/>
                <w:color w:val="auto"/>
                <w:highlight w:val="none"/>
              </w:rPr>
              <w:t>本工程在施工营地均设置了施工机械停放场，为便于收集处理含油废水，在施工机械停放场附近设置1处冲洗专用场地，四周设置集水沟收集废水，而后进入隔油池处理，</w:t>
            </w:r>
            <w:r>
              <w:rPr>
                <w:rFonts w:hint="eastAsia"/>
                <w:color w:val="auto"/>
                <w:highlight w:val="none"/>
                <w:lang w:val="en-US" w:eastAsia="zh-CN"/>
              </w:rPr>
              <w:t>经处理后</w:t>
            </w:r>
            <w:r>
              <w:rPr>
                <w:rFonts w:hint="eastAsia"/>
                <w:color w:val="auto"/>
                <w:highlight w:val="none"/>
              </w:rPr>
              <w:t>用于施工场地洒水。</w:t>
            </w:r>
            <w:r>
              <w:rPr>
                <w:rFonts w:hint="default"/>
                <w:color w:val="auto"/>
              </w:rPr>
              <w:t>评价要求施工机械和车辆在项目施工</w:t>
            </w:r>
            <w:r>
              <w:rPr>
                <w:rFonts w:hint="default"/>
                <w:color w:val="auto"/>
                <w:lang w:eastAsia="zh-CN"/>
              </w:rPr>
              <w:t>场地</w:t>
            </w:r>
            <w:r>
              <w:rPr>
                <w:rFonts w:hint="default"/>
                <w:color w:val="auto"/>
              </w:rPr>
              <w:t>进出口处设置清洗设施及冲洗池，清洗车辆所产生的含油废水不得随意排放，要求施工方配套建设排水沟和隔油池、沉淀池等设备，施工废水经相应隔油沉淀处理后循环使用，可用于场地洒水降尘，不得随意排放，同时沉淀池泥沙也可作为建筑砂浆回用</w:t>
            </w:r>
            <w:r>
              <w:rPr>
                <w:rFonts w:hint="eastAsia"/>
                <w:color w:val="auto"/>
                <w:lang w:eastAsia="zh-CN"/>
              </w:rPr>
              <w:t>。</w:t>
            </w:r>
          </w:p>
          <w:p>
            <w:pPr>
              <w:numPr>
                <w:ilvl w:val="0"/>
                <w:numId w:val="13"/>
              </w:numPr>
              <w:ind w:left="60" w:leftChars="0" w:firstLine="420" w:firstLineChars="0"/>
              <w:rPr>
                <w:rFonts w:hint="default"/>
                <w:color w:val="auto"/>
                <w:lang w:val="en-US" w:eastAsia="zh-CN"/>
              </w:rPr>
            </w:pPr>
            <w:r>
              <w:rPr>
                <w:rFonts w:hint="default"/>
                <w:color w:val="auto"/>
                <w:lang w:val="en-US" w:eastAsia="zh-CN"/>
              </w:rPr>
              <w:t>生活污水防治措施</w:t>
            </w:r>
          </w:p>
          <w:p>
            <w:pPr>
              <w:rPr>
                <w:rFonts w:hint="default"/>
                <w:color w:val="auto"/>
              </w:rPr>
            </w:pPr>
            <w:r>
              <w:rPr>
                <w:rFonts w:hint="default"/>
                <w:color w:val="auto"/>
              </w:rPr>
              <w:t>施工期施工人员生活污水处理依托租住的</w:t>
            </w:r>
            <w:r>
              <w:rPr>
                <w:rFonts w:hint="default"/>
                <w:color w:val="auto"/>
                <w:lang w:val="en-US" w:eastAsia="zh-CN"/>
              </w:rPr>
              <w:t>附近场镇</w:t>
            </w:r>
            <w:r>
              <w:rPr>
                <w:rFonts w:hint="default"/>
                <w:color w:val="auto"/>
              </w:rPr>
              <w:t>民房</w:t>
            </w:r>
            <w:r>
              <w:rPr>
                <w:rFonts w:hint="default"/>
                <w:color w:val="auto"/>
                <w:lang w:val="en-US" w:eastAsia="zh-CN"/>
              </w:rPr>
              <w:t>的</w:t>
            </w:r>
            <w:r>
              <w:rPr>
                <w:rFonts w:hint="default"/>
                <w:color w:val="auto"/>
              </w:rPr>
              <w:t>污水处理设施</w:t>
            </w:r>
            <w:r>
              <w:rPr>
                <w:rFonts w:hint="eastAsia"/>
                <w:color w:val="auto"/>
              </w:rPr>
              <w:t>处理</w:t>
            </w:r>
            <w:r>
              <w:rPr>
                <w:rFonts w:hint="default"/>
                <w:color w:val="auto"/>
                <w:lang w:eastAsia="zh-CN"/>
              </w:rPr>
              <w:t>，</w:t>
            </w:r>
            <w:r>
              <w:rPr>
                <w:rFonts w:hint="default"/>
                <w:color w:val="auto"/>
              </w:rPr>
              <w:t>严禁施工人员生活污水超标和随意外排，避免对地表水环境造成污染。</w:t>
            </w:r>
          </w:p>
          <w:p>
            <w:pPr>
              <w:keepNext w:val="0"/>
              <w:keepLines w:val="0"/>
              <w:suppressLineNumbers w:val="0"/>
              <w:bidi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项目涉及地表水为</w:t>
            </w:r>
            <w:r>
              <w:rPr>
                <w:rFonts w:hint="eastAsia" w:cs="Times New Roman"/>
                <w:b/>
                <w:bCs/>
                <w:color w:val="auto"/>
                <w:lang w:val="en-US" w:eastAsia="zh-CN"/>
              </w:rPr>
              <w:t>胡家河</w:t>
            </w:r>
            <w:r>
              <w:rPr>
                <w:rFonts w:hint="default" w:ascii="Times New Roman" w:hAnsi="Times New Roman" w:cs="Times New Roman"/>
                <w:b/>
                <w:bCs/>
                <w:color w:val="auto"/>
              </w:rPr>
              <w:t>，为防止施工期对地表水造成污染，环评要求对施工废水污染防治应加强以下管理措施：</w:t>
            </w:r>
          </w:p>
          <w:p>
            <w:pPr>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①加强施工人员管理，对施工人员进行水体保护教育，规范施工行为。</w:t>
            </w:r>
          </w:p>
          <w:p>
            <w:pPr>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②项目在施工过程中，应加强堆放材料的管理，禁止露天堆放，以防止雨水冲刷，造成含油污、含锈废水进入水体。</w:t>
            </w:r>
          </w:p>
          <w:p>
            <w:pPr>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③通过合理设计，缩短工期，将施工期水环境影响降到最小；施工过程中，施工设备不得接触地表径流，降低施工设备产生油类的跑冒滴漏进入地表水，影响其水质。加强对施工废水的管理，严格按照环评提出的废水防治措施进行废水的治理，严禁将施工废水和生活污水排入河体。</w:t>
            </w:r>
          </w:p>
          <w:p>
            <w:pPr>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④为减缓工程施工对水体的影响，本次施工主要采取围堰施工的施工方式。</w:t>
            </w:r>
            <w:r>
              <w:rPr>
                <w:rFonts w:hint="eastAsia" w:cs="Times New Roman"/>
                <w:color w:val="auto"/>
                <w:lang w:val="en-US" w:eastAsia="zh-CN"/>
              </w:rPr>
              <w:t>胡家河</w:t>
            </w:r>
            <w:r>
              <w:rPr>
                <w:rFonts w:hint="default" w:ascii="Times New Roman" w:hAnsi="Times New Roman" w:cs="Times New Roman"/>
                <w:color w:val="auto"/>
              </w:rPr>
              <w:t>涉水施工需要在围堰的保护下才能进行，使施工区域与河流隔开，不会影响到围堰外的河流水质。</w:t>
            </w:r>
          </w:p>
          <w:p>
            <w:pPr>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⑤加强对建筑垃圾和生活垃圾的管理，生活垃圾使用垃圾桶收集，日产日清。严禁沿着河道进行堆放，严禁将其倾入河道中，及时清运。</w:t>
            </w:r>
          </w:p>
          <w:p>
            <w:pPr>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b/>
                <w:bCs/>
                <w:color w:val="auto"/>
              </w:rPr>
              <w:t>综上所述，通过上述措施即可减小施工期对水环境的影响，且措施简单，经济可行，项目对下游</w:t>
            </w:r>
            <w:r>
              <w:rPr>
                <w:rFonts w:hint="eastAsia" w:cs="Times New Roman"/>
                <w:b/>
                <w:bCs/>
                <w:color w:val="auto"/>
                <w:lang w:val="en-US" w:eastAsia="zh-CN"/>
              </w:rPr>
              <w:t>胡家河</w:t>
            </w:r>
            <w:r>
              <w:rPr>
                <w:rFonts w:hint="default" w:ascii="Times New Roman" w:hAnsi="Times New Roman" w:cs="Times New Roman"/>
                <w:b/>
                <w:bCs/>
                <w:color w:val="auto"/>
              </w:rPr>
              <w:t>水质影响较小。</w:t>
            </w:r>
          </w:p>
          <w:p>
            <w:pPr>
              <w:rPr>
                <w:rFonts w:hint="eastAsia"/>
                <w:b/>
                <w:bCs/>
                <w:color w:val="auto"/>
                <w:lang w:val="en-US" w:eastAsia="zh-CN"/>
              </w:rPr>
            </w:pPr>
            <w:r>
              <w:rPr>
                <w:rFonts w:hint="eastAsia"/>
                <w:b/>
                <w:bCs/>
                <w:color w:val="auto"/>
                <w:lang w:val="en-US" w:eastAsia="zh-CN"/>
              </w:rPr>
              <w:t>二、生态环境保护措施</w:t>
            </w:r>
          </w:p>
          <w:p>
            <w:pPr>
              <w:numPr>
                <w:ilvl w:val="0"/>
                <w:numId w:val="0"/>
              </w:numPr>
              <w:ind w:left="482" w:leftChars="0"/>
              <w:rPr>
                <w:rFonts w:hint="eastAsia"/>
                <w:b/>
                <w:bCs/>
                <w:color w:val="auto"/>
                <w:lang w:val="en-US" w:eastAsia="zh-CN"/>
              </w:rPr>
            </w:pPr>
            <w:r>
              <w:rPr>
                <w:rFonts w:hint="eastAsia"/>
                <w:b/>
                <w:bCs/>
                <w:color w:val="auto"/>
                <w:lang w:val="en-US" w:eastAsia="zh-CN"/>
              </w:rPr>
              <w:t>1、水土流失防治措施</w:t>
            </w:r>
          </w:p>
          <w:p>
            <w:pPr>
              <w:bidi w:val="0"/>
              <w:rPr>
                <w:rFonts w:hint="eastAsia"/>
                <w:color w:val="auto"/>
                <w:lang w:val="en-US" w:eastAsia="zh-CN"/>
              </w:rPr>
            </w:pPr>
            <w:r>
              <w:rPr>
                <w:rFonts w:hint="eastAsia"/>
                <w:color w:val="auto"/>
                <w:lang w:val="en-US" w:eastAsia="zh-CN"/>
              </w:rPr>
              <w:t>本项目工程区域内不涉及国家森林重点保护区。项目在施工期基础开挖时会产生水土流失的影响，为了控制和减少工程建设造成的水土流失，保障工程建设和营运的安全，保护水土资源和改善生态环境，根据国家相关法律法规以及水行政主管部门的相关要求，在全面收集资料和调查的基础上，针对本项目工程建设过程中的水土流失特点和防护要求，提出与本工程相应的水土流失防治措施、施工迹地恢复措施和生态环境保护措施等。</w:t>
            </w:r>
          </w:p>
          <w:p>
            <w:pPr>
              <w:bidi w:val="0"/>
              <w:rPr>
                <w:rFonts w:hint="eastAsia"/>
                <w:color w:val="auto"/>
                <w:lang w:val="en-US" w:eastAsia="zh-CN"/>
              </w:rPr>
            </w:pPr>
            <w:r>
              <w:rPr>
                <w:rFonts w:hint="eastAsia"/>
                <w:color w:val="auto"/>
                <w:lang w:val="en-US" w:eastAsia="zh-CN"/>
              </w:rPr>
              <w:t>结合项目组成及施工布局，以及项目新增水土流失预测。将本项目水土流失防治责任范围划分为主体工程区、施工工区、临时堆渣场等三个防治分区。</w:t>
            </w:r>
          </w:p>
          <w:p>
            <w:pPr>
              <w:rPr>
                <w:rFonts w:hint="eastAsia"/>
                <w:color w:val="auto"/>
                <w:lang w:eastAsia="zh-CN"/>
              </w:rPr>
            </w:pPr>
            <w:r>
              <w:rPr>
                <w:rFonts w:hint="eastAsia"/>
                <w:color w:val="auto"/>
              </w:rPr>
              <w:t>各防治分区占地组成及面积统计见</w:t>
            </w:r>
            <w:r>
              <w:rPr>
                <w:rFonts w:hint="eastAsia"/>
                <w:color w:val="auto"/>
                <w:lang w:val="en-US" w:eastAsia="zh-CN"/>
              </w:rPr>
              <w:t>下</w:t>
            </w:r>
            <w:r>
              <w:rPr>
                <w:rFonts w:hint="eastAsia"/>
                <w:color w:val="auto"/>
              </w:rPr>
              <w:t>表</w:t>
            </w:r>
            <w:r>
              <w:rPr>
                <w:rFonts w:hint="eastAsia"/>
                <w:color w:val="auto"/>
                <w:lang w:eastAsia="zh-CN"/>
              </w:rPr>
              <w:t>：</w:t>
            </w:r>
          </w:p>
          <w:p>
            <w:pPr>
              <w:pStyle w:val="16"/>
              <w:bidi w:val="0"/>
              <w:rPr>
                <w:rFonts w:hint="eastAsia"/>
                <w:color w:val="auto"/>
              </w:rPr>
            </w:pPr>
            <w:r>
              <w:rPr>
                <w:rFonts w:hint="eastAsia"/>
                <w:color w:val="auto"/>
                <w:lang w:val="en-US" w:eastAsia="zh-CN"/>
              </w:rPr>
              <w:t xml:space="preserve">表5-1  </w:t>
            </w:r>
            <w:r>
              <w:rPr>
                <w:rFonts w:hint="eastAsia"/>
                <w:color w:val="auto"/>
              </w:rPr>
              <w:t>水土保持防治分区统计表</w:t>
            </w:r>
          </w:p>
          <w:tbl>
            <w:tblPr>
              <w:tblStyle w:val="11"/>
              <w:tblW w:w="4998" w:type="pct"/>
              <w:tblInd w:w="5"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2731"/>
              <w:gridCol w:w="1717"/>
              <w:gridCol w:w="1730"/>
              <w:gridCol w:w="2342"/>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11" w:hRule="atLeast"/>
              </w:trPr>
              <w:tc>
                <w:tcPr>
                  <w:tcW w:w="1602" w:type="pct"/>
                  <w:tcBorders>
                    <w:tl2br w:val="nil"/>
                    <w:tr2bl w:val="nil"/>
                  </w:tcBorders>
                  <w:shd w:val="clear" w:color="auto" w:fill="auto"/>
                  <w:vAlign w:val="bottom"/>
                </w:tcPr>
                <w:p>
                  <w:pPr>
                    <w:pStyle w:val="15"/>
                    <w:bidi w:val="0"/>
                    <w:rPr>
                      <w:b/>
                      <w:bCs/>
                      <w:color w:val="auto"/>
                    </w:rPr>
                  </w:pPr>
                  <w:r>
                    <w:rPr>
                      <w:rFonts w:hint="eastAsia"/>
                      <w:b/>
                      <w:bCs/>
                      <w:color w:val="auto"/>
                    </w:rPr>
                    <w:t>分区</w:t>
                  </w:r>
                </w:p>
              </w:tc>
              <w:tc>
                <w:tcPr>
                  <w:tcW w:w="1007" w:type="pct"/>
                  <w:tcBorders>
                    <w:tl2br w:val="nil"/>
                    <w:tr2bl w:val="nil"/>
                  </w:tcBorders>
                  <w:shd w:val="clear" w:color="auto" w:fill="auto"/>
                  <w:vAlign w:val="bottom"/>
                </w:tcPr>
                <w:p>
                  <w:pPr>
                    <w:pStyle w:val="15"/>
                    <w:bidi w:val="0"/>
                    <w:rPr>
                      <w:b/>
                      <w:bCs/>
                      <w:color w:val="auto"/>
                    </w:rPr>
                  </w:pPr>
                  <w:r>
                    <w:rPr>
                      <w:rFonts w:hint="eastAsia"/>
                      <w:b/>
                      <w:bCs/>
                      <w:color w:val="auto"/>
                    </w:rPr>
                    <w:t>单位</w:t>
                  </w:r>
                </w:p>
              </w:tc>
              <w:tc>
                <w:tcPr>
                  <w:tcW w:w="1015" w:type="pct"/>
                  <w:tcBorders>
                    <w:tl2br w:val="nil"/>
                    <w:tr2bl w:val="nil"/>
                  </w:tcBorders>
                  <w:shd w:val="clear" w:color="auto" w:fill="auto"/>
                  <w:vAlign w:val="bottom"/>
                </w:tcPr>
                <w:p>
                  <w:pPr>
                    <w:pStyle w:val="15"/>
                    <w:bidi w:val="0"/>
                    <w:rPr>
                      <w:b/>
                      <w:bCs/>
                      <w:color w:val="auto"/>
                    </w:rPr>
                  </w:pPr>
                  <w:r>
                    <w:rPr>
                      <w:rFonts w:hint="eastAsia"/>
                      <w:b/>
                      <w:bCs/>
                      <w:color w:val="auto"/>
                    </w:rPr>
                    <w:t>分区面积</w:t>
                  </w:r>
                </w:p>
              </w:tc>
              <w:tc>
                <w:tcPr>
                  <w:tcW w:w="1374" w:type="pct"/>
                  <w:tcBorders>
                    <w:tl2br w:val="nil"/>
                    <w:tr2bl w:val="nil"/>
                  </w:tcBorders>
                  <w:shd w:val="clear" w:color="auto" w:fill="auto"/>
                  <w:noWrap/>
                  <w:vAlign w:val="bottom"/>
                </w:tcPr>
                <w:p>
                  <w:pPr>
                    <w:pStyle w:val="15"/>
                    <w:bidi w:val="0"/>
                    <w:rPr>
                      <w:b/>
                      <w:bCs/>
                      <w:color w:val="auto"/>
                    </w:rPr>
                  </w:pPr>
                  <w:r>
                    <w:rPr>
                      <w:rFonts w:hint="eastAsia"/>
                      <w:b/>
                      <w:bCs/>
                      <w:color w:val="auto"/>
                    </w:rPr>
                    <w:t>备注</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11" w:hRule="atLeast"/>
              </w:trPr>
              <w:tc>
                <w:tcPr>
                  <w:tcW w:w="1602" w:type="pct"/>
                  <w:tcBorders>
                    <w:tl2br w:val="nil"/>
                    <w:tr2bl w:val="nil"/>
                  </w:tcBorders>
                  <w:shd w:val="clear" w:color="auto" w:fill="auto"/>
                  <w:vAlign w:val="bottom"/>
                </w:tcPr>
                <w:p>
                  <w:pPr>
                    <w:pStyle w:val="15"/>
                    <w:bidi w:val="0"/>
                    <w:rPr>
                      <w:color w:val="auto"/>
                    </w:rPr>
                  </w:pPr>
                  <w:r>
                    <w:rPr>
                      <w:rFonts w:hint="eastAsia"/>
                      <w:color w:val="auto"/>
                    </w:rPr>
                    <w:t>主体工程防治区</w:t>
                  </w:r>
                </w:p>
              </w:tc>
              <w:tc>
                <w:tcPr>
                  <w:tcW w:w="1007" w:type="pct"/>
                  <w:tcBorders>
                    <w:tl2br w:val="nil"/>
                    <w:tr2bl w:val="nil"/>
                  </w:tcBorders>
                  <w:shd w:val="clear" w:color="auto" w:fill="auto"/>
                  <w:noWrap/>
                  <w:vAlign w:val="bottom"/>
                </w:tcPr>
                <w:p>
                  <w:pPr>
                    <w:pStyle w:val="15"/>
                    <w:bidi w:val="0"/>
                    <w:rPr>
                      <w:color w:val="auto"/>
                    </w:rPr>
                  </w:pPr>
                  <w:r>
                    <w:rPr>
                      <w:color w:val="auto"/>
                    </w:rPr>
                    <w:t>hm</w:t>
                  </w:r>
                  <w:r>
                    <w:rPr>
                      <w:color w:val="auto"/>
                      <w:vertAlign w:val="superscript"/>
                    </w:rPr>
                    <w:t>2</w:t>
                  </w:r>
                </w:p>
              </w:tc>
              <w:tc>
                <w:tcPr>
                  <w:tcW w:w="1015" w:type="pct"/>
                  <w:tcBorders>
                    <w:tl2br w:val="nil"/>
                    <w:tr2bl w:val="nil"/>
                  </w:tcBorders>
                  <w:shd w:val="clear" w:color="auto" w:fill="auto"/>
                  <w:vAlign w:val="bottom"/>
                </w:tcPr>
                <w:p>
                  <w:pPr>
                    <w:pStyle w:val="15"/>
                    <w:bidi w:val="0"/>
                    <w:rPr>
                      <w:rFonts w:hint="default" w:eastAsia="宋体"/>
                      <w:color w:val="auto"/>
                      <w:lang w:val="en-US" w:eastAsia="zh-CN"/>
                    </w:rPr>
                  </w:pPr>
                  <w:r>
                    <w:rPr>
                      <w:rFonts w:hint="eastAsia"/>
                      <w:color w:val="auto"/>
                      <w:lang w:val="en-US" w:eastAsia="zh-CN"/>
                    </w:rPr>
                    <w:t>1.19</w:t>
                  </w:r>
                </w:p>
              </w:tc>
              <w:tc>
                <w:tcPr>
                  <w:tcW w:w="1374" w:type="pct"/>
                  <w:tcBorders>
                    <w:tl2br w:val="nil"/>
                    <w:tr2bl w:val="nil"/>
                  </w:tcBorders>
                  <w:shd w:val="clear" w:color="auto" w:fill="auto"/>
                  <w:noWrap/>
                  <w:vAlign w:val="bottom"/>
                </w:tcPr>
                <w:p>
                  <w:pPr>
                    <w:pStyle w:val="15"/>
                    <w:bidi w:val="0"/>
                    <w:rPr>
                      <w:rFonts w:hint="eastAsia" w:eastAsia="宋体"/>
                      <w:color w:val="auto"/>
                      <w:lang w:val="en-US" w:eastAsia="zh-CN"/>
                    </w:rPr>
                  </w:pPr>
                  <w:r>
                    <w:rPr>
                      <w:rFonts w:hint="eastAsia"/>
                      <w:color w:val="auto"/>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11" w:hRule="atLeast"/>
              </w:trPr>
              <w:tc>
                <w:tcPr>
                  <w:tcW w:w="1602" w:type="pct"/>
                  <w:tcBorders>
                    <w:tl2br w:val="nil"/>
                    <w:tr2bl w:val="nil"/>
                  </w:tcBorders>
                  <w:shd w:val="clear" w:color="auto" w:fill="auto"/>
                  <w:vAlign w:val="bottom"/>
                </w:tcPr>
                <w:p>
                  <w:pPr>
                    <w:pStyle w:val="15"/>
                    <w:bidi w:val="0"/>
                    <w:rPr>
                      <w:color w:val="auto"/>
                    </w:rPr>
                  </w:pPr>
                  <w:r>
                    <w:rPr>
                      <w:rFonts w:hint="eastAsia"/>
                      <w:color w:val="auto"/>
                    </w:rPr>
                    <w:t>施工</w:t>
                  </w:r>
                  <w:r>
                    <w:rPr>
                      <w:rFonts w:hint="eastAsia"/>
                      <w:color w:val="auto"/>
                      <w:lang w:val="en-US" w:eastAsia="zh-CN"/>
                    </w:rPr>
                    <w:t>工区</w:t>
                  </w:r>
                  <w:r>
                    <w:rPr>
                      <w:rFonts w:hint="eastAsia"/>
                      <w:color w:val="auto"/>
                    </w:rPr>
                    <w:t>防治区</w:t>
                  </w:r>
                </w:p>
              </w:tc>
              <w:tc>
                <w:tcPr>
                  <w:tcW w:w="1007" w:type="pct"/>
                  <w:tcBorders>
                    <w:tl2br w:val="nil"/>
                    <w:tr2bl w:val="nil"/>
                  </w:tcBorders>
                  <w:shd w:val="clear" w:color="auto" w:fill="auto"/>
                  <w:noWrap/>
                  <w:vAlign w:val="bottom"/>
                </w:tcPr>
                <w:p>
                  <w:pPr>
                    <w:pStyle w:val="15"/>
                    <w:bidi w:val="0"/>
                    <w:rPr>
                      <w:color w:val="auto"/>
                    </w:rPr>
                  </w:pPr>
                  <w:r>
                    <w:rPr>
                      <w:color w:val="auto"/>
                    </w:rPr>
                    <w:t>hm</w:t>
                  </w:r>
                  <w:r>
                    <w:rPr>
                      <w:color w:val="auto"/>
                      <w:vertAlign w:val="superscript"/>
                    </w:rPr>
                    <w:t>2</w:t>
                  </w:r>
                </w:p>
              </w:tc>
              <w:tc>
                <w:tcPr>
                  <w:tcW w:w="1015" w:type="pct"/>
                  <w:tcBorders>
                    <w:tl2br w:val="nil"/>
                    <w:tr2bl w:val="nil"/>
                  </w:tcBorders>
                  <w:shd w:val="clear" w:color="auto" w:fill="auto"/>
                  <w:vAlign w:val="bottom"/>
                </w:tcPr>
                <w:p>
                  <w:pPr>
                    <w:pStyle w:val="15"/>
                    <w:bidi w:val="0"/>
                    <w:rPr>
                      <w:rFonts w:hint="default" w:eastAsia="宋体"/>
                      <w:color w:val="auto"/>
                      <w:lang w:val="en-US" w:eastAsia="zh-CN"/>
                    </w:rPr>
                  </w:pPr>
                  <w:r>
                    <w:rPr>
                      <w:rFonts w:hint="eastAsia"/>
                      <w:color w:val="auto"/>
                      <w:lang w:val="en-US" w:eastAsia="zh-CN"/>
                    </w:rPr>
                    <w:t>0.12</w:t>
                  </w:r>
                </w:p>
              </w:tc>
              <w:tc>
                <w:tcPr>
                  <w:tcW w:w="1374" w:type="pct"/>
                  <w:tcBorders>
                    <w:tl2br w:val="nil"/>
                    <w:tr2bl w:val="nil"/>
                  </w:tcBorders>
                  <w:shd w:val="clear" w:color="auto" w:fill="auto"/>
                  <w:noWrap/>
                  <w:vAlign w:val="bottom"/>
                </w:tcPr>
                <w:p>
                  <w:pPr>
                    <w:pStyle w:val="15"/>
                    <w:bidi w:val="0"/>
                    <w:rPr>
                      <w:rFonts w:hint="eastAsia" w:eastAsia="宋体"/>
                      <w:color w:val="auto"/>
                      <w:lang w:val="en-US" w:eastAsia="zh-CN"/>
                    </w:rPr>
                  </w:pPr>
                  <w:r>
                    <w:rPr>
                      <w:rFonts w:hint="eastAsia"/>
                      <w:color w:val="auto"/>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11" w:hRule="atLeast"/>
              </w:trPr>
              <w:tc>
                <w:tcPr>
                  <w:tcW w:w="1602" w:type="pct"/>
                  <w:tcBorders>
                    <w:tl2br w:val="nil"/>
                    <w:tr2bl w:val="nil"/>
                  </w:tcBorders>
                  <w:shd w:val="clear" w:color="auto" w:fill="auto"/>
                  <w:vAlign w:val="bottom"/>
                </w:tcPr>
                <w:p>
                  <w:pPr>
                    <w:pStyle w:val="15"/>
                    <w:bidi w:val="0"/>
                    <w:rPr>
                      <w:color w:val="auto"/>
                    </w:rPr>
                  </w:pPr>
                  <w:r>
                    <w:rPr>
                      <w:rFonts w:hint="eastAsia"/>
                      <w:color w:val="auto"/>
                    </w:rPr>
                    <w:t>临时堆渣场防治区</w:t>
                  </w:r>
                </w:p>
              </w:tc>
              <w:tc>
                <w:tcPr>
                  <w:tcW w:w="1007" w:type="pct"/>
                  <w:tcBorders>
                    <w:tl2br w:val="nil"/>
                    <w:tr2bl w:val="nil"/>
                  </w:tcBorders>
                  <w:shd w:val="clear" w:color="auto" w:fill="auto"/>
                  <w:noWrap/>
                  <w:vAlign w:val="bottom"/>
                </w:tcPr>
                <w:p>
                  <w:pPr>
                    <w:pStyle w:val="15"/>
                    <w:bidi w:val="0"/>
                    <w:rPr>
                      <w:color w:val="auto"/>
                    </w:rPr>
                  </w:pPr>
                  <w:r>
                    <w:rPr>
                      <w:color w:val="auto"/>
                    </w:rPr>
                    <w:t>hm</w:t>
                  </w:r>
                  <w:r>
                    <w:rPr>
                      <w:color w:val="auto"/>
                      <w:vertAlign w:val="superscript"/>
                    </w:rPr>
                    <w:t>2</w:t>
                  </w:r>
                </w:p>
              </w:tc>
              <w:tc>
                <w:tcPr>
                  <w:tcW w:w="1015" w:type="pct"/>
                  <w:tcBorders>
                    <w:tl2br w:val="nil"/>
                    <w:tr2bl w:val="nil"/>
                  </w:tcBorders>
                  <w:shd w:val="clear" w:color="auto" w:fill="auto"/>
                  <w:vAlign w:val="bottom"/>
                </w:tcPr>
                <w:p>
                  <w:pPr>
                    <w:pStyle w:val="15"/>
                    <w:bidi w:val="0"/>
                    <w:rPr>
                      <w:rFonts w:hint="default" w:eastAsia="宋体"/>
                      <w:color w:val="auto"/>
                      <w:lang w:val="en-US" w:eastAsia="zh-CN"/>
                    </w:rPr>
                  </w:pPr>
                  <w:r>
                    <w:rPr>
                      <w:rFonts w:hint="eastAsia"/>
                      <w:color w:val="auto"/>
                      <w:lang w:val="en-US" w:eastAsia="zh-CN"/>
                    </w:rPr>
                    <w:t>0.97</w:t>
                  </w:r>
                </w:p>
              </w:tc>
              <w:tc>
                <w:tcPr>
                  <w:tcW w:w="1374" w:type="pct"/>
                  <w:tcBorders>
                    <w:tl2br w:val="nil"/>
                    <w:tr2bl w:val="nil"/>
                  </w:tcBorders>
                  <w:shd w:val="clear" w:color="auto" w:fill="auto"/>
                  <w:noWrap/>
                  <w:vAlign w:val="bottom"/>
                </w:tcPr>
                <w:p>
                  <w:pPr>
                    <w:pStyle w:val="15"/>
                    <w:bidi w:val="0"/>
                    <w:rPr>
                      <w:rFonts w:hint="eastAsia" w:eastAsia="宋体"/>
                      <w:color w:val="auto"/>
                      <w:lang w:val="en-US" w:eastAsia="zh-CN"/>
                    </w:rPr>
                  </w:pPr>
                  <w:r>
                    <w:rPr>
                      <w:rFonts w:hint="eastAsia"/>
                      <w:color w:val="auto"/>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0" w:hRule="atLeast"/>
              </w:trPr>
              <w:tc>
                <w:tcPr>
                  <w:tcW w:w="1602" w:type="pct"/>
                  <w:tcBorders>
                    <w:tl2br w:val="nil"/>
                    <w:tr2bl w:val="nil"/>
                  </w:tcBorders>
                  <w:shd w:val="clear" w:color="auto" w:fill="auto"/>
                  <w:vAlign w:val="center"/>
                </w:tcPr>
                <w:p>
                  <w:pPr>
                    <w:pStyle w:val="15"/>
                    <w:bidi w:val="0"/>
                    <w:rPr>
                      <w:color w:val="auto"/>
                    </w:rPr>
                  </w:pPr>
                  <w:r>
                    <w:rPr>
                      <w:rFonts w:hint="eastAsia"/>
                      <w:color w:val="auto"/>
                    </w:rPr>
                    <w:t>合计</w:t>
                  </w:r>
                </w:p>
              </w:tc>
              <w:tc>
                <w:tcPr>
                  <w:tcW w:w="1007" w:type="pct"/>
                  <w:tcBorders>
                    <w:tl2br w:val="nil"/>
                    <w:tr2bl w:val="nil"/>
                  </w:tcBorders>
                  <w:shd w:val="clear" w:color="auto" w:fill="auto"/>
                  <w:vAlign w:val="center"/>
                </w:tcPr>
                <w:p>
                  <w:pPr>
                    <w:pStyle w:val="15"/>
                    <w:bidi w:val="0"/>
                    <w:rPr>
                      <w:color w:val="auto"/>
                    </w:rPr>
                  </w:pPr>
                  <w:r>
                    <w:rPr>
                      <w:color w:val="auto"/>
                    </w:rPr>
                    <w:t>hm</w:t>
                  </w:r>
                  <w:r>
                    <w:rPr>
                      <w:color w:val="auto"/>
                      <w:vertAlign w:val="superscript"/>
                    </w:rPr>
                    <w:t>2</w:t>
                  </w:r>
                </w:p>
              </w:tc>
              <w:tc>
                <w:tcPr>
                  <w:tcW w:w="1015" w:type="pct"/>
                  <w:tcBorders>
                    <w:tl2br w:val="nil"/>
                    <w:tr2bl w:val="nil"/>
                  </w:tcBorders>
                  <w:shd w:val="clear" w:color="auto" w:fill="auto"/>
                  <w:vAlign w:val="center"/>
                </w:tcPr>
                <w:p>
                  <w:pPr>
                    <w:pStyle w:val="15"/>
                    <w:bidi w:val="0"/>
                    <w:rPr>
                      <w:rFonts w:hint="default" w:eastAsia="宋体"/>
                      <w:color w:val="auto"/>
                      <w:lang w:val="en-US" w:eastAsia="zh-CN"/>
                    </w:rPr>
                  </w:pPr>
                  <w:r>
                    <w:rPr>
                      <w:rFonts w:hint="eastAsia"/>
                      <w:color w:val="auto"/>
                      <w:lang w:val="en-US" w:eastAsia="zh-CN"/>
                    </w:rPr>
                    <w:t>2.28</w:t>
                  </w:r>
                </w:p>
              </w:tc>
              <w:tc>
                <w:tcPr>
                  <w:tcW w:w="1374" w:type="pct"/>
                  <w:tcBorders>
                    <w:tl2br w:val="nil"/>
                    <w:tr2bl w:val="nil"/>
                  </w:tcBorders>
                  <w:shd w:val="clear" w:color="auto" w:fill="auto"/>
                  <w:noWrap/>
                  <w:vAlign w:val="center"/>
                </w:tcPr>
                <w:p>
                  <w:pPr>
                    <w:pStyle w:val="15"/>
                    <w:bidi w:val="0"/>
                    <w:rPr>
                      <w:rFonts w:hint="eastAsia" w:eastAsia="宋体"/>
                      <w:color w:val="auto"/>
                      <w:lang w:val="en-US" w:eastAsia="zh-CN"/>
                    </w:rPr>
                  </w:pPr>
                  <w:r>
                    <w:rPr>
                      <w:rFonts w:hint="eastAsia"/>
                      <w:color w:val="auto"/>
                      <w:lang w:val="en-US" w:eastAsia="zh-CN"/>
                    </w:rPr>
                    <w:t>/</w:t>
                  </w:r>
                </w:p>
              </w:tc>
            </w:tr>
          </w:tbl>
          <w:p>
            <w:pPr>
              <w:bidi w:val="0"/>
              <w:rPr>
                <w:rFonts w:hint="default" w:ascii="Times New Roman" w:hAnsi="Times New Roman" w:cs="Times New Roman"/>
                <w:color w:val="auto"/>
              </w:rPr>
            </w:pPr>
            <w:r>
              <w:rPr>
                <w:rFonts w:hint="default" w:ascii="Times New Roman" w:hAnsi="Times New Roman" w:cs="Times New Roman"/>
                <w:color w:val="auto"/>
              </w:rPr>
              <w:t>设计的水土保持工程措施包括表土剥离、表土回覆、全面整地和耕地复耕，植物措施包括撒播草籽，临时措施包括临时苫盖和临时挡土坎</w:t>
            </w:r>
            <w:r>
              <w:rPr>
                <w:rFonts w:hint="eastAsia" w:cs="Times New Roman"/>
                <w:color w:val="auto"/>
                <w:lang w:eastAsia="zh-CN"/>
              </w:rPr>
              <w:t>，</w:t>
            </w:r>
            <w:r>
              <w:rPr>
                <w:rFonts w:hint="default" w:ascii="Times New Roman" w:hAnsi="Times New Roman" w:cs="Times New Roman"/>
                <w:color w:val="auto"/>
              </w:rPr>
              <w:t>各分区水土保持措施布置情况如下：</w:t>
            </w:r>
          </w:p>
          <w:p>
            <w:pPr>
              <w:bidi w:val="0"/>
              <w:rPr>
                <w:rFonts w:hint="default"/>
                <w:b w:val="0"/>
                <w:bCs w:val="0"/>
                <w:color w:val="auto"/>
                <w:lang w:val="en-US" w:eastAsia="zh-CN"/>
              </w:rPr>
            </w:pPr>
            <w:r>
              <w:rPr>
                <w:rFonts w:hint="eastAsia"/>
                <w:b w:val="0"/>
                <w:bCs w:val="0"/>
                <w:color w:val="auto"/>
                <w:lang w:val="en-US" w:eastAsia="zh-CN"/>
              </w:rPr>
              <w:t>（1）主体</w:t>
            </w:r>
            <w:r>
              <w:rPr>
                <w:rFonts w:hint="default"/>
                <w:b w:val="0"/>
                <w:bCs w:val="0"/>
                <w:color w:val="auto"/>
                <w:lang w:val="en-US" w:eastAsia="zh-CN"/>
              </w:rPr>
              <w:t>工程</w:t>
            </w:r>
            <w:r>
              <w:rPr>
                <w:rFonts w:hint="eastAsia"/>
                <w:b w:val="0"/>
                <w:bCs w:val="0"/>
                <w:color w:val="auto"/>
                <w:lang w:val="en-US" w:eastAsia="zh-CN"/>
              </w:rPr>
              <w:t>防治</w:t>
            </w:r>
            <w:r>
              <w:rPr>
                <w:rFonts w:hint="default"/>
                <w:b w:val="0"/>
                <w:bCs w:val="0"/>
                <w:color w:val="auto"/>
                <w:lang w:val="en-US" w:eastAsia="zh-CN"/>
              </w:rPr>
              <w:t>区</w:t>
            </w:r>
          </w:p>
          <w:p>
            <w:pPr>
              <w:bidi w:val="0"/>
              <w:rPr>
                <w:rFonts w:hint="default"/>
                <w:color w:val="auto"/>
                <w:lang w:val="en-US" w:eastAsia="zh-CN"/>
              </w:rPr>
            </w:pPr>
            <w:r>
              <w:rPr>
                <w:rFonts w:hint="default"/>
                <w:color w:val="auto"/>
                <w:lang w:val="en-US" w:eastAsia="zh-CN"/>
              </w:rPr>
              <w:t>工程措施：</w:t>
            </w:r>
            <w:r>
              <w:rPr>
                <w:rFonts w:hint="eastAsia"/>
                <w:color w:val="auto"/>
                <w:lang w:val="en-US" w:eastAsia="zh-CN"/>
              </w:rPr>
              <w:t>有计划的逐步开挖，不得随意扩大土石方开挖等施工区，减少开挖面</w:t>
            </w:r>
            <w:r>
              <w:rPr>
                <w:rFonts w:hint="eastAsia"/>
                <w:color w:val="auto"/>
                <w:highlight w:val="none"/>
                <w:lang w:val="en-US" w:eastAsia="zh-CN"/>
              </w:rPr>
              <w:t>；采用</w:t>
            </w:r>
            <w:r>
              <w:rPr>
                <w:rFonts w:hint="eastAsia"/>
                <w:color w:val="auto"/>
                <w:highlight w:val="none"/>
              </w:rPr>
              <w:t>C2</w:t>
            </w:r>
            <w:r>
              <w:rPr>
                <w:rFonts w:hint="eastAsia"/>
                <w:color w:val="auto"/>
                <w:highlight w:val="none"/>
                <w:lang w:val="en-US" w:eastAsia="zh-CN"/>
              </w:rPr>
              <w:t>0</w:t>
            </w:r>
            <w:r>
              <w:rPr>
                <w:rFonts w:hint="eastAsia"/>
                <w:color w:val="auto"/>
                <w:highlight w:val="none"/>
              </w:rPr>
              <w:t>砼</w:t>
            </w:r>
            <w:r>
              <w:rPr>
                <w:rFonts w:hint="eastAsia"/>
                <w:color w:val="auto"/>
                <w:highlight w:val="none"/>
                <w:lang w:val="en-US" w:eastAsia="zh-CN"/>
              </w:rPr>
              <w:t>排水沟</w:t>
            </w:r>
            <w:r>
              <w:rPr>
                <w:rFonts w:hint="eastAsia"/>
                <w:color w:val="auto"/>
                <w:highlight w:val="none"/>
              </w:rPr>
              <w:t>、C2</w:t>
            </w:r>
            <w:r>
              <w:rPr>
                <w:rFonts w:hint="eastAsia"/>
                <w:color w:val="auto"/>
                <w:highlight w:val="none"/>
                <w:lang w:val="en-US" w:eastAsia="zh-CN"/>
              </w:rPr>
              <w:t>0</w:t>
            </w:r>
            <w:r>
              <w:rPr>
                <w:rFonts w:hint="eastAsia"/>
                <w:color w:val="auto"/>
                <w:highlight w:val="none"/>
              </w:rPr>
              <w:t>砼</w:t>
            </w:r>
            <w:r>
              <w:rPr>
                <w:rFonts w:hint="eastAsia"/>
                <w:color w:val="auto"/>
                <w:highlight w:val="none"/>
                <w:lang w:val="en-US" w:eastAsia="zh-CN"/>
              </w:rPr>
              <w:t>集水井，堤后草皮护坡</w:t>
            </w:r>
            <w:r>
              <w:rPr>
                <w:rFonts w:hint="eastAsia"/>
                <w:color w:val="auto"/>
              </w:rPr>
              <w:t>等</w:t>
            </w:r>
          </w:p>
          <w:p>
            <w:pPr>
              <w:bidi w:val="0"/>
              <w:rPr>
                <w:rFonts w:hint="default"/>
                <w:b w:val="0"/>
                <w:bCs w:val="0"/>
                <w:color w:val="auto"/>
                <w:lang w:val="en-US" w:eastAsia="zh-CN"/>
              </w:rPr>
            </w:pPr>
            <w:r>
              <w:rPr>
                <w:rFonts w:hint="eastAsia"/>
                <w:b w:val="0"/>
                <w:bCs w:val="0"/>
                <w:color w:val="auto"/>
                <w:lang w:val="en-US" w:eastAsia="zh-CN"/>
              </w:rPr>
              <w:t>植物措施：堤防工程亲水平台上采</w:t>
            </w:r>
            <w:r>
              <w:rPr>
                <w:rFonts w:hint="eastAsia"/>
                <w:b w:val="0"/>
                <w:bCs w:val="0"/>
                <w:color w:val="auto"/>
                <w:highlight w:val="none"/>
                <w:lang w:val="en-US" w:eastAsia="zh-CN"/>
              </w:rPr>
              <w:t>用框格梁草皮护坡</w:t>
            </w:r>
            <w:r>
              <w:rPr>
                <w:rFonts w:hint="eastAsia"/>
                <w:b w:val="0"/>
                <w:bCs w:val="0"/>
                <w:color w:val="auto"/>
                <w:lang w:val="en-US" w:eastAsia="zh-CN"/>
              </w:rPr>
              <w:t>，草皮采用适宜当地的植被。</w:t>
            </w:r>
          </w:p>
          <w:p>
            <w:pPr>
              <w:rPr>
                <w:rFonts w:hint="eastAsia"/>
                <w:color w:val="auto"/>
                <w:lang w:val="en-US" w:eastAsia="zh-CN"/>
              </w:rPr>
            </w:pPr>
            <w:r>
              <w:rPr>
                <w:rFonts w:hint="eastAsia"/>
                <w:b w:val="0"/>
                <w:bCs w:val="0"/>
                <w:color w:val="auto"/>
                <w:lang w:val="en-US" w:eastAsia="zh-CN"/>
              </w:rPr>
              <w:t>临时措施：为防治雨水对施工便道的冲刷，根据实际情况应在主体工程区修建临时排水沟，将雨水导入排水沟，在排水沟出口处选择地势平缓的区域设置小型沉砂池。</w:t>
            </w:r>
          </w:p>
          <w:p>
            <w:pPr>
              <w:rPr>
                <w:rFonts w:hint="default"/>
                <w:color w:val="auto"/>
                <w:lang w:val="en-US" w:eastAsia="zh-CN"/>
              </w:rPr>
            </w:pPr>
            <w:r>
              <w:rPr>
                <w:rFonts w:hint="eastAsia"/>
                <w:color w:val="auto"/>
                <w:lang w:val="en-US" w:eastAsia="zh-CN"/>
              </w:rPr>
              <w:t>（2）</w:t>
            </w:r>
            <w:r>
              <w:rPr>
                <w:rFonts w:hint="default"/>
                <w:color w:val="auto"/>
                <w:lang w:val="en-US" w:eastAsia="zh-CN"/>
              </w:rPr>
              <w:t>施工</w:t>
            </w:r>
            <w:r>
              <w:rPr>
                <w:rFonts w:hint="eastAsia"/>
                <w:color w:val="auto"/>
                <w:lang w:val="en-US" w:eastAsia="zh-CN"/>
              </w:rPr>
              <w:t>工区</w:t>
            </w:r>
          </w:p>
          <w:p>
            <w:pPr>
              <w:rPr>
                <w:rFonts w:hint="eastAsia" w:eastAsia="宋体"/>
                <w:color w:val="auto"/>
                <w:lang w:val="en-US" w:eastAsia="zh-CN"/>
              </w:rPr>
            </w:pPr>
            <w:r>
              <w:rPr>
                <w:rFonts w:hint="eastAsia"/>
                <w:color w:val="auto"/>
                <w:lang w:val="en-US" w:eastAsia="zh-CN"/>
              </w:rPr>
              <w:t>工程措施：施工结束后，需及时对场地进行平整和恢复。因此，在修建施工工区前，可先将表土剥离后，堆放于临时堆场，并对剥离表土的堆放采用草袋装土拦挡、彩条布遮盖，作为后期迹地恢复的覆土来源。</w:t>
            </w:r>
            <w:r>
              <w:rPr>
                <w:rFonts w:hint="eastAsia"/>
                <w:color w:val="auto"/>
              </w:rPr>
              <w:t>施工结束后及时拆除临时建筑，清理场地；覆土后对其进行平整，平整过程中用耕整机疏松土壤，以保证农作物的耕种及生长需要，并恢复灌溉排水设施</w:t>
            </w:r>
            <w:r>
              <w:rPr>
                <w:rFonts w:hint="eastAsia"/>
                <w:color w:val="auto"/>
                <w:lang w:eastAsia="zh-CN"/>
              </w:rPr>
              <w:t>。</w:t>
            </w:r>
          </w:p>
          <w:p>
            <w:pPr>
              <w:rPr>
                <w:rFonts w:hint="default"/>
                <w:color w:val="auto"/>
                <w:lang w:val="en-US" w:eastAsia="zh-CN"/>
              </w:rPr>
            </w:pPr>
            <w:r>
              <w:rPr>
                <w:rFonts w:hint="eastAsia"/>
                <w:color w:val="auto"/>
                <w:lang w:val="en-US" w:eastAsia="zh-CN"/>
              </w:rPr>
              <w:t>临时措施：为防治雨水对施工工区的冲刷，根据区域汇水情况，项目应在外边坡设置截水沟，内侧设置排水沟，排水沟与截水沟顺接。在排水沟出口处选择地势平缓的区域设置沉淀池。</w:t>
            </w:r>
          </w:p>
          <w:p>
            <w:pPr>
              <w:rPr>
                <w:rFonts w:hint="eastAsia"/>
                <w:color w:val="auto"/>
                <w:lang w:val="en-US" w:eastAsia="zh-CN"/>
              </w:rPr>
            </w:pPr>
            <w:r>
              <w:rPr>
                <w:rFonts w:hint="eastAsia"/>
                <w:color w:val="auto"/>
                <w:lang w:val="en-US" w:eastAsia="zh-CN"/>
              </w:rPr>
              <w:t>植物措施：施工结束后，为了减少该区域的水土流失和恢复植被景观，需进行造林绿化防护，采用撒播草种进行绿化。</w:t>
            </w:r>
          </w:p>
          <w:p>
            <w:pPr>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lang w:val="en-US" w:eastAsia="zh-CN"/>
              </w:rPr>
            </w:pPr>
            <w:r>
              <w:rPr>
                <w:rFonts w:hint="default" w:ascii="Times New Roman" w:hAnsi="Times New Roman" w:cs="Times New Roman"/>
                <w:color w:val="auto"/>
              </w:rPr>
              <w:t>（</w:t>
            </w:r>
            <w:r>
              <w:rPr>
                <w:rFonts w:hint="eastAsia" w:cs="Times New Roman"/>
                <w:color w:val="auto"/>
                <w:lang w:val="en-US" w:eastAsia="zh-CN"/>
              </w:rPr>
              <w:t>3</w:t>
            </w:r>
            <w:r>
              <w:rPr>
                <w:rFonts w:hint="default" w:ascii="Times New Roman" w:hAnsi="Times New Roman" w:cs="Times New Roman"/>
                <w:color w:val="auto"/>
              </w:rPr>
              <w:t>）</w:t>
            </w:r>
            <w:r>
              <w:rPr>
                <w:rFonts w:hint="default" w:ascii="Times New Roman" w:hAnsi="Times New Roman" w:cs="Times New Roman"/>
                <w:color w:val="auto"/>
                <w:lang w:val="en-US" w:eastAsia="zh-CN"/>
              </w:rPr>
              <w:t>临时</w:t>
            </w:r>
            <w:r>
              <w:rPr>
                <w:rFonts w:hint="default" w:ascii="Times New Roman" w:hAnsi="Times New Roman" w:cs="Times New Roman"/>
                <w:color w:val="auto"/>
              </w:rPr>
              <w:t>堆场</w:t>
            </w:r>
            <w:r>
              <w:rPr>
                <w:rFonts w:hint="default" w:ascii="Times New Roman" w:hAnsi="Times New Roman" w:cs="Times New Roman"/>
                <w:color w:val="auto"/>
                <w:lang w:val="en-US" w:eastAsia="zh-CN"/>
              </w:rPr>
              <w:t>区</w:t>
            </w:r>
          </w:p>
          <w:p>
            <w:pPr>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工程措施：施工结束后，需及时对场地进行平整和恢复。</w:t>
            </w:r>
          </w:p>
          <w:p>
            <w:pPr>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临时措施：在修建</w:t>
            </w:r>
            <w:r>
              <w:rPr>
                <w:rFonts w:hint="default" w:ascii="Times New Roman" w:hAnsi="Times New Roman" w:cs="Times New Roman"/>
                <w:color w:val="auto"/>
                <w:lang w:val="en-US" w:eastAsia="zh-CN"/>
              </w:rPr>
              <w:t>临时</w:t>
            </w:r>
            <w:r>
              <w:rPr>
                <w:rFonts w:hint="default" w:ascii="Times New Roman" w:hAnsi="Times New Roman" w:cs="Times New Roman"/>
                <w:color w:val="auto"/>
              </w:rPr>
              <w:t>堆场前，可先将表土剥离后，堆放于不影响施工活动的空闲区域，</w:t>
            </w:r>
            <w:r>
              <w:rPr>
                <w:rFonts w:hint="eastAsia" w:cs="Times New Roman"/>
                <w:color w:val="auto"/>
                <w:lang w:val="en-US" w:eastAsia="zh-CN"/>
              </w:rPr>
              <w:t>修建后堆放于临时堆场区，</w:t>
            </w:r>
            <w:r>
              <w:rPr>
                <w:rFonts w:hint="default" w:ascii="Times New Roman" w:hAnsi="Times New Roman" w:cs="Times New Roman"/>
                <w:color w:val="auto"/>
              </w:rPr>
              <w:t>并对剥离表土的堆放采用草袋装土拦挡、彩条布遮盖，作为后期迹地恢复的覆土来源。堆场四周设置排水沟渠和沉淀池。</w:t>
            </w:r>
          </w:p>
          <w:p>
            <w:pPr>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综上所述，本项目施工期水土保持措施布局如下表：</w:t>
            </w:r>
          </w:p>
          <w:p>
            <w:pPr>
              <w:pStyle w:val="16"/>
              <w:keepNext w:val="0"/>
              <w:keepLines w:val="0"/>
              <w:suppressLineNumbers w:val="0"/>
              <w:bidi w:val="0"/>
              <w:spacing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表5-1  水土保持措施总体布局表</w:t>
            </w:r>
          </w:p>
          <w:tbl>
            <w:tblPr>
              <w:tblStyle w:val="12"/>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66"/>
              <w:gridCol w:w="1195"/>
              <w:gridCol w:w="3629"/>
              <w:gridCol w:w="203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77"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分区</w:t>
                  </w:r>
                </w:p>
              </w:tc>
              <w:tc>
                <w:tcPr>
                  <w:tcW w:w="701"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措施类型</w:t>
                  </w:r>
                </w:p>
              </w:tc>
              <w:tc>
                <w:tcPr>
                  <w:tcW w:w="2128"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水土保持措施</w:t>
                  </w:r>
                </w:p>
              </w:tc>
              <w:tc>
                <w:tcPr>
                  <w:tcW w:w="1192"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77" w:type="pct"/>
                  <w:vMerge w:val="restart"/>
                  <w:tcBorders>
                    <w:tl2br w:val="nil"/>
                    <w:tr2bl w:val="nil"/>
                  </w:tcBorders>
                  <w:noWrap w:val="0"/>
                  <w:vAlign w:val="center"/>
                </w:tcPr>
                <w:p>
                  <w:pPr>
                    <w:pStyle w:val="15"/>
                    <w:bidi w:val="0"/>
                    <w:rPr>
                      <w:rFonts w:hint="default"/>
                      <w:lang w:val="en-US" w:eastAsia="zh-CN"/>
                    </w:rPr>
                  </w:pPr>
                  <w:r>
                    <w:rPr>
                      <w:rFonts w:hint="eastAsia"/>
                      <w:lang w:val="en-US" w:eastAsia="zh-CN"/>
                    </w:rPr>
                    <w:t>主体</w:t>
                  </w:r>
                  <w:r>
                    <w:rPr>
                      <w:rFonts w:hint="default"/>
                      <w:lang w:val="en-US" w:eastAsia="zh-CN"/>
                    </w:rPr>
                    <w:t>工程</w:t>
                  </w:r>
                  <w:r>
                    <w:rPr>
                      <w:rFonts w:hint="eastAsia"/>
                      <w:lang w:val="en-US" w:eastAsia="zh-CN"/>
                    </w:rPr>
                    <w:t>防治</w:t>
                  </w:r>
                  <w:r>
                    <w:rPr>
                      <w:rFonts w:hint="default"/>
                      <w:lang w:val="en-US" w:eastAsia="zh-CN"/>
                    </w:rPr>
                    <w:t>区</w:t>
                  </w:r>
                </w:p>
              </w:tc>
              <w:tc>
                <w:tcPr>
                  <w:tcW w:w="701" w:type="pct"/>
                  <w:tcBorders>
                    <w:tl2br w:val="nil"/>
                    <w:tr2bl w:val="nil"/>
                  </w:tcBorders>
                  <w:noWrap w:val="0"/>
                  <w:vAlign w:val="center"/>
                </w:tcPr>
                <w:p>
                  <w:pPr>
                    <w:pStyle w:val="15"/>
                    <w:bidi w:val="0"/>
                    <w:rPr>
                      <w:rFonts w:hint="default"/>
                      <w:lang w:val="en-US" w:eastAsia="zh-CN"/>
                    </w:rPr>
                  </w:pPr>
                  <w:r>
                    <w:rPr>
                      <w:rFonts w:hint="default"/>
                      <w:lang w:val="en-US" w:eastAsia="zh-CN"/>
                    </w:rPr>
                    <w:t>工程措施</w:t>
                  </w:r>
                </w:p>
              </w:tc>
              <w:tc>
                <w:tcPr>
                  <w:tcW w:w="2128" w:type="pct"/>
                  <w:tcBorders>
                    <w:tl2br w:val="nil"/>
                    <w:tr2bl w:val="nil"/>
                  </w:tcBorders>
                  <w:noWrap w:val="0"/>
                  <w:vAlign w:val="center"/>
                </w:tcPr>
                <w:p>
                  <w:pPr>
                    <w:pStyle w:val="15"/>
                    <w:bidi w:val="0"/>
                    <w:rPr>
                      <w:rFonts w:hint="default"/>
                      <w:lang w:val="en-US" w:eastAsia="zh-CN"/>
                    </w:rPr>
                  </w:pPr>
                  <w:r>
                    <w:t>砼排水沟（管）、集水井</w:t>
                  </w:r>
                  <w:r>
                    <w:rPr>
                      <w:rFonts w:hint="eastAsia"/>
                      <w:lang w:eastAsia="zh-CN"/>
                    </w:rPr>
                    <w:t>、</w:t>
                  </w:r>
                  <w:r>
                    <w:rPr>
                      <w:rFonts w:hint="eastAsia" w:cs="Times New Roman"/>
                      <w:color w:val="auto"/>
                      <w:lang w:val="en-US" w:eastAsia="zh-CN" w:bidi="ar-SA"/>
                    </w:rPr>
                    <w:t>表土剥离、表土回覆</w:t>
                  </w:r>
                </w:p>
              </w:tc>
              <w:tc>
                <w:tcPr>
                  <w:tcW w:w="1192" w:type="pct"/>
                  <w:tcBorders>
                    <w:tl2br w:val="nil"/>
                    <w:tr2bl w:val="nil"/>
                  </w:tcBorders>
                  <w:noWrap w:val="0"/>
                  <w:vAlign w:val="center"/>
                </w:tcPr>
                <w:p>
                  <w:pPr>
                    <w:pStyle w:val="15"/>
                    <w:bidi w:val="0"/>
                    <w:rPr>
                      <w:rFonts w:hint="default"/>
                      <w:lang w:val="en-US" w:eastAsia="zh-CN"/>
                    </w:rPr>
                  </w:pPr>
                  <w:r>
                    <w:rPr>
                      <w:rFonts w:hint="default"/>
                      <w:lang w:val="en-US" w:eastAsia="zh-CN"/>
                    </w:rPr>
                    <w:t>主体工程已有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77" w:type="pct"/>
                  <w:vMerge w:val="continue"/>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p>
              </w:tc>
              <w:tc>
                <w:tcPr>
                  <w:tcW w:w="701"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临时措施</w:t>
                  </w:r>
                </w:p>
              </w:tc>
              <w:tc>
                <w:tcPr>
                  <w:tcW w:w="2128"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临时截、排水沟及沉砂池</w:t>
                  </w:r>
                </w:p>
              </w:tc>
              <w:tc>
                <w:tcPr>
                  <w:tcW w:w="1192"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水土保持方案新增</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77" w:type="pct"/>
                  <w:vMerge w:val="continue"/>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p>
              </w:tc>
              <w:tc>
                <w:tcPr>
                  <w:tcW w:w="701"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植物措施</w:t>
                  </w:r>
                </w:p>
              </w:tc>
              <w:tc>
                <w:tcPr>
                  <w:tcW w:w="2128"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草皮护坡</w:t>
                  </w:r>
                </w:p>
              </w:tc>
              <w:tc>
                <w:tcPr>
                  <w:tcW w:w="1192"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主体工程已有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77" w:type="pct"/>
                  <w:vMerge w:val="restar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施工工区防治</w:t>
                  </w:r>
                  <w:r>
                    <w:rPr>
                      <w:rFonts w:hint="default" w:ascii="Times New Roman" w:hAnsi="Times New Roman" w:cs="Times New Roman"/>
                      <w:color w:val="auto"/>
                      <w:lang w:val="en-US" w:eastAsia="zh-CN" w:bidi="ar-SA"/>
                    </w:rPr>
                    <w:t>区</w:t>
                  </w:r>
                </w:p>
              </w:tc>
              <w:tc>
                <w:tcPr>
                  <w:tcW w:w="701"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工程措施</w:t>
                  </w:r>
                </w:p>
              </w:tc>
              <w:tc>
                <w:tcPr>
                  <w:tcW w:w="2128"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cs="Times New Roman"/>
                      <w:color w:val="auto"/>
                      <w:lang w:val="en-US" w:eastAsia="zh-CN" w:bidi="ar-SA"/>
                    </w:rPr>
                    <w:t>表土剥离、</w:t>
                  </w:r>
                  <w:r>
                    <w:rPr>
                      <w:rFonts w:hint="default" w:ascii="Times New Roman" w:hAnsi="Times New Roman" w:cs="Times New Roman"/>
                      <w:color w:val="auto"/>
                      <w:lang w:val="en-US" w:eastAsia="zh-CN" w:bidi="ar-SA"/>
                    </w:rPr>
                    <w:t>场地整治</w:t>
                  </w:r>
                </w:p>
              </w:tc>
              <w:tc>
                <w:tcPr>
                  <w:tcW w:w="1192"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主体工程已有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77" w:type="pct"/>
                  <w:vMerge w:val="continue"/>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p>
              </w:tc>
              <w:tc>
                <w:tcPr>
                  <w:tcW w:w="701"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临时措施</w:t>
                  </w:r>
                </w:p>
              </w:tc>
              <w:tc>
                <w:tcPr>
                  <w:tcW w:w="2128"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周边设置临时排水沟</w:t>
                  </w:r>
                </w:p>
              </w:tc>
              <w:tc>
                <w:tcPr>
                  <w:tcW w:w="1192"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主体工程已有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77" w:type="pct"/>
                  <w:vMerge w:val="continue"/>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p>
              </w:tc>
              <w:tc>
                <w:tcPr>
                  <w:tcW w:w="701"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植物措施</w:t>
                  </w:r>
                </w:p>
              </w:tc>
              <w:tc>
                <w:tcPr>
                  <w:tcW w:w="2128"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施工结束后对其进行迹地绿化</w:t>
                  </w:r>
                </w:p>
              </w:tc>
              <w:tc>
                <w:tcPr>
                  <w:tcW w:w="1192"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主体工程已有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77" w:type="pct"/>
                  <w:vMerge w:val="restar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临时堆场</w:t>
                  </w:r>
                  <w:r>
                    <w:rPr>
                      <w:rFonts w:hint="eastAsia" w:cs="Times New Roman"/>
                      <w:color w:val="auto"/>
                      <w:lang w:val="en-US" w:eastAsia="zh-CN" w:bidi="ar-SA"/>
                    </w:rPr>
                    <w:t>防治</w:t>
                  </w:r>
                  <w:r>
                    <w:rPr>
                      <w:rFonts w:hint="default" w:ascii="Times New Roman" w:hAnsi="Times New Roman" w:cs="Times New Roman"/>
                      <w:color w:val="auto"/>
                      <w:lang w:val="en-US" w:eastAsia="zh-CN" w:bidi="ar-SA"/>
                    </w:rPr>
                    <w:t>区</w:t>
                  </w:r>
                </w:p>
              </w:tc>
              <w:tc>
                <w:tcPr>
                  <w:tcW w:w="701"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工程措施</w:t>
                  </w:r>
                </w:p>
              </w:tc>
              <w:tc>
                <w:tcPr>
                  <w:tcW w:w="2128"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土地整治</w:t>
                  </w:r>
                </w:p>
              </w:tc>
              <w:tc>
                <w:tcPr>
                  <w:tcW w:w="1192"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主体工程已有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77" w:type="pct"/>
                  <w:vMerge w:val="continue"/>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p>
              </w:tc>
              <w:tc>
                <w:tcPr>
                  <w:tcW w:w="701"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临时措施</w:t>
                  </w:r>
                </w:p>
              </w:tc>
              <w:tc>
                <w:tcPr>
                  <w:tcW w:w="2128"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彩条布覆盖，土袋拦挡，临时排水沟</w:t>
                  </w:r>
                </w:p>
              </w:tc>
              <w:tc>
                <w:tcPr>
                  <w:tcW w:w="1192"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水土保持方案新增</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77" w:type="pct"/>
                  <w:vMerge w:val="continue"/>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p>
              </w:tc>
              <w:tc>
                <w:tcPr>
                  <w:tcW w:w="701"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植物措施</w:t>
                  </w:r>
                </w:p>
              </w:tc>
              <w:tc>
                <w:tcPr>
                  <w:tcW w:w="2128"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施工结束后对其进行迹地绿化</w:t>
                  </w:r>
                </w:p>
              </w:tc>
              <w:tc>
                <w:tcPr>
                  <w:tcW w:w="1192"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水土保持方案新增</w:t>
                  </w:r>
                </w:p>
              </w:tc>
            </w:tr>
          </w:tbl>
          <w:p>
            <w:pPr>
              <w:bidi w:val="0"/>
              <w:rPr>
                <w:rFonts w:hint="eastAsia"/>
                <w:b/>
                <w:bCs/>
                <w:color w:val="auto"/>
                <w:lang w:val="en-US" w:eastAsia="zh-CN"/>
              </w:rPr>
            </w:pPr>
            <w:r>
              <w:rPr>
                <w:rFonts w:hint="eastAsia"/>
                <w:b/>
                <w:bCs/>
                <w:color w:val="auto"/>
                <w:lang w:val="en-US" w:eastAsia="zh-CN"/>
              </w:rPr>
              <w:t>2、施工迹地恢复措施</w:t>
            </w:r>
          </w:p>
          <w:p>
            <w:pPr>
              <w:bidi w:val="0"/>
              <w:rPr>
                <w:rFonts w:hint="eastAsia"/>
                <w:color w:val="auto"/>
                <w:lang w:val="en-US" w:eastAsia="zh-CN"/>
              </w:rPr>
            </w:pPr>
            <w:r>
              <w:rPr>
                <w:rFonts w:hint="eastAsia"/>
                <w:color w:val="auto"/>
                <w:lang w:val="en-US" w:eastAsia="zh-CN"/>
              </w:rPr>
              <w:t>项目施工迹地主要包括主体工程区、施工工区、临时堆渣场占地。施工结束后与项目建设无关的临时设施和</w:t>
            </w:r>
            <w:r>
              <w:rPr>
                <w:rFonts w:hint="eastAsia"/>
                <w:color w:val="auto"/>
                <w:u w:val="none"/>
                <w:lang w:val="en-US" w:eastAsia="zh-CN"/>
              </w:rPr>
              <w:t>便道</w:t>
            </w:r>
            <w:r>
              <w:rPr>
                <w:rFonts w:hint="eastAsia"/>
                <w:color w:val="auto"/>
                <w:lang w:val="en-US" w:eastAsia="zh-CN"/>
              </w:rPr>
              <w:t>要全面拆除和封闭，应按照总量平衡的原则，根据各处原有植被状况和植物立地条件等具体情况予以及时恢复。植草种类应选择与周围环境相适应的当地常见植物，然后实现灌木、乔木树种的自然恢复。</w:t>
            </w:r>
          </w:p>
          <w:p>
            <w:pPr>
              <w:bidi w:val="0"/>
              <w:rPr>
                <w:rFonts w:hint="eastAsia"/>
                <w:color w:val="auto"/>
                <w:lang w:val="en-US" w:eastAsia="zh-CN"/>
              </w:rPr>
            </w:pPr>
            <w:r>
              <w:rPr>
                <w:rFonts w:hint="eastAsia"/>
                <w:color w:val="auto"/>
                <w:lang w:val="en-US" w:eastAsia="zh-CN"/>
              </w:rPr>
              <w:t>施工区域在施工准备前，需对区域表土进行剥离，剥离的表土堆放于临时堆场，并设临时拦挡措施，采用袋装土拦挡、做好临时覆盖工作。施工结束后，将表土作为施工迹地恢复回填使用，回填结束后，采用撒播草籽进行绿化恢复，并做好管理工作，在达到绿化要求后，与主体工程一并验收交付。</w:t>
            </w:r>
          </w:p>
          <w:p>
            <w:pPr>
              <w:bidi w:val="0"/>
              <w:rPr>
                <w:rFonts w:hint="eastAsia"/>
                <w:b/>
                <w:bCs/>
                <w:color w:val="auto"/>
                <w:lang w:val="en-US" w:eastAsia="zh-CN"/>
              </w:rPr>
            </w:pPr>
            <w:r>
              <w:rPr>
                <w:rFonts w:hint="eastAsia"/>
                <w:b/>
                <w:bCs/>
                <w:color w:val="auto"/>
                <w:lang w:val="en-US" w:eastAsia="zh-CN"/>
              </w:rPr>
              <w:t>3、生态环境保护措施</w:t>
            </w:r>
          </w:p>
          <w:p>
            <w:pPr>
              <w:bidi w:val="0"/>
              <w:rPr>
                <w:rFonts w:hint="default"/>
                <w:color w:val="auto"/>
              </w:rPr>
            </w:pPr>
            <w:r>
              <w:rPr>
                <w:rFonts w:hint="eastAsia"/>
                <w:color w:val="auto"/>
                <w:lang w:val="en-US" w:eastAsia="zh-CN"/>
              </w:rPr>
              <w:t>工程建设过程中，将不可避免地对施工区的植被、动植物、景观和周围环境产生一定影响。有些影响是永久性的和不可逆的，如堤防的永久占地；有些影响是暂时性的，如施工临时占地。后者可通过采取自然或人工辅助措施的方法加以恢复与重建，前者可通过采取人工措施的方法改建或重建，使区域生态系统的结构和功能整体得到逐步改善，完全恢复，乃至更为高效。</w:t>
            </w:r>
          </w:p>
          <w:p>
            <w:pPr>
              <w:bidi w:val="0"/>
              <w:rPr>
                <w:rFonts w:hint="default"/>
                <w:b w:val="0"/>
                <w:bCs w:val="0"/>
                <w:color w:val="auto"/>
                <w:lang w:val="en-US" w:eastAsia="zh-CN"/>
              </w:rPr>
            </w:pPr>
            <w:r>
              <w:rPr>
                <w:rFonts w:hint="eastAsia"/>
                <w:b/>
                <w:bCs/>
                <w:color w:val="auto"/>
                <w:lang w:val="en-US" w:eastAsia="zh-CN"/>
              </w:rPr>
              <w:t>（1）生态影响的防护</w:t>
            </w:r>
          </w:p>
          <w:p>
            <w:pPr>
              <w:bidi w:val="0"/>
              <w:rPr>
                <w:rFonts w:hint="eastAsia"/>
                <w:b w:val="0"/>
                <w:bCs w:val="0"/>
                <w:color w:val="auto"/>
                <w:lang w:val="en-US" w:eastAsia="zh-CN"/>
              </w:rPr>
            </w:pPr>
            <w:r>
              <w:rPr>
                <w:rFonts w:hint="default"/>
                <w:b w:val="0"/>
                <w:bCs w:val="0"/>
                <w:color w:val="auto"/>
                <w:lang w:val="en-US" w:eastAsia="zh-CN"/>
              </w:rPr>
              <w:t>①</w:t>
            </w:r>
            <w:r>
              <w:rPr>
                <w:rFonts w:hint="eastAsia"/>
                <w:b w:val="0"/>
                <w:bCs w:val="0"/>
                <w:color w:val="auto"/>
                <w:lang w:val="en-US" w:eastAsia="zh-CN"/>
              </w:rPr>
              <w:t>生态保护的宣传</w:t>
            </w:r>
          </w:p>
          <w:p>
            <w:pPr>
              <w:bidi w:val="0"/>
              <w:rPr>
                <w:rFonts w:hint="eastAsia"/>
                <w:color w:val="auto"/>
                <w:lang w:val="en-US" w:eastAsia="zh-CN"/>
              </w:rPr>
            </w:pPr>
            <w:r>
              <w:rPr>
                <w:rFonts w:hint="eastAsia"/>
                <w:color w:val="auto"/>
                <w:lang w:val="en-US" w:eastAsia="zh-CN"/>
              </w:rPr>
              <w:t>建设单位在工程施工期需认真做好生态保护的宣传和监督工作，如印发宣传册、制作宣传栏、定期开展宣传活动等。绝不能超计划占用耕地、园地、草地及其他用地；施工过程中，注意加强对施工人员的管理和宣传教育，提高他们保护环境、保护野生动物的意识和觉悟，严令禁止偷猎和捕杀野生动物，禁止乱砍滥伐，做到文明施工。施工期间若遇到野生动物，应注意对其即刻采取适当的保护措施，必要时进行临时人工饲养或上报上级部门处理，不使其受到捕杀和伤害等在内的各种威胁。</w:t>
            </w:r>
          </w:p>
          <w:p>
            <w:pPr>
              <w:bidi w:val="0"/>
              <w:rPr>
                <w:rFonts w:hint="eastAsia"/>
                <w:b w:val="0"/>
                <w:bCs w:val="0"/>
                <w:color w:val="auto"/>
                <w:lang w:val="en-US" w:eastAsia="zh-CN"/>
              </w:rPr>
            </w:pPr>
            <w:r>
              <w:rPr>
                <w:rFonts w:hint="default"/>
                <w:b w:val="0"/>
                <w:bCs w:val="0"/>
                <w:color w:val="auto"/>
                <w:lang w:val="en-US" w:eastAsia="zh-CN"/>
              </w:rPr>
              <w:t>②</w:t>
            </w:r>
            <w:r>
              <w:rPr>
                <w:rFonts w:hint="eastAsia"/>
                <w:b w:val="0"/>
                <w:bCs w:val="0"/>
                <w:color w:val="auto"/>
                <w:lang w:val="en-US" w:eastAsia="zh-CN"/>
              </w:rPr>
              <w:t>生态影响的避让和减缓</w:t>
            </w:r>
          </w:p>
          <w:p>
            <w:pPr>
              <w:bidi w:val="0"/>
              <w:rPr>
                <w:rFonts w:hint="eastAsia"/>
                <w:color w:val="auto"/>
                <w:lang w:val="en-US" w:eastAsia="zh-CN"/>
              </w:rPr>
            </w:pPr>
            <w:r>
              <w:rPr>
                <w:rFonts w:hint="eastAsia"/>
                <w:color w:val="auto"/>
                <w:lang w:val="en-US" w:eastAsia="zh-CN"/>
              </w:rPr>
              <w:t>施工产生的生态影响可通过以下一些具体的措施使之得到部分甚至全部避免：</w:t>
            </w:r>
          </w:p>
          <w:p>
            <w:pPr>
              <w:bidi w:val="0"/>
              <w:rPr>
                <w:rFonts w:hint="eastAsia"/>
                <w:color w:val="auto"/>
                <w:lang w:val="en-US" w:eastAsia="zh-CN"/>
              </w:rPr>
            </w:pPr>
            <w:r>
              <w:rPr>
                <w:rFonts w:hint="eastAsia"/>
                <w:color w:val="auto"/>
                <w:lang w:val="en-US" w:eastAsia="zh-CN"/>
              </w:rPr>
              <w:t>a.严格按照施工设计占地，不增加新的占地。</w:t>
            </w:r>
          </w:p>
          <w:p>
            <w:pPr>
              <w:bidi w:val="0"/>
              <w:rPr>
                <w:rFonts w:hint="eastAsia"/>
                <w:color w:val="auto"/>
                <w:lang w:val="en-US" w:eastAsia="zh-CN"/>
              </w:rPr>
            </w:pPr>
            <w:r>
              <w:rPr>
                <w:rFonts w:hint="eastAsia"/>
                <w:color w:val="auto"/>
                <w:lang w:val="en-US" w:eastAsia="zh-CN"/>
              </w:rPr>
              <w:t>b.施工过程中注意对动、植物的保护，不砍伐林木搭建工棚。施工期间，严格执行国家有关野生动物保护的法规，使它们能够在各自分布区内满足食物、水、隐蔽等基本要求，尽量减少人为干扰，禁止猎捕、套捕和毒杀动物。施工区内的乔、灌木植物，在施工前可先掘起并临时移植到它处，最后再返回补植到临时占地区。临时占地中的果树、乔木、灌木等植物，如不影响正常施工，应保留，并采取标示、网罩等形式保护，使之在施工后能继续存活。</w:t>
            </w:r>
          </w:p>
          <w:p>
            <w:pPr>
              <w:bidi w:val="0"/>
              <w:rPr>
                <w:rFonts w:hint="eastAsia"/>
                <w:color w:val="auto"/>
                <w:lang w:val="en-US" w:eastAsia="zh-CN"/>
              </w:rPr>
            </w:pPr>
            <w:r>
              <w:rPr>
                <w:rFonts w:hint="eastAsia"/>
                <w:color w:val="auto"/>
                <w:lang w:val="en-US" w:eastAsia="zh-CN"/>
              </w:rPr>
              <w:t>c.施工过程中禁止将污染物如油污、垃圾等排放入水体。</w:t>
            </w:r>
          </w:p>
          <w:p>
            <w:pPr>
              <w:bidi w:val="0"/>
              <w:rPr>
                <w:rFonts w:hint="eastAsia"/>
                <w:color w:val="auto"/>
                <w:lang w:val="en-US" w:eastAsia="zh-CN"/>
              </w:rPr>
            </w:pPr>
            <w:r>
              <w:rPr>
                <w:rFonts w:hint="eastAsia"/>
                <w:color w:val="auto"/>
                <w:lang w:val="en-US" w:eastAsia="zh-CN"/>
              </w:rPr>
              <w:t>d.施工结束后，应督促施工单位及时拆除临时建筑物，妥善处理建筑和生活垃圾，清理和平整场地，对裸露的地面必须及时采取人工辅助措施恢复植被覆盖。</w:t>
            </w:r>
          </w:p>
          <w:p>
            <w:pPr>
              <w:bidi w:val="0"/>
              <w:rPr>
                <w:rFonts w:hint="eastAsia"/>
                <w:color w:val="auto"/>
                <w:lang w:val="en-US" w:eastAsia="zh-CN"/>
              </w:rPr>
            </w:pPr>
            <w:r>
              <w:rPr>
                <w:rFonts w:hint="eastAsia"/>
                <w:color w:val="auto"/>
                <w:lang w:val="en-US" w:eastAsia="zh-CN"/>
              </w:rPr>
              <w:t>e.施工过程中部分因占地和工程建设本身而产生的生态影响，若不能完全避免时，则应尽可能削减之。例如对于施工工区占地，应本着节约用地的原则，尽可能少占或不占好地，不得已占地时，则应考虑到日后生态恢复时的平整土地要求等。</w:t>
            </w:r>
          </w:p>
          <w:p>
            <w:pPr>
              <w:bidi w:val="0"/>
              <w:rPr>
                <w:rFonts w:hint="eastAsia"/>
                <w:color w:val="auto"/>
                <w:lang w:val="en-US" w:eastAsia="zh-CN"/>
              </w:rPr>
            </w:pPr>
            <w:r>
              <w:rPr>
                <w:rFonts w:hint="eastAsia"/>
                <w:color w:val="auto"/>
                <w:lang w:val="en-US" w:eastAsia="zh-CN"/>
              </w:rPr>
              <w:t>f.项目建成投入运行后，要加强野生动物的保护管理。保护野生动物的生存环境，消除对野生动物的不利因素，加强对工作人员环境保护意识的教育。</w:t>
            </w:r>
          </w:p>
          <w:p>
            <w:pPr>
              <w:bidi w:val="0"/>
              <w:rPr>
                <w:rFonts w:hint="eastAsia"/>
                <w:b w:val="0"/>
                <w:bCs w:val="0"/>
                <w:color w:val="auto"/>
                <w:lang w:val="en-US" w:eastAsia="zh-CN"/>
              </w:rPr>
            </w:pPr>
            <w:r>
              <w:rPr>
                <w:rFonts w:hint="default"/>
                <w:b w:val="0"/>
                <w:bCs w:val="0"/>
                <w:color w:val="auto"/>
                <w:lang w:val="en-US" w:eastAsia="zh-CN"/>
              </w:rPr>
              <w:t>③</w:t>
            </w:r>
            <w:r>
              <w:rPr>
                <w:rFonts w:hint="eastAsia"/>
                <w:b w:val="0"/>
                <w:bCs w:val="0"/>
                <w:color w:val="auto"/>
                <w:lang w:val="en-US" w:eastAsia="zh-CN"/>
              </w:rPr>
              <w:t>生态管理</w:t>
            </w:r>
          </w:p>
          <w:p>
            <w:pPr>
              <w:bidi w:val="0"/>
              <w:rPr>
                <w:rFonts w:hint="default"/>
                <w:color w:val="auto"/>
              </w:rPr>
            </w:pPr>
            <w:r>
              <w:rPr>
                <w:rFonts w:hint="eastAsia"/>
                <w:color w:val="auto"/>
                <w:lang w:val="en-US" w:eastAsia="zh-CN"/>
              </w:rPr>
              <w:t>实施生态管理，目的在于在对工程项目的生态影响进行系统和科学的评价基础上，应用生态优化准则，做出使生态负面影响减少到最小的施工和运营管理选择。生态管理的目标是通过实施有效的管理、协调和监督，尽可能减少施工过程中产生的环境过度破坏的现象，以及尽可能避免会导致产生生态负面影响的工程行为的发生。</w:t>
            </w:r>
          </w:p>
          <w:p>
            <w:pPr>
              <w:bidi w:val="0"/>
              <w:rPr>
                <w:rFonts w:hint="default"/>
                <w:b/>
                <w:bCs/>
                <w:color w:val="auto"/>
                <w:lang w:val="en-US" w:eastAsia="zh-CN"/>
              </w:rPr>
            </w:pPr>
            <w:r>
              <w:rPr>
                <w:rFonts w:hint="eastAsia"/>
                <w:b/>
                <w:bCs/>
                <w:color w:val="auto"/>
                <w:lang w:val="en-US" w:eastAsia="zh-CN"/>
              </w:rPr>
              <w:t>（2）陆生生态修复</w:t>
            </w:r>
          </w:p>
          <w:p>
            <w:pPr>
              <w:bidi w:val="0"/>
              <w:rPr>
                <w:rFonts w:hint="default"/>
                <w:color w:val="auto"/>
              </w:rPr>
            </w:pPr>
            <w:r>
              <w:rPr>
                <w:rFonts w:hint="eastAsia"/>
                <w:color w:val="auto"/>
                <w:lang w:val="en-US" w:eastAsia="zh-CN"/>
              </w:rPr>
              <w:t>施工结束后在施工临时占地区，除了为了防治水土流失而采取水土保护措施外，还应该从恢复和提高其他生态、景观功能的角度出发，结合植被自然恢复能力，实施生态修复措施。</w:t>
            </w:r>
          </w:p>
          <w:p>
            <w:pPr>
              <w:bidi w:val="0"/>
              <w:rPr>
                <w:rFonts w:hint="eastAsia"/>
                <w:b w:val="0"/>
                <w:bCs w:val="0"/>
                <w:color w:val="auto"/>
                <w:lang w:val="en-US" w:eastAsia="zh-CN"/>
              </w:rPr>
            </w:pPr>
            <w:r>
              <w:rPr>
                <w:rFonts w:hint="default"/>
                <w:b w:val="0"/>
                <w:bCs w:val="0"/>
                <w:color w:val="auto"/>
                <w:lang w:val="en-US" w:eastAsia="zh-CN"/>
              </w:rPr>
              <w:t>①</w:t>
            </w:r>
            <w:r>
              <w:rPr>
                <w:rFonts w:hint="eastAsia"/>
                <w:b w:val="0"/>
                <w:bCs w:val="0"/>
                <w:color w:val="auto"/>
                <w:lang w:val="en-US" w:eastAsia="zh-CN"/>
              </w:rPr>
              <w:t>修复原则</w:t>
            </w:r>
          </w:p>
          <w:p>
            <w:pPr>
              <w:bidi w:val="0"/>
              <w:rPr>
                <w:rFonts w:hint="eastAsia"/>
                <w:color w:val="auto"/>
                <w:lang w:val="en-US" w:eastAsia="zh-CN"/>
              </w:rPr>
            </w:pPr>
            <w:r>
              <w:rPr>
                <w:rFonts w:hint="eastAsia"/>
                <w:color w:val="auto"/>
                <w:lang w:val="en-US" w:eastAsia="zh-CN"/>
              </w:rPr>
              <w:t>a.保护原有生态系统的原则</w:t>
            </w:r>
          </w:p>
          <w:p>
            <w:pPr>
              <w:bidi w:val="0"/>
              <w:rPr>
                <w:rFonts w:hint="eastAsia"/>
                <w:color w:val="auto"/>
                <w:lang w:val="en-US" w:eastAsia="zh-CN"/>
              </w:rPr>
            </w:pPr>
            <w:r>
              <w:rPr>
                <w:rFonts w:hint="eastAsia"/>
                <w:color w:val="auto"/>
                <w:lang w:val="en-US" w:eastAsia="zh-CN"/>
              </w:rPr>
              <w:t>在植被修复过程中，须尽量保护施工占地区原有生态系统类型和自然景观现状。</w:t>
            </w:r>
          </w:p>
          <w:p>
            <w:pPr>
              <w:bidi w:val="0"/>
              <w:rPr>
                <w:rFonts w:hint="eastAsia"/>
                <w:color w:val="auto"/>
                <w:lang w:val="en-US" w:eastAsia="zh-CN"/>
              </w:rPr>
            </w:pPr>
            <w:r>
              <w:rPr>
                <w:rFonts w:hint="eastAsia"/>
                <w:color w:val="auto"/>
                <w:lang w:val="en-US" w:eastAsia="zh-CN"/>
              </w:rPr>
              <w:t>b.保护生物多样性的原则</w:t>
            </w:r>
          </w:p>
          <w:p>
            <w:pPr>
              <w:bidi w:val="0"/>
              <w:rPr>
                <w:rFonts w:hint="eastAsia"/>
                <w:color w:val="auto"/>
                <w:lang w:val="en-US" w:eastAsia="zh-CN"/>
              </w:rPr>
            </w:pPr>
            <w:r>
              <w:rPr>
                <w:rFonts w:hint="eastAsia"/>
                <w:color w:val="auto"/>
                <w:lang w:val="en-US" w:eastAsia="zh-CN"/>
              </w:rPr>
              <w:t>植被修复措施不仅考虑植被覆盖率，而且需要在利用当地原有物种的情况下，尽量使物种多样化，避免过于单一。</w:t>
            </w:r>
          </w:p>
          <w:p>
            <w:pPr>
              <w:bidi w:val="0"/>
              <w:rPr>
                <w:rFonts w:hint="eastAsia"/>
                <w:color w:val="auto"/>
                <w:lang w:val="en-US" w:eastAsia="zh-CN"/>
              </w:rPr>
            </w:pPr>
            <w:r>
              <w:rPr>
                <w:rFonts w:hint="eastAsia"/>
                <w:color w:val="auto"/>
                <w:lang w:val="en-US" w:eastAsia="zh-CN"/>
              </w:rPr>
              <w:t>c.保护耕地资源的原则</w:t>
            </w:r>
          </w:p>
          <w:p>
            <w:pPr>
              <w:bidi w:val="0"/>
              <w:rPr>
                <w:rFonts w:hint="eastAsia"/>
                <w:color w:val="auto"/>
                <w:lang w:val="en-US" w:eastAsia="zh-CN"/>
              </w:rPr>
            </w:pPr>
            <w:r>
              <w:rPr>
                <w:rFonts w:hint="eastAsia"/>
                <w:color w:val="auto"/>
                <w:lang w:val="en-US" w:eastAsia="zh-CN"/>
              </w:rPr>
              <w:t>本项目工程所在区域的耕地主要集中在堤防周边，农地资源相对较少。胡家镇也是该区域生产、生活、交通、通讯、城镇集中的地带，可土地资源较少，而且缺乏可以利用的后备土地资源。因此，应尽量恢复原有耕地资源。</w:t>
            </w:r>
          </w:p>
          <w:p>
            <w:pPr>
              <w:bidi w:val="0"/>
              <w:rPr>
                <w:rFonts w:hint="eastAsia"/>
                <w:color w:val="auto"/>
                <w:lang w:val="en-US" w:eastAsia="zh-CN"/>
              </w:rPr>
            </w:pPr>
            <w:r>
              <w:rPr>
                <w:rFonts w:hint="eastAsia"/>
                <w:color w:val="auto"/>
                <w:lang w:val="en-US" w:eastAsia="zh-CN"/>
              </w:rPr>
              <w:t>d.结合植被自然恢复的原则</w:t>
            </w:r>
          </w:p>
          <w:p>
            <w:pPr>
              <w:bidi w:val="0"/>
              <w:rPr>
                <w:rFonts w:hint="eastAsia"/>
                <w:color w:val="auto"/>
                <w:lang w:val="en-US" w:eastAsia="zh-CN"/>
              </w:rPr>
            </w:pPr>
            <w:r>
              <w:rPr>
                <w:rFonts w:hint="eastAsia"/>
                <w:color w:val="auto"/>
                <w:lang w:val="en-US" w:eastAsia="zh-CN"/>
              </w:rPr>
              <w:t>工程所在区域植被具有一定的自然恢复能力，因此，通过生态修复恢复区域植物群落的自然演替能力，使生态环境得到良性发展。</w:t>
            </w:r>
          </w:p>
          <w:p>
            <w:pPr>
              <w:bidi w:val="0"/>
              <w:rPr>
                <w:rFonts w:hint="eastAsia"/>
                <w:b w:val="0"/>
                <w:bCs w:val="0"/>
                <w:color w:val="auto"/>
                <w:lang w:val="en-US" w:eastAsia="zh-CN"/>
              </w:rPr>
            </w:pPr>
            <w:r>
              <w:rPr>
                <w:rFonts w:hint="default"/>
                <w:b w:val="0"/>
                <w:bCs w:val="0"/>
                <w:color w:val="auto"/>
                <w:lang w:val="en-US" w:eastAsia="zh-CN"/>
              </w:rPr>
              <w:t>②</w:t>
            </w:r>
            <w:r>
              <w:rPr>
                <w:rFonts w:hint="eastAsia"/>
                <w:b w:val="0"/>
                <w:bCs w:val="0"/>
                <w:color w:val="auto"/>
                <w:lang w:val="en-US" w:eastAsia="zh-CN"/>
              </w:rPr>
              <w:t>陆生植物修复分区</w:t>
            </w:r>
          </w:p>
          <w:p>
            <w:pPr>
              <w:bidi w:val="0"/>
              <w:rPr>
                <w:rFonts w:hint="eastAsia"/>
                <w:color w:val="auto"/>
                <w:lang w:val="en-US" w:eastAsia="zh-CN"/>
              </w:rPr>
            </w:pPr>
            <w:r>
              <w:rPr>
                <w:rFonts w:hint="eastAsia"/>
                <w:b w:val="0"/>
                <w:bCs w:val="0"/>
                <w:color w:val="auto"/>
                <w:lang w:val="en-US" w:eastAsia="zh-CN"/>
              </w:rPr>
              <w:t>根据施工临时占地区原有植被类</w:t>
            </w:r>
            <w:r>
              <w:rPr>
                <w:rFonts w:hint="eastAsia"/>
                <w:color w:val="auto"/>
                <w:lang w:val="en-US" w:eastAsia="zh-CN"/>
              </w:rPr>
              <w:t>型，综合考虑气候、土壤、地形等因素，对工程临时占地进行有针对性修复，原地类为耕地的施工临时占地区，根据《土地复垦规定》等法规，在施工结束后需要恢复其耕作条件，进行复垦。对原来为林地的临时占地进行植树造林，采取乔、灌、草立体绿化方式恢复植被。</w:t>
            </w:r>
          </w:p>
          <w:p>
            <w:pPr>
              <w:bidi w:val="0"/>
              <w:rPr>
                <w:rFonts w:hint="default"/>
                <w:b/>
                <w:bCs/>
                <w:color w:val="auto"/>
                <w:lang w:val="en-US" w:eastAsia="zh-CN"/>
              </w:rPr>
            </w:pPr>
            <w:r>
              <w:rPr>
                <w:rFonts w:hint="eastAsia"/>
                <w:b/>
                <w:bCs/>
                <w:color w:val="auto"/>
                <w:lang w:val="en-US" w:eastAsia="zh-CN"/>
              </w:rPr>
              <w:t>（3）生态影响的补偿</w:t>
            </w:r>
          </w:p>
          <w:p>
            <w:pPr>
              <w:bidi w:val="0"/>
              <w:rPr>
                <w:rFonts w:hint="eastAsia"/>
                <w:color w:val="auto"/>
                <w:lang w:val="en-US" w:eastAsia="zh-CN"/>
              </w:rPr>
            </w:pPr>
            <w:r>
              <w:rPr>
                <w:rFonts w:hint="eastAsia"/>
                <w:color w:val="auto"/>
                <w:lang w:val="en-US" w:eastAsia="zh-CN"/>
              </w:rPr>
              <w:t>耕地和林地在当地属于宝贵的自然资源，在工程结束后要尽可能地将临时占地恢复成耕地和林地。当地可供开垦为耕地的荒地几乎没有，因此，在土地资源总量减少的情况下，可以考虑提高土地质量，增加产量，开办设施农业和高产农业等方式补偿，这项工作应在政府部门的统筹安排下进行，耕地和河滩地的补偿标准由相关部门制定并补偿给农户。</w:t>
            </w:r>
          </w:p>
          <w:p>
            <w:pPr>
              <w:rPr>
                <w:rFonts w:hint="eastAsia"/>
                <w:color w:val="auto"/>
                <w:lang w:val="en-US" w:eastAsia="zh-CN"/>
              </w:rPr>
            </w:pPr>
            <w:r>
              <w:rPr>
                <w:rFonts w:hint="eastAsia"/>
                <w:color w:val="auto"/>
                <w:lang w:val="en-US" w:eastAsia="zh-CN"/>
              </w:rPr>
              <w:t>工程区受损害的自然植被包括杂木林、各类灌丛和草地等，这些自然植被的损害是不可恢复的，建设单位应按照国家和地方相应的标准缴纳森林植被恢复费，用于森林和灌丛植被的恢复。此外，还应缴纳建设征地补偿费、土地复垦费、耕地开垦费、耕地占用税、水土保持补偿费等。</w:t>
            </w:r>
          </w:p>
          <w:p>
            <w:pPr>
              <w:bidi w:val="0"/>
              <w:rPr>
                <w:rFonts w:hint="eastAsia"/>
                <w:b/>
                <w:bCs/>
                <w:color w:val="auto"/>
                <w:lang w:val="en-US" w:eastAsia="zh-CN"/>
              </w:rPr>
            </w:pPr>
            <w:r>
              <w:rPr>
                <w:rFonts w:hint="eastAsia"/>
                <w:b/>
                <w:bCs/>
                <w:color w:val="auto"/>
                <w:lang w:val="en-US" w:eastAsia="zh-CN"/>
              </w:rPr>
              <w:t>4、陆生生态保护措施</w:t>
            </w:r>
          </w:p>
          <w:p>
            <w:pPr>
              <w:rPr>
                <w:rFonts w:hint="eastAsia"/>
                <w:color w:val="auto"/>
                <w:u w:val="none"/>
                <w:lang w:val="en-US" w:eastAsia="zh-CN"/>
              </w:rPr>
            </w:pPr>
            <w:r>
              <w:rPr>
                <w:rFonts w:hint="eastAsia"/>
                <w:color w:val="auto"/>
                <w:u w:val="none"/>
                <w:lang w:val="en-US" w:eastAsia="zh-CN"/>
              </w:rPr>
              <w:t>本工程项目建设，虽有利于地区性的经济发展和社会进步，但同时也对动物种群及生态环境造成一定的影响。本项目对陆生生态环境的影响主要为施工期工程占地、土石方开挖等堤防工程活动，因此，在进行工程建设时，应尽量降低这种影响程度，针对项目工程和本区域的动物种群特征及生态条件的特点，提出以下保护措施：</w:t>
            </w:r>
          </w:p>
          <w:p>
            <w:pPr>
              <w:rPr>
                <w:color w:val="auto"/>
                <w:u w:val="none"/>
              </w:rPr>
            </w:pPr>
            <w:r>
              <w:rPr>
                <w:rFonts w:hint="default"/>
                <w:color w:val="auto"/>
                <w:u w:val="none"/>
                <w:lang w:val="en-US" w:eastAsia="zh-CN"/>
              </w:rPr>
              <w:t>①</w:t>
            </w:r>
            <w:r>
              <w:rPr>
                <w:rFonts w:hint="eastAsia"/>
                <w:color w:val="auto"/>
                <w:u w:val="none"/>
                <w:lang w:val="en-US" w:eastAsia="zh-CN"/>
              </w:rPr>
              <w:t>项目</w:t>
            </w:r>
            <w:r>
              <w:rPr>
                <w:color w:val="auto"/>
                <w:u w:val="none"/>
              </w:rPr>
              <w:t>的临时建筑</w:t>
            </w:r>
            <w:r>
              <w:rPr>
                <w:rFonts w:hint="eastAsia"/>
                <w:color w:val="auto"/>
                <w:u w:val="none"/>
                <w:lang w:eastAsia="zh-CN"/>
              </w:rPr>
              <w:t>（</w:t>
            </w:r>
            <w:r>
              <w:rPr>
                <w:rFonts w:hint="eastAsia"/>
                <w:color w:val="auto"/>
                <w:u w:val="none"/>
                <w:lang w:val="en-US" w:eastAsia="zh-CN"/>
              </w:rPr>
              <w:t>施工工区、临时堆渣场）</w:t>
            </w:r>
            <w:r>
              <w:rPr>
                <w:color w:val="auto"/>
                <w:u w:val="none"/>
              </w:rPr>
              <w:t>尽可能</w:t>
            </w:r>
            <w:r>
              <w:rPr>
                <w:rFonts w:hint="eastAsia"/>
                <w:color w:val="auto"/>
                <w:u w:val="none"/>
                <w:lang w:val="en-US" w:eastAsia="zh-CN"/>
              </w:rPr>
              <w:t>在较为平坦的地势上</w:t>
            </w:r>
            <w:r>
              <w:rPr>
                <w:color w:val="auto"/>
                <w:u w:val="none"/>
              </w:rPr>
              <w:t>，尽量减轻对土壤及植被的破坏。尽量减少施工人员及施工机械对作业场外的植被的破坏，严格规定施工车辆的行驶便道，防止施工车辆在有植被的地段任意行驶。严格控制施工临时用地，及时进行植被恢复。确保不越界施工，尽量减少对项目区内土壤和植被的破坏，以免破坏动动物的生存环境和栖息地面积。</w:t>
            </w:r>
          </w:p>
          <w:p>
            <w:pPr>
              <w:rPr>
                <w:color w:val="auto"/>
                <w:u w:val="none"/>
              </w:rPr>
            </w:pPr>
            <w:r>
              <w:rPr>
                <w:rFonts w:hint="default"/>
                <w:color w:val="auto"/>
                <w:u w:val="none"/>
                <w:lang w:val="en-US" w:eastAsia="zh-CN"/>
              </w:rPr>
              <w:t>②</w:t>
            </w:r>
            <w:r>
              <w:rPr>
                <w:rFonts w:hint="eastAsia"/>
                <w:color w:val="auto"/>
                <w:u w:val="none"/>
                <w:lang w:val="en-US" w:eastAsia="zh-CN"/>
              </w:rPr>
              <w:t>项目临时占地（施工工区、临时堆渣场等）</w:t>
            </w:r>
            <w:r>
              <w:rPr>
                <w:color w:val="auto"/>
                <w:u w:val="none"/>
              </w:rPr>
              <w:t>应先剥离表土30cm的耕作层，等施工结束后及时回填进行复耕。在施工过程中，应注意加强对本</w:t>
            </w:r>
            <w:r>
              <w:rPr>
                <w:rFonts w:hint="eastAsia"/>
                <w:color w:val="auto"/>
                <w:u w:val="none"/>
                <w:lang w:val="en-US" w:eastAsia="zh-CN"/>
              </w:rPr>
              <w:t>区域</w:t>
            </w:r>
            <w:r>
              <w:rPr>
                <w:color w:val="auto"/>
                <w:u w:val="none"/>
              </w:rPr>
              <w:t>优势植物群落的保护工作。工程完工后及时清理临时占地，并采取有效措施迅速恢复植被。</w:t>
            </w:r>
          </w:p>
          <w:p>
            <w:pPr>
              <w:rPr>
                <w:color w:val="auto"/>
                <w:u w:val="none"/>
              </w:rPr>
            </w:pPr>
            <w:r>
              <w:rPr>
                <w:rFonts w:hint="default"/>
                <w:color w:val="auto"/>
                <w:u w:val="none"/>
              </w:rPr>
              <w:t>③</w:t>
            </w:r>
            <w:r>
              <w:rPr>
                <w:rFonts w:hint="eastAsia"/>
                <w:color w:val="auto"/>
                <w:u w:val="none"/>
                <w:lang w:val="en-US" w:eastAsia="zh-CN"/>
              </w:rPr>
              <w:t>合理安排施工时段，土石方开挖等</w:t>
            </w:r>
            <w:r>
              <w:rPr>
                <w:color w:val="auto"/>
                <w:u w:val="none"/>
              </w:rPr>
              <w:t>施工</w:t>
            </w:r>
            <w:r>
              <w:rPr>
                <w:rFonts w:hint="eastAsia"/>
                <w:color w:val="auto"/>
                <w:u w:val="none"/>
                <w:lang w:val="en-US" w:eastAsia="zh-CN"/>
              </w:rPr>
              <w:t>活动</w:t>
            </w:r>
            <w:r>
              <w:rPr>
                <w:color w:val="auto"/>
                <w:u w:val="none"/>
              </w:rPr>
              <w:t>应尽量安排在白天进行，尽量避免在夜间(晚上20:00~次日6:00)施工</w:t>
            </w:r>
            <w:r>
              <w:rPr>
                <w:rFonts w:hint="eastAsia"/>
                <w:color w:val="auto"/>
                <w:u w:val="none"/>
                <w:lang w:eastAsia="zh-CN"/>
              </w:rPr>
              <w:t>，</w:t>
            </w:r>
            <w:r>
              <w:rPr>
                <w:color w:val="auto"/>
                <w:u w:val="none"/>
              </w:rPr>
              <w:t>减少环境干扰</w:t>
            </w:r>
            <w:r>
              <w:rPr>
                <w:rFonts w:hint="eastAsia"/>
                <w:color w:val="auto"/>
                <w:u w:val="none"/>
                <w:lang w:eastAsia="zh-CN"/>
              </w:rPr>
              <w:t>，</w:t>
            </w:r>
            <w:r>
              <w:rPr>
                <w:color w:val="auto"/>
                <w:u w:val="none"/>
              </w:rPr>
              <w:t>使用低噪音设备，并采取临时隔音措施。</w:t>
            </w:r>
          </w:p>
          <w:p>
            <w:pPr>
              <w:rPr>
                <w:color w:val="auto"/>
                <w:u w:val="none"/>
              </w:rPr>
            </w:pPr>
            <w:bookmarkStart w:id="72" w:name="_bookmark36"/>
            <w:bookmarkEnd w:id="72"/>
            <w:bookmarkStart w:id="73" w:name="_bookmark35"/>
            <w:bookmarkEnd w:id="73"/>
            <w:r>
              <w:rPr>
                <w:rFonts w:hint="default"/>
                <w:color w:val="auto"/>
                <w:u w:val="none"/>
              </w:rPr>
              <w:t>④</w:t>
            </w:r>
            <w:r>
              <w:rPr>
                <w:color w:val="auto"/>
                <w:u w:val="none"/>
              </w:rPr>
              <w:t>在动物活动附近进行施工活动时，应保留一定的施工保护地带。工程建设设置的路灯，应使用特殊装置避免灯光射出工地之外，以减少对野生动物的干扰。</w:t>
            </w:r>
          </w:p>
          <w:p>
            <w:pPr>
              <w:rPr>
                <w:color w:val="auto"/>
                <w:u w:val="none"/>
              </w:rPr>
            </w:pPr>
            <w:r>
              <w:rPr>
                <w:rFonts w:hint="default"/>
                <w:color w:val="auto"/>
                <w:u w:val="none"/>
              </w:rPr>
              <w:t>⑤</w:t>
            </w:r>
            <w:r>
              <w:rPr>
                <w:color w:val="auto"/>
                <w:u w:val="none"/>
              </w:rPr>
              <w:t>施工单位应对施工人员开展增强野生动物保护意识的宣传工作，严禁在施工区等区域猎鸟、捕鸟、毒鸟，及捕杀蛙类和蛇类等其他野生动物。建议在主要施工场地设置警示牌，提醒施工人员保护野生动物。</w:t>
            </w:r>
          </w:p>
          <w:p>
            <w:pPr>
              <w:bidi w:val="0"/>
              <w:rPr>
                <w:rFonts w:hint="default"/>
                <w:color w:val="auto"/>
                <w:u w:val="none"/>
              </w:rPr>
            </w:pPr>
            <w:r>
              <w:rPr>
                <w:rFonts w:hint="eastAsia" w:ascii="Times New Roman" w:hAnsi="Times New Roman" w:cs="Times New Roman"/>
                <w:b/>
                <w:bCs w:val="0"/>
                <w:color w:val="auto"/>
                <w:sz w:val="24"/>
                <w:szCs w:val="24"/>
                <w:u w:val="none"/>
                <w:lang w:val="en-US" w:eastAsia="zh-CN"/>
              </w:rPr>
              <w:t>综上所述，通过采取上述措施即可减小施工期对</w:t>
            </w:r>
            <w:r>
              <w:rPr>
                <w:rFonts w:hint="eastAsia" w:cs="Times New Roman"/>
                <w:b/>
                <w:bCs w:val="0"/>
                <w:color w:val="auto"/>
                <w:sz w:val="24"/>
                <w:szCs w:val="24"/>
                <w:u w:val="none"/>
                <w:lang w:val="en-US" w:eastAsia="zh-CN"/>
              </w:rPr>
              <w:t>区域陆生生态</w:t>
            </w:r>
            <w:r>
              <w:rPr>
                <w:rFonts w:hint="eastAsia" w:ascii="Times New Roman" w:hAnsi="Times New Roman" w:cs="Times New Roman"/>
                <w:b/>
                <w:bCs w:val="0"/>
                <w:color w:val="auto"/>
                <w:sz w:val="24"/>
                <w:szCs w:val="24"/>
                <w:u w:val="none"/>
                <w:lang w:val="en-US" w:eastAsia="zh-CN"/>
              </w:rPr>
              <w:t>的影响，且措施简单，经济可行，本项目施工期对周围环境影响较小。</w:t>
            </w:r>
          </w:p>
          <w:p>
            <w:pPr>
              <w:rPr>
                <w:rFonts w:hint="eastAsia"/>
                <w:b/>
                <w:bCs/>
                <w:color w:val="auto"/>
                <w:highlight w:val="none"/>
                <w:u w:val="none"/>
                <w:lang w:val="en-US" w:eastAsia="zh-CN"/>
              </w:rPr>
            </w:pPr>
            <w:r>
              <w:rPr>
                <w:rFonts w:hint="eastAsia"/>
                <w:b/>
                <w:bCs/>
                <w:color w:val="auto"/>
                <w:highlight w:val="none"/>
                <w:u w:val="none"/>
                <w:lang w:val="en-US" w:eastAsia="zh-CN"/>
              </w:rPr>
              <w:t>5、水生生态保护措施</w:t>
            </w:r>
          </w:p>
          <w:p>
            <w:pP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本项目对水生生态影响主要集中于围堰施工且项目施工导流，施工过程中使得一定范围、一定时间段内悬浮物浓度大量增加</w:t>
            </w:r>
            <w:r>
              <w:rPr>
                <w:rFonts w:hint="eastAsia" w:cs="Times New Roman"/>
                <w:color w:val="auto"/>
                <w:u w:val="none"/>
                <w:lang w:val="en-US" w:eastAsia="zh-CN"/>
              </w:rPr>
              <w:t>影响水生生态环境</w:t>
            </w:r>
            <w:r>
              <w:rPr>
                <w:rFonts w:hint="default" w:ascii="Times New Roman" w:hAnsi="Times New Roman" w:cs="Times New Roman"/>
                <w:color w:val="auto"/>
                <w:u w:val="none"/>
                <w:lang w:val="en-US" w:eastAsia="zh-CN"/>
              </w:rPr>
              <w:t>。本项目建成后，水生生态环境会逐步稳定，区域水生生物得到一定的恢复。为了更好</w:t>
            </w:r>
            <w:r>
              <w:rPr>
                <w:rFonts w:hint="eastAsia" w:cs="Times New Roman"/>
                <w:color w:val="auto"/>
                <w:u w:val="none"/>
                <w:lang w:val="en-US" w:eastAsia="zh-CN"/>
              </w:rPr>
              <w:t>地</w:t>
            </w:r>
            <w:r>
              <w:rPr>
                <w:rFonts w:hint="default" w:ascii="Times New Roman" w:hAnsi="Times New Roman" w:cs="Times New Roman"/>
                <w:color w:val="auto"/>
                <w:u w:val="none"/>
                <w:lang w:val="en-US" w:eastAsia="zh-CN"/>
              </w:rPr>
              <w:t>保护区域水生生态环境，改善本次施工带来的不利影响，本次评价提出水生生态保护措施及恢复措施如下：</w:t>
            </w:r>
          </w:p>
          <w:p>
            <w:pPr>
              <w:bidi w:val="0"/>
              <w:rPr>
                <w:color w:val="auto"/>
                <w:u w:val="none"/>
              </w:rPr>
            </w:pPr>
            <w:r>
              <w:rPr>
                <w:rFonts w:hint="default" w:ascii="Times New Roman" w:hAnsi="Times New Roman" w:cs="Times New Roman"/>
                <w:color w:val="auto"/>
                <w:u w:val="none"/>
              </w:rPr>
              <w:t>①</w:t>
            </w:r>
            <w:r>
              <w:rPr>
                <w:rFonts w:hint="eastAsia" w:ascii="Times New Roman" w:hAnsi="Times New Roman" w:cs="Times New Roman"/>
                <w:color w:val="auto"/>
                <w:u w:val="none"/>
                <w:lang w:val="en-US" w:eastAsia="zh-CN"/>
              </w:rPr>
              <w:t>项目</w:t>
            </w:r>
            <w:r>
              <w:rPr>
                <w:color w:val="auto"/>
                <w:u w:val="none"/>
              </w:rPr>
              <w:t>围堰施工应选择避开雨季，减轻水流对围堰的冲刷影响。</w:t>
            </w:r>
          </w:p>
          <w:p>
            <w:pPr>
              <w:bidi w:val="0"/>
              <w:rPr>
                <w:rFonts w:hint="default" w:ascii="Times New Roman" w:hAnsi="Times New Roman" w:cs="Times New Roman"/>
                <w:color w:val="auto"/>
                <w:u w:val="none"/>
                <w:lang w:val="en-US" w:eastAsia="zh-CN"/>
              </w:rPr>
            </w:pPr>
            <w:r>
              <w:rPr>
                <w:rFonts w:hint="default"/>
                <w:color w:val="auto"/>
                <w:u w:val="none"/>
                <w:lang w:val="en-US" w:eastAsia="zh-CN"/>
              </w:rPr>
              <w:t>②</w:t>
            </w:r>
            <w:r>
              <w:rPr>
                <w:rFonts w:hint="eastAsia"/>
                <w:color w:val="auto"/>
                <w:u w:val="none"/>
                <w:lang w:val="en-US" w:eastAsia="zh-CN"/>
              </w:rPr>
              <w:t>本项目工程施工导流安排在枯水期进行，</w:t>
            </w:r>
            <w:r>
              <w:rPr>
                <w:rFonts w:hint="default" w:ascii="Times New Roman" w:hAnsi="Times New Roman" w:cs="Times New Roman"/>
                <w:color w:val="auto"/>
                <w:u w:val="none"/>
                <w:lang w:val="en-US" w:eastAsia="zh-CN"/>
              </w:rPr>
              <w:t>且采用</w:t>
            </w:r>
            <w:r>
              <w:rPr>
                <w:rFonts w:hint="eastAsia" w:ascii="Times New Roman" w:hAnsi="Times New Roman" w:cs="Times New Roman"/>
                <w:color w:val="auto"/>
                <w:u w:val="none"/>
                <w:lang w:val="en-US" w:eastAsia="zh-CN"/>
              </w:rPr>
              <w:t>全断面围堰</w:t>
            </w:r>
            <w:r>
              <w:rPr>
                <w:lang w:val="en-US" w:eastAsia="zh-CN"/>
              </w:rPr>
              <w:t>袋装粉质黏土配合土工膜</w:t>
            </w:r>
            <w:r>
              <w:rPr>
                <w:rFonts w:hint="eastAsia" w:ascii="Times New Roman" w:hAnsi="Times New Roman" w:cs="Times New Roman"/>
                <w:color w:val="auto"/>
                <w:u w:val="none"/>
                <w:lang w:val="en-US" w:eastAsia="zh-CN"/>
              </w:rPr>
              <w:t>防渗</w:t>
            </w:r>
            <w:r>
              <w:rPr>
                <w:rFonts w:hint="default" w:ascii="Times New Roman" w:hAnsi="Times New Roman" w:cs="Times New Roman"/>
                <w:color w:val="auto"/>
                <w:u w:val="none"/>
                <w:lang w:val="en-US" w:eastAsia="zh-CN"/>
              </w:rPr>
              <w:t>，防治河水浑浊；</w:t>
            </w:r>
          </w:p>
          <w:p>
            <w:pPr>
              <w:bidi w:val="0"/>
              <w:rPr>
                <w:color w:val="auto"/>
                <w:u w:val="none"/>
              </w:rPr>
            </w:pPr>
            <w:r>
              <w:rPr>
                <w:rFonts w:hint="default"/>
                <w:color w:val="auto"/>
                <w:u w:val="none"/>
                <w:lang w:val="en-US" w:eastAsia="zh-CN"/>
              </w:rPr>
              <w:t>③</w:t>
            </w:r>
            <w:r>
              <w:rPr>
                <w:rFonts w:hint="eastAsia"/>
                <w:color w:val="auto"/>
                <w:u w:val="none"/>
                <w:lang w:val="en-US" w:eastAsia="zh-CN"/>
              </w:rPr>
              <w:t>河道治理施工</w:t>
            </w:r>
            <w:r>
              <w:rPr>
                <w:color w:val="auto"/>
                <w:u w:val="none"/>
              </w:rPr>
              <w:t>应尽量保证在非鱼类繁殖期间完成河道、涉水施工</w:t>
            </w:r>
            <w:r>
              <w:rPr>
                <w:rFonts w:hint="eastAsia"/>
                <w:color w:val="auto"/>
                <w:u w:val="none"/>
                <w:lang w:eastAsia="zh-CN"/>
              </w:rPr>
              <w:t>，</w:t>
            </w:r>
            <w:r>
              <w:rPr>
                <w:rFonts w:hint="eastAsia"/>
                <w:color w:val="auto"/>
                <w:u w:val="none"/>
                <w:lang w:val="en-US" w:eastAsia="zh-CN"/>
              </w:rPr>
              <w:t>避开禁渔期（每年3月1日-6月30日），且应</w:t>
            </w:r>
            <w:r>
              <w:rPr>
                <w:color w:val="auto"/>
                <w:u w:val="none"/>
              </w:rPr>
              <w:t>在围堰施工和导流施工前先对受影响的河道水体进行疏通，若其中某些鱼类无法顺利转移，则通过人工辅助手段转移至周边适宜生境继续生存</w:t>
            </w:r>
            <w:r>
              <w:rPr>
                <w:rFonts w:hint="eastAsia"/>
                <w:color w:val="auto"/>
                <w:u w:val="none"/>
                <w:lang w:eastAsia="zh-CN"/>
              </w:rPr>
              <w:t>。</w:t>
            </w:r>
            <w:r>
              <w:rPr>
                <w:color w:val="auto"/>
                <w:u w:val="none"/>
              </w:rPr>
              <w:t>规范施工操作，避开恶劣天气</w:t>
            </w:r>
            <w:r>
              <w:rPr>
                <w:rFonts w:hint="eastAsia"/>
                <w:color w:val="auto"/>
                <w:u w:val="none"/>
                <w:lang w:eastAsia="zh-CN"/>
              </w:rPr>
              <w:t>，</w:t>
            </w:r>
            <w:r>
              <w:rPr>
                <w:color w:val="auto"/>
                <w:u w:val="none"/>
              </w:rPr>
              <w:t>应减轻施工设备对</w:t>
            </w:r>
            <w:r>
              <w:rPr>
                <w:rFonts w:hint="eastAsia"/>
                <w:color w:val="auto"/>
                <w:u w:val="none"/>
                <w:lang w:val="en-US" w:eastAsia="zh-CN"/>
              </w:rPr>
              <w:t>胡家河</w:t>
            </w:r>
            <w:r>
              <w:rPr>
                <w:color w:val="auto"/>
                <w:u w:val="none"/>
              </w:rPr>
              <w:t>底的扰动，降低因扰动造成的局部悬浮物浓度过高情况发生</w:t>
            </w:r>
            <w:r>
              <w:rPr>
                <w:rFonts w:hint="eastAsia"/>
                <w:color w:val="auto"/>
                <w:u w:val="none"/>
                <w:lang w:eastAsia="zh-CN"/>
              </w:rPr>
              <w:t>，</w:t>
            </w:r>
            <w:r>
              <w:rPr>
                <w:color w:val="auto"/>
                <w:u w:val="none"/>
              </w:rPr>
              <w:t>从而减免对水生生物影响。</w:t>
            </w:r>
          </w:p>
          <w:p>
            <w:pPr>
              <w:bidi w:val="0"/>
              <w:rPr>
                <w:rFonts w:hint="eastAsia"/>
                <w:color w:val="auto"/>
                <w:u w:val="none"/>
                <w:lang w:eastAsia="zh-CN"/>
              </w:rPr>
            </w:pPr>
            <w:r>
              <w:rPr>
                <w:rFonts w:hint="default"/>
                <w:color w:val="auto"/>
                <w:u w:val="none"/>
                <w:lang w:val="en-US" w:eastAsia="zh-CN"/>
              </w:rPr>
              <w:t>④</w:t>
            </w:r>
            <w:r>
              <w:rPr>
                <w:color w:val="auto"/>
                <w:u w:val="none"/>
              </w:rPr>
              <w:t>做好施工期“三废”管理，</w:t>
            </w:r>
            <w:r>
              <w:rPr>
                <w:rFonts w:hint="eastAsia"/>
                <w:color w:val="auto"/>
                <w:u w:val="none"/>
                <w:lang w:val="en-US" w:eastAsia="zh-CN"/>
              </w:rPr>
              <w:t>项目</w:t>
            </w:r>
            <w:r>
              <w:rPr>
                <w:color w:val="auto"/>
                <w:u w:val="none"/>
              </w:rPr>
              <w:t>废水</w:t>
            </w:r>
            <w:r>
              <w:rPr>
                <w:rFonts w:hint="eastAsia"/>
                <w:color w:val="auto"/>
                <w:u w:val="none"/>
                <w:lang w:val="en-US" w:eastAsia="zh-CN"/>
              </w:rPr>
              <w:t>经综合处理后回用，禁止废水不经处理而直接排放</w:t>
            </w:r>
            <w:r>
              <w:rPr>
                <w:color w:val="auto"/>
                <w:u w:val="none"/>
              </w:rPr>
              <w:t>；施工固废和生活垃圾应妥善处置，禁止排入河道内阻塞，影响鱼类生存</w:t>
            </w:r>
            <w:r>
              <w:rPr>
                <w:rFonts w:hint="eastAsia"/>
                <w:color w:val="auto"/>
                <w:u w:val="none"/>
                <w:lang w:eastAsia="zh-CN"/>
              </w:rPr>
              <w:t>；</w:t>
            </w:r>
            <w:r>
              <w:rPr>
                <w:rFonts w:hint="eastAsia"/>
                <w:color w:val="auto"/>
                <w:u w:val="none"/>
                <w:lang w:val="en-US" w:eastAsia="zh-CN"/>
              </w:rPr>
              <w:t>合理安排施工时间，禁止夜间施工。</w:t>
            </w:r>
            <w:r>
              <w:rPr>
                <w:color w:val="auto"/>
                <w:u w:val="none"/>
              </w:rPr>
              <w:t>施工期间</w:t>
            </w:r>
            <w:r>
              <w:rPr>
                <w:rFonts w:hint="eastAsia"/>
                <w:color w:val="auto"/>
                <w:u w:val="none"/>
                <w:lang w:val="en-US" w:eastAsia="zh-CN"/>
              </w:rPr>
              <w:t>临时围堰修建时，施工机械应选用低噪音设备，同时加强施工管理，减少人为的噪声。</w:t>
            </w:r>
          </w:p>
          <w:p>
            <w:pPr>
              <w:bidi w:val="0"/>
              <w:rPr>
                <w:rFonts w:ascii="Times New Roman" w:hAnsi="Times New Roman" w:cs="Times New Roman"/>
                <w:color w:val="auto"/>
                <w:u w:val="none"/>
              </w:rPr>
            </w:pPr>
            <w:r>
              <w:rPr>
                <w:rFonts w:hint="default" w:ascii="Times New Roman" w:hAnsi="Times New Roman" w:cs="Times New Roman"/>
                <w:color w:val="auto"/>
                <w:u w:val="none"/>
                <w:lang w:val="en-US" w:eastAsia="zh-CN"/>
              </w:rPr>
              <w:t>⑤</w:t>
            </w:r>
            <w:r>
              <w:rPr>
                <w:rFonts w:ascii="Times New Roman" w:hAnsi="Times New Roman" w:cs="Times New Roman"/>
                <w:color w:val="auto"/>
                <w:u w:val="none"/>
              </w:rPr>
              <w:t>施工结束后，应立即拆除围堰，拆除</w:t>
            </w:r>
            <w:r>
              <w:rPr>
                <w:rFonts w:hint="eastAsia" w:cs="Times New Roman"/>
                <w:color w:val="auto"/>
                <w:u w:val="none"/>
                <w:lang w:val="en-US" w:eastAsia="zh-CN"/>
              </w:rPr>
              <w:t>后用于堤身填筑，不得丢弃与河道内。</w:t>
            </w:r>
          </w:p>
          <w:p>
            <w:pPr>
              <w:bidi w:val="0"/>
              <w:ind w:firstLine="0"/>
              <w:rPr>
                <w:rFonts w:hint="default"/>
                <w:color w:val="auto"/>
                <w:u w:val="none"/>
                <w:lang w:val="en-US" w:eastAsia="zh-CN"/>
              </w:rPr>
            </w:pPr>
            <w:r>
              <w:rPr>
                <w:rFonts w:hint="eastAsia"/>
                <w:color w:val="auto"/>
                <w:u w:val="none"/>
                <w:lang w:val="en-US" w:eastAsia="zh-CN"/>
              </w:rPr>
              <w:t>⑥近岸带浅水区可考虑种植挺水植物，如菖蒲、鸢尾、美人蕉、再力花等，宽度1m左右；适宜区域种植沉水植物，品种主要考虑狐尾藻、黑藻、苦草等。</w:t>
            </w:r>
          </w:p>
          <w:p>
            <w:pPr>
              <w:bidi w:val="0"/>
              <w:rPr>
                <w:color w:val="auto"/>
                <w:u w:val="none"/>
              </w:rPr>
            </w:pPr>
            <w:r>
              <w:rPr>
                <w:rFonts w:hint="default" w:ascii="Times New Roman" w:hAnsi="Times New Roman" w:eastAsia="微软雅黑" w:cs="Times New Roman"/>
                <w:color w:val="auto"/>
                <w:u w:val="none"/>
                <w:lang w:val="en-US" w:eastAsia="zh-CN"/>
              </w:rPr>
              <w:t>⑦</w:t>
            </w:r>
            <w:r>
              <w:rPr>
                <w:rFonts w:hint="eastAsia"/>
                <w:color w:val="auto"/>
                <w:u w:val="none"/>
                <w:lang w:val="en-US" w:eastAsia="zh-CN"/>
              </w:rPr>
              <w:t>强化渔政管理。</w:t>
            </w:r>
            <w:r>
              <w:rPr>
                <w:color w:val="auto"/>
                <w:u w:val="none"/>
              </w:rPr>
              <w:t>建议当地渔政部门建立健全渔政管理机构，加强渔政管理力量，扩大宣传力度，严格执法，</w:t>
            </w:r>
            <w:r>
              <w:rPr>
                <w:rFonts w:hint="eastAsia"/>
                <w:color w:val="auto"/>
                <w:u w:val="none"/>
                <w:lang w:val="en-US" w:eastAsia="zh-CN"/>
              </w:rPr>
              <w:t>设置水生生物保护警示牌，</w:t>
            </w:r>
            <w:r>
              <w:rPr>
                <w:color w:val="auto"/>
                <w:u w:val="none"/>
              </w:rPr>
              <w:t>一是禁止在河道内挖沙采石，保护鱼类的产卵基质；二是加强执法管理，严禁酷渔滥捕，禁止电鱼、炸鱼、毒鱼等违法捕鱼行为。</w:t>
            </w:r>
          </w:p>
          <w:p>
            <w:pPr>
              <w:bidi w:val="0"/>
              <w:rPr>
                <w:rFonts w:hint="eastAsia"/>
                <w:color w:val="auto"/>
                <w:u w:val="none"/>
                <w:lang w:val="en-US" w:eastAsia="zh-CN"/>
              </w:rPr>
            </w:pPr>
            <w:r>
              <w:rPr>
                <w:rFonts w:hint="default" w:ascii="Times New Roman" w:hAnsi="Times New Roman" w:eastAsia="微软雅黑" w:cs="Times New Roman"/>
                <w:color w:val="auto"/>
                <w:u w:val="none"/>
                <w:lang w:val="en-US" w:eastAsia="zh-CN"/>
              </w:rPr>
              <w:t>⑧</w:t>
            </w:r>
            <w:r>
              <w:rPr>
                <w:rFonts w:hint="default" w:ascii="Times New Roman" w:hAnsi="Times New Roman" w:cs="Times New Roman"/>
                <w:color w:val="auto"/>
                <w:u w:val="none"/>
                <w:lang w:val="en-US" w:eastAsia="zh-CN"/>
              </w:rPr>
              <w:t>建</w:t>
            </w:r>
            <w:r>
              <w:rPr>
                <w:rFonts w:hint="eastAsia"/>
                <w:color w:val="auto"/>
                <w:u w:val="none"/>
                <w:lang w:val="en-US" w:eastAsia="zh-CN"/>
              </w:rPr>
              <w:t>立鱼类保护应急机制。对围堰内的鱼类及时进行捕捞、暂养或放归；对搁浅鱼类及时救护。</w:t>
            </w:r>
          </w:p>
          <w:p>
            <w:pPr>
              <w:bidi w:val="0"/>
              <w:rPr>
                <w:rFonts w:hint="default"/>
                <w:color w:val="auto"/>
                <w:u w:val="none"/>
                <w:lang w:val="en-US" w:eastAsia="zh-CN"/>
              </w:rPr>
            </w:pPr>
            <w:r>
              <w:rPr>
                <w:rFonts w:hint="eastAsia"/>
                <w:color w:val="auto"/>
                <w:u w:val="none"/>
                <w:lang w:val="en-US" w:eastAsia="zh-CN"/>
              </w:rPr>
              <w:t>由于项目流域河流流速适宜，水动力较强，水中溶解氧水平适当，可满足上述生态补偿措施的实施，通过增加堤防两岸水生植物分布后，附近底栖生物、浮游生物都能够得到更快的恢复。</w:t>
            </w:r>
          </w:p>
          <w:p>
            <w:pPr>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b/>
                <w:bCs/>
                <w:color w:val="auto"/>
              </w:rPr>
              <w:t>综上所述，通过采取上述措施即可减小施工期对区域水生生态的影响，且措施简单，经济可行，本项目施工期对</w:t>
            </w:r>
            <w:r>
              <w:rPr>
                <w:rFonts w:hint="default" w:ascii="Times New Roman" w:hAnsi="Times New Roman" w:cs="Times New Roman"/>
                <w:b/>
                <w:bCs/>
                <w:color w:val="auto"/>
                <w:u w:val="none"/>
                <w:lang w:val="en-US" w:eastAsia="zh-CN"/>
              </w:rPr>
              <w:t>水生生态</w:t>
            </w:r>
            <w:r>
              <w:rPr>
                <w:rFonts w:hint="default" w:ascii="Times New Roman" w:hAnsi="Times New Roman" w:cs="Times New Roman"/>
                <w:b/>
                <w:bCs/>
                <w:color w:val="auto"/>
                <w:u w:val="none"/>
              </w:rPr>
              <w:t>环境影响较小</w:t>
            </w:r>
            <w:r>
              <w:rPr>
                <w:rFonts w:hint="default" w:ascii="Times New Roman" w:hAnsi="Times New Roman" w:cs="Times New Roman"/>
                <w:b/>
                <w:bCs/>
                <w:color w:val="auto"/>
              </w:rPr>
              <w:t>。</w:t>
            </w:r>
          </w:p>
          <w:p>
            <w:pPr>
              <w:rPr>
                <w:rFonts w:hint="eastAsia"/>
                <w:color w:val="auto"/>
                <w:lang w:val="en-US" w:eastAsia="zh-CN"/>
              </w:rPr>
            </w:pPr>
            <w:r>
              <w:rPr>
                <w:rFonts w:hint="default" w:ascii="Times New Roman" w:hAnsi="Times New Roman" w:cs="Times New Roman"/>
                <w:b/>
                <w:bCs/>
                <w:color w:val="auto"/>
                <w:lang w:val="en-US" w:eastAsia="zh-CN"/>
              </w:rPr>
              <w:t>三、大气环境保护措施</w:t>
            </w:r>
          </w:p>
          <w:p>
            <w:pPr>
              <w:shd w:val="clear"/>
              <w:bidi w:val="0"/>
              <w:rPr>
                <w:rFonts w:hint="eastAsia"/>
                <w:b w:val="0"/>
                <w:bCs w:val="0"/>
                <w:color w:val="auto"/>
                <w:highlight w:val="none"/>
                <w:lang w:val="en-US" w:eastAsia="zh-CN"/>
              </w:rPr>
            </w:pPr>
            <w:r>
              <w:rPr>
                <w:rFonts w:hint="eastAsia"/>
                <w:b w:val="0"/>
                <w:bCs w:val="0"/>
                <w:color w:val="auto"/>
                <w:highlight w:val="none"/>
                <w:lang w:val="en-US" w:eastAsia="zh-CN"/>
              </w:rPr>
              <w:t>（1）施工扬尘防治措施</w:t>
            </w:r>
          </w:p>
          <w:p>
            <w:pPr>
              <w:ind w:firstLine="0"/>
              <w:rPr>
                <w:rFonts w:hint="eastAsia"/>
                <w:lang w:val="en-US" w:eastAsia="zh-CN"/>
              </w:rPr>
            </w:pPr>
            <w:r>
              <w:rPr>
                <w:rFonts w:hint="eastAsia"/>
                <w:color w:val="auto"/>
                <w:lang w:val="en-US" w:eastAsia="zh-CN"/>
              </w:rPr>
              <w:t>为了将产生的影响减小到最小，</w:t>
            </w:r>
            <w:r>
              <w:rPr>
                <w:rFonts w:hint="eastAsia"/>
                <w:lang w:val="en-US" w:eastAsia="zh-CN"/>
              </w:rPr>
              <w:t>建设单位应参照《防治城市扬尘技术规范》要求，</w:t>
            </w:r>
            <w:r>
              <w:rPr>
                <w:rFonts w:hint="eastAsia"/>
                <w:color w:val="auto"/>
                <w:lang w:val="en-US" w:eastAsia="zh-CN"/>
              </w:rPr>
              <w:t>采取切实有效的</w:t>
            </w:r>
            <w:r>
              <w:rPr>
                <w:rFonts w:hint="eastAsia"/>
                <w:lang w:val="en-US" w:eastAsia="zh-CN"/>
              </w:rPr>
              <w:t>降尘措施，具体如下：</w:t>
            </w:r>
          </w:p>
          <w:p>
            <w:pPr>
              <w:ind w:firstLine="0"/>
              <w:rPr>
                <w:rFonts w:hint="eastAsia"/>
              </w:rPr>
            </w:pPr>
            <w:r>
              <w:rPr>
                <w:rFonts w:hint="eastAsia" w:ascii="宋体" w:hAnsi="宋体" w:cs="宋体"/>
              </w:rPr>
              <w:t>①</w:t>
            </w:r>
            <w:r>
              <w:rPr>
                <w:rFonts w:hint="eastAsia"/>
              </w:rPr>
              <w:t>围挡、围栏及防溢座的设置</w:t>
            </w:r>
          </w:p>
          <w:p>
            <w:pPr>
              <w:ind w:firstLine="0"/>
            </w:pPr>
            <w:r>
              <w:rPr>
                <w:rFonts w:hint="eastAsia"/>
              </w:rPr>
              <w:t>施工期间，施工场地边界应设置高度</w:t>
            </w:r>
            <w:r>
              <w:t>2.5</w:t>
            </w:r>
            <w:r>
              <w:rPr>
                <w:rFonts w:hint="eastAsia"/>
              </w:rPr>
              <w:t>m以上的围挡。围挡底端应设置防溢座，围挡之间以及围挡与防溢座之间无缝隙。对于特殊地点无法设置围挡、围栏及防溢座的，应设置警示牌。</w:t>
            </w:r>
          </w:p>
          <w:p>
            <w:pPr>
              <w:ind w:firstLine="0"/>
              <w:rPr>
                <w:rFonts w:hint="eastAsia"/>
              </w:rPr>
            </w:pPr>
            <w:r>
              <w:rPr>
                <w:rFonts w:hint="eastAsia" w:ascii="宋体" w:hAnsi="宋体" w:cs="宋体"/>
              </w:rPr>
              <w:t>②</w:t>
            </w:r>
            <w:r>
              <w:rPr>
                <w:rFonts w:hint="eastAsia"/>
              </w:rPr>
              <w:t>土方工程防尘措施</w:t>
            </w:r>
          </w:p>
          <w:p>
            <w:pPr>
              <w:ind w:firstLine="0"/>
            </w:pPr>
            <w:r>
              <w:rPr>
                <w:rFonts w:hint="eastAsia"/>
              </w:rPr>
              <w:t>土方工程包括土的开挖、运输和填筑等施工过程，有时还需进行排水、降水、土壁支撑等准备工作。遇到干燥、易起尘的土方工程作业时，应辅以洒水压尘，尽量缩短起尘操作时间。遇到四级或四级以上大风天气，应停止土方作业，同时作业处覆以防尘网。</w:t>
            </w:r>
          </w:p>
          <w:p>
            <w:pPr>
              <w:ind w:firstLine="0"/>
              <w:rPr>
                <w:rFonts w:hint="eastAsia"/>
              </w:rPr>
            </w:pPr>
            <w:r>
              <w:rPr>
                <w:rFonts w:hint="eastAsia" w:ascii="宋体" w:hAnsi="宋体" w:cs="宋体"/>
              </w:rPr>
              <w:t>③</w:t>
            </w:r>
            <w:r>
              <w:rPr>
                <w:rFonts w:hint="eastAsia"/>
              </w:rPr>
              <w:t>建筑材料防尘措施</w:t>
            </w:r>
          </w:p>
          <w:p>
            <w:pPr>
              <w:ind w:firstLine="0"/>
            </w:pPr>
            <w:r>
              <w:rPr>
                <w:rFonts w:hint="eastAsia"/>
              </w:rPr>
              <w:t>施工过程中使用水泥、石灰、砂石、涂料、铺装材料等易产生扬尘的建筑材料，应采取下列措施之一：</w:t>
            </w:r>
          </w:p>
          <w:p>
            <w:pPr>
              <w:ind w:firstLine="0"/>
            </w:pPr>
            <w:r>
              <w:rPr>
                <w:rFonts w:hint="eastAsia" w:ascii="宋体" w:hAnsi="宋体" w:cs="宋体"/>
                <w:lang w:val="en-US" w:eastAsia="zh-CN"/>
              </w:rPr>
              <w:t>a、</w:t>
            </w:r>
            <w:r>
              <w:rPr>
                <w:rFonts w:hint="eastAsia"/>
              </w:rPr>
              <w:t>密闭存储；</w:t>
            </w:r>
          </w:p>
          <w:p>
            <w:pPr>
              <w:ind w:firstLine="0"/>
            </w:pPr>
            <w:r>
              <w:rPr>
                <w:rFonts w:hint="eastAsia" w:ascii="宋体" w:hAnsi="宋体" w:cs="宋体"/>
                <w:lang w:val="en-US" w:eastAsia="zh-CN"/>
              </w:rPr>
              <w:t>b、</w:t>
            </w:r>
            <w:r>
              <w:rPr>
                <w:rFonts w:hint="eastAsia"/>
              </w:rPr>
              <w:t>设置围挡或堆砌围墙；</w:t>
            </w:r>
          </w:p>
          <w:p>
            <w:pPr>
              <w:ind w:firstLine="0"/>
            </w:pPr>
            <w:r>
              <w:rPr>
                <w:rFonts w:hint="eastAsia" w:ascii="宋体" w:hAnsi="宋体" w:cs="宋体"/>
                <w:lang w:val="en-US" w:eastAsia="zh-CN"/>
              </w:rPr>
              <w:t>c</w:t>
            </w:r>
            <w:r>
              <w:rPr>
                <w:rFonts w:hint="eastAsia" w:ascii="宋体" w:hAnsi="宋体" w:cs="宋体"/>
                <w:lang w:eastAsia="zh-CN"/>
              </w:rPr>
              <w:t>、</w:t>
            </w:r>
            <w:r>
              <w:rPr>
                <w:rFonts w:hint="eastAsia"/>
              </w:rPr>
              <w:t>采用防尘布苫盖；</w:t>
            </w:r>
          </w:p>
          <w:p>
            <w:pPr>
              <w:ind w:firstLine="0"/>
            </w:pPr>
            <w:r>
              <w:rPr>
                <w:rFonts w:hint="eastAsia" w:ascii="宋体" w:hAnsi="宋体" w:cs="宋体"/>
                <w:lang w:val="en-US" w:eastAsia="zh-CN"/>
              </w:rPr>
              <w:t>d</w:t>
            </w:r>
            <w:r>
              <w:rPr>
                <w:rFonts w:hint="eastAsia" w:ascii="宋体" w:hAnsi="宋体" w:cs="宋体"/>
                <w:lang w:eastAsia="zh-CN"/>
              </w:rPr>
              <w:t>、</w:t>
            </w:r>
            <w:r>
              <w:rPr>
                <w:rFonts w:hint="eastAsia"/>
              </w:rPr>
              <w:t>其他有效的防尘措施。</w:t>
            </w:r>
          </w:p>
          <w:p>
            <w:pPr>
              <w:ind w:firstLine="0"/>
              <w:rPr>
                <w:rFonts w:hint="eastAsia"/>
              </w:rPr>
            </w:pPr>
            <w:r>
              <w:rPr>
                <w:rFonts w:hint="eastAsia" w:ascii="宋体" w:hAnsi="宋体" w:cs="宋体"/>
              </w:rPr>
              <w:t>④</w:t>
            </w:r>
            <w:r>
              <w:rPr>
                <w:rFonts w:hint="eastAsia"/>
              </w:rPr>
              <w:t>建筑垃圾防尘措施</w:t>
            </w:r>
          </w:p>
          <w:p>
            <w:pPr>
              <w:ind w:firstLine="0"/>
            </w:pPr>
            <w:r>
              <w:rPr>
                <w:rFonts w:hint="eastAsia"/>
              </w:rPr>
              <w:t>施工工程中产生的弃土、弃料及其他建筑垃圾，应及时清运。若在工地内堆置超过一周的，则应采取下列措施之一，防止风蚀起尘及水蚀迁移：</w:t>
            </w:r>
          </w:p>
          <w:p>
            <w:pPr>
              <w:ind w:firstLine="0"/>
            </w:pPr>
            <w:r>
              <w:rPr>
                <w:rFonts w:hint="eastAsia" w:ascii="宋体" w:hAnsi="宋体" w:cs="宋体"/>
                <w:lang w:val="en-US" w:eastAsia="zh-CN"/>
              </w:rPr>
              <w:t>a、</w:t>
            </w:r>
            <w:r>
              <w:rPr>
                <w:rFonts w:hint="eastAsia"/>
              </w:rPr>
              <w:t>覆盖防尘布、防尘网；</w:t>
            </w:r>
          </w:p>
          <w:p>
            <w:pPr>
              <w:ind w:firstLine="0"/>
            </w:pPr>
            <w:r>
              <w:rPr>
                <w:rFonts w:hint="eastAsia" w:ascii="宋体" w:hAnsi="宋体" w:cs="宋体"/>
                <w:lang w:val="en-US" w:eastAsia="zh-CN"/>
              </w:rPr>
              <w:t>b、</w:t>
            </w:r>
            <w:r>
              <w:rPr>
                <w:rFonts w:hint="eastAsia"/>
              </w:rPr>
              <w:t>定期喷洒抑尘剂；</w:t>
            </w:r>
          </w:p>
          <w:p>
            <w:pPr>
              <w:ind w:firstLine="0"/>
            </w:pPr>
            <w:r>
              <w:rPr>
                <w:rFonts w:hint="eastAsia" w:ascii="宋体" w:hAnsi="宋体" w:cs="宋体"/>
                <w:lang w:val="en-US" w:eastAsia="zh-CN"/>
              </w:rPr>
              <w:t>c</w:t>
            </w:r>
            <w:r>
              <w:rPr>
                <w:rFonts w:hint="eastAsia" w:ascii="宋体" w:hAnsi="宋体" w:cs="宋体"/>
                <w:lang w:eastAsia="zh-CN"/>
              </w:rPr>
              <w:t>、</w:t>
            </w:r>
            <w:r>
              <w:rPr>
                <w:rFonts w:hint="eastAsia"/>
              </w:rPr>
              <w:t>定期喷水压尘；</w:t>
            </w:r>
          </w:p>
          <w:p>
            <w:pPr>
              <w:ind w:firstLine="0"/>
            </w:pPr>
            <w:r>
              <w:rPr>
                <w:rFonts w:hint="eastAsia" w:ascii="宋体" w:hAnsi="宋体" w:cs="宋体"/>
                <w:lang w:val="en-US" w:eastAsia="zh-CN"/>
              </w:rPr>
              <w:t>d</w:t>
            </w:r>
            <w:r>
              <w:rPr>
                <w:rFonts w:hint="eastAsia" w:ascii="宋体" w:hAnsi="宋体" w:cs="宋体"/>
                <w:lang w:eastAsia="zh-CN"/>
              </w:rPr>
              <w:t>、</w:t>
            </w:r>
            <w:r>
              <w:rPr>
                <w:rFonts w:hint="eastAsia"/>
              </w:rPr>
              <w:t>其他有效的防尘措施。</w:t>
            </w:r>
          </w:p>
          <w:p>
            <w:pPr>
              <w:ind w:firstLine="0"/>
            </w:pPr>
            <w:r>
              <w:rPr>
                <w:rFonts w:hint="eastAsia" w:ascii="宋体" w:hAnsi="宋体" w:cs="宋体"/>
              </w:rPr>
              <w:t>⑤</w:t>
            </w:r>
            <w:r>
              <w:rPr>
                <w:rFonts w:hint="eastAsia"/>
              </w:rPr>
              <w:t>设置洗车平台，完善排水设施，防止泥土粘带。施工期间，应在物料、渣土、垃圾运输车辆的出口内侧设置洗车平台，车辆驶离工地前，应在洗车平台清洗轮胎及车身，不得带泥上路。</w:t>
            </w:r>
          </w:p>
          <w:p>
            <w:pPr>
              <w:ind w:firstLine="0"/>
              <w:rPr>
                <w:rFonts w:hint="eastAsia"/>
              </w:rPr>
            </w:pPr>
            <w:r>
              <w:rPr>
                <w:rFonts w:hint="eastAsia" w:ascii="宋体" w:hAnsi="宋体" w:cs="宋体"/>
              </w:rPr>
              <w:t>⑥</w:t>
            </w:r>
            <w:r>
              <w:rPr>
                <w:rFonts w:hint="eastAsia"/>
              </w:rPr>
              <w:t>施工工地</w:t>
            </w:r>
            <w:r>
              <w:rPr>
                <w:rFonts w:hint="eastAsia"/>
                <w:color w:val="auto"/>
                <w:u w:val="none"/>
                <w:lang w:val="en-US" w:eastAsia="zh-CN"/>
              </w:rPr>
              <w:t>便道</w:t>
            </w:r>
            <w:r>
              <w:rPr>
                <w:rFonts w:hint="eastAsia"/>
              </w:rPr>
              <w:t>防尘措施</w:t>
            </w:r>
          </w:p>
          <w:p>
            <w:pPr>
              <w:ind w:firstLine="0"/>
            </w:pPr>
            <w:r>
              <w:rPr>
                <w:rFonts w:hint="eastAsia"/>
              </w:rPr>
              <w:t>施工期间，施工工地内及工地出口至铺装道路间的车行道路，应采取下列措施之一，并保持路面清洁，防止机动车扬尘：</w:t>
            </w:r>
          </w:p>
          <w:p>
            <w:pPr>
              <w:ind w:firstLine="0"/>
            </w:pPr>
            <w:r>
              <w:rPr>
                <w:rFonts w:hint="eastAsia" w:ascii="宋体" w:hAnsi="宋体" w:cs="宋体"/>
                <w:lang w:val="en-US" w:eastAsia="zh-CN"/>
              </w:rPr>
              <w:t>a、</w:t>
            </w:r>
            <w:r>
              <w:rPr>
                <w:rFonts w:hint="eastAsia"/>
              </w:rPr>
              <w:t>铺设钢板；</w:t>
            </w:r>
          </w:p>
          <w:p>
            <w:pPr>
              <w:ind w:firstLine="0"/>
            </w:pPr>
            <w:r>
              <w:rPr>
                <w:rFonts w:hint="eastAsia" w:ascii="宋体" w:hAnsi="宋体" w:cs="宋体"/>
                <w:lang w:val="en-US" w:eastAsia="zh-CN"/>
              </w:rPr>
              <w:t>b、</w:t>
            </w:r>
            <w:r>
              <w:rPr>
                <w:rFonts w:hint="eastAsia"/>
              </w:rPr>
              <w:t>铺设水泥混凝土；</w:t>
            </w:r>
          </w:p>
          <w:p>
            <w:pPr>
              <w:ind w:firstLine="0"/>
            </w:pPr>
            <w:r>
              <w:rPr>
                <w:rFonts w:hint="eastAsia" w:ascii="宋体" w:hAnsi="宋体" w:cs="宋体"/>
                <w:lang w:val="en-US" w:eastAsia="zh-CN"/>
              </w:rPr>
              <w:t>c</w:t>
            </w:r>
            <w:r>
              <w:rPr>
                <w:rFonts w:hint="eastAsia" w:ascii="宋体" w:hAnsi="宋体" w:cs="宋体"/>
                <w:lang w:eastAsia="zh-CN"/>
              </w:rPr>
              <w:t>、</w:t>
            </w:r>
            <w:r>
              <w:rPr>
                <w:rFonts w:hint="eastAsia"/>
              </w:rPr>
              <w:t>铺设用礁渣、细石或其它功能相当的材料等，并辅以洒水、喷洒抑尘剂等措施；</w:t>
            </w:r>
          </w:p>
          <w:p>
            <w:pPr>
              <w:ind w:firstLine="0"/>
            </w:pPr>
            <w:r>
              <w:rPr>
                <w:rFonts w:hint="eastAsia" w:ascii="宋体" w:hAnsi="宋体" w:cs="宋体"/>
                <w:lang w:val="en-US" w:eastAsia="zh-CN"/>
              </w:rPr>
              <w:t>d</w:t>
            </w:r>
            <w:r>
              <w:rPr>
                <w:rFonts w:hint="eastAsia" w:ascii="宋体" w:hAnsi="宋体" w:cs="宋体"/>
                <w:lang w:eastAsia="zh-CN"/>
              </w:rPr>
              <w:t>、</w:t>
            </w:r>
            <w:r>
              <w:rPr>
                <w:rFonts w:hint="eastAsia"/>
              </w:rPr>
              <w:t>其他有效的防尘措施。</w:t>
            </w:r>
          </w:p>
          <w:p>
            <w:pPr>
              <w:ind w:firstLine="0"/>
              <w:rPr>
                <w:rFonts w:hint="eastAsia"/>
              </w:rPr>
            </w:pPr>
            <w:r>
              <w:rPr>
                <w:rFonts w:hint="default" w:ascii="Times New Roman" w:hAnsi="Times New Roman" w:eastAsia="微软雅黑" w:cs="Times New Roman"/>
              </w:rPr>
              <w:t>⑦</w:t>
            </w:r>
            <w:r>
              <w:rPr>
                <w:rFonts w:hint="eastAsia"/>
              </w:rPr>
              <w:t>施工工地内部裸地防尘措施</w:t>
            </w:r>
          </w:p>
          <w:p>
            <w:pPr>
              <w:ind w:firstLine="0"/>
            </w:pPr>
            <w:r>
              <w:rPr>
                <w:rFonts w:hint="eastAsia"/>
              </w:rPr>
              <w:t>施工期间，对于工地内裸露地面，应采取下列防尘措施之一：</w:t>
            </w:r>
          </w:p>
          <w:p>
            <w:pPr>
              <w:ind w:firstLine="0"/>
            </w:pPr>
            <w:r>
              <w:rPr>
                <w:rFonts w:hint="eastAsia" w:ascii="宋体" w:hAnsi="宋体" w:cs="宋体"/>
                <w:lang w:val="en-US" w:eastAsia="zh-CN"/>
              </w:rPr>
              <w:t>a、</w:t>
            </w:r>
            <w:r>
              <w:rPr>
                <w:rFonts w:hint="eastAsia"/>
              </w:rPr>
              <w:t>覆盖防尘布或防尘网；</w:t>
            </w:r>
          </w:p>
          <w:p>
            <w:pPr>
              <w:ind w:firstLine="0"/>
            </w:pPr>
            <w:r>
              <w:rPr>
                <w:rFonts w:hint="eastAsia" w:ascii="宋体" w:hAnsi="宋体" w:cs="宋体"/>
                <w:lang w:val="en-US" w:eastAsia="zh-CN"/>
              </w:rPr>
              <w:t>b、</w:t>
            </w:r>
            <w:r>
              <w:rPr>
                <w:rFonts w:hint="eastAsia"/>
              </w:rPr>
              <w:t>铺设礁渣、细石或其他功能相当的材料；</w:t>
            </w:r>
          </w:p>
          <w:p>
            <w:pPr>
              <w:ind w:firstLine="0"/>
            </w:pPr>
            <w:r>
              <w:rPr>
                <w:rFonts w:hint="eastAsia" w:ascii="宋体" w:hAnsi="宋体" w:cs="宋体"/>
                <w:lang w:val="en-US" w:eastAsia="zh-CN"/>
              </w:rPr>
              <w:t>c</w:t>
            </w:r>
            <w:r>
              <w:rPr>
                <w:rFonts w:hint="eastAsia" w:ascii="宋体" w:hAnsi="宋体" w:cs="宋体"/>
                <w:lang w:eastAsia="zh-CN"/>
              </w:rPr>
              <w:t>、</w:t>
            </w:r>
            <w:r>
              <w:rPr>
                <w:rFonts w:hint="eastAsia"/>
              </w:rPr>
              <w:t>植被绿化；</w:t>
            </w:r>
          </w:p>
          <w:p>
            <w:pPr>
              <w:ind w:firstLine="0"/>
            </w:pPr>
            <w:r>
              <w:rPr>
                <w:rFonts w:hint="eastAsia" w:ascii="宋体" w:hAnsi="宋体" w:cs="宋体"/>
                <w:lang w:val="en-US" w:eastAsia="zh-CN"/>
              </w:rPr>
              <w:t>d</w:t>
            </w:r>
            <w:r>
              <w:rPr>
                <w:rFonts w:hint="eastAsia" w:ascii="宋体" w:hAnsi="宋体" w:cs="宋体"/>
                <w:lang w:eastAsia="zh-CN"/>
              </w:rPr>
              <w:t>、</w:t>
            </w:r>
            <w:r>
              <w:rPr>
                <w:rFonts w:hint="eastAsia"/>
              </w:rPr>
              <w:t>晴朗天气时，视情况每周等时间隔洒水二至七次，扬尘严重时应加大洒水频率；</w:t>
            </w:r>
          </w:p>
          <w:p>
            <w:pPr>
              <w:ind w:firstLine="0"/>
            </w:pPr>
            <w:r>
              <w:rPr>
                <w:rFonts w:hint="eastAsia" w:ascii="宋体" w:hAnsi="宋体" w:cs="宋体"/>
                <w:lang w:val="en-US" w:eastAsia="zh-CN"/>
              </w:rPr>
              <w:t>e、</w:t>
            </w:r>
            <w:r>
              <w:rPr>
                <w:rFonts w:hint="eastAsia"/>
              </w:rPr>
              <w:t>根据抑尘剂性能，定期喷洒抑尘剂；</w:t>
            </w:r>
          </w:p>
          <w:p>
            <w:pPr>
              <w:ind w:firstLine="0"/>
            </w:pPr>
            <w:r>
              <w:rPr>
                <w:rFonts w:hint="eastAsia" w:ascii="宋体" w:hAnsi="宋体" w:cs="宋体"/>
                <w:lang w:val="en-US" w:eastAsia="zh-CN"/>
              </w:rPr>
              <w:t>f、</w:t>
            </w:r>
            <w:r>
              <w:rPr>
                <w:rFonts w:hint="eastAsia"/>
              </w:rPr>
              <w:t>其他有效的防尘措施。</w:t>
            </w:r>
          </w:p>
          <w:p>
            <w:pPr>
              <w:ind w:firstLine="0"/>
              <w:rPr>
                <w:rFonts w:hint="eastAsia"/>
                <w:color w:val="auto"/>
              </w:rPr>
            </w:pPr>
            <w:r>
              <w:rPr>
                <w:rFonts w:hint="default" w:ascii="Times New Roman" w:hAnsi="Times New Roman" w:eastAsia="微软雅黑" w:cs="Times New Roman"/>
                <w:color w:val="auto"/>
              </w:rPr>
              <w:t>⑧</w:t>
            </w:r>
            <w:r>
              <w:rPr>
                <w:rFonts w:hint="eastAsia"/>
                <w:color w:val="auto"/>
              </w:rPr>
              <w:t>混凝土的防尘措施</w:t>
            </w:r>
          </w:p>
          <w:p>
            <w:pPr>
              <w:ind w:firstLine="0"/>
              <w:rPr>
                <w:rFonts w:hint="eastAsia"/>
                <w:color w:val="auto"/>
              </w:rPr>
            </w:pPr>
            <w:r>
              <w:rPr>
                <w:rFonts w:hint="eastAsia"/>
                <w:color w:val="auto"/>
              </w:rPr>
              <w:t>施工期间需使用混凝土时，可使用预拌商品混凝土或者进行密闭搅拌并配备防尘除尘装置，</w:t>
            </w:r>
            <w:r>
              <w:rPr>
                <w:rFonts w:hint="eastAsia"/>
                <w:color w:val="auto"/>
                <w:lang w:val="en-US" w:eastAsia="zh-CN"/>
              </w:rPr>
              <w:t>采取湿法作业，</w:t>
            </w:r>
            <w:r>
              <w:rPr>
                <w:rFonts w:hint="eastAsia"/>
                <w:color w:val="auto"/>
                <w:sz w:val="24"/>
              </w:rPr>
              <w:t>措施</w:t>
            </w:r>
            <w:r>
              <w:rPr>
                <w:rFonts w:hint="eastAsia"/>
                <w:color w:val="auto"/>
              </w:rPr>
              <w:t>不得现场露天搅拌混凝土、消化石灰及拌石灰土等</w:t>
            </w:r>
            <w:r>
              <w:rPr>
                <w:rFonts w:hint="eastAsia"/>
                <w:color w:val="auto"/>
                <w:lang w:eastAsia="zh-CN"/>
              </w:rPr>
              <w:t>，</w:t>
            </w:r>
            <w:r>
              <w:rPr>
                <w:rFonts w:hint="eastAsia"/>
                <w:color w:val="auto"/>
                <w:sz w:val="24"/>
              </w:rPr>
              <w:t>采取</w:t>
            </w:r>
            <w:r>
              <w:rPr>
                <w:rFonts w:hint="eastAsia"/>
                <w:color w:val="auto"/>
                <w:sz w:val="24"/>
                <w:lang w:val="en-US" w:eastAsia="zh-CN"/>
              </w:rPr>
              <w:t>喷淋</w:t>
            </w:r>
            <w:r>
              <w:rPr>
                <w:rFonts w:hint="eastAsia"/>
                <w:color w:val="auto"/>
                <w:sz w:val="24"/>
              </w:rPr>
              <w:t>洒水降尘</w:t>
            </w:r>
            <w:r>
              <w:rPr>
                <w:rFonts w:hint="eastAsia"/>
                <w:color w:val="auto"/>
              </w:rPr>
              <w:t>。应尽量采用石材、木制等成品或半成品，实施装配式施工，减少因石材、木制品切割所造成的扬尘污染。</w:t>
            </w:r>
          </w:p>
          <w:p>
            <w:pPr>
              <w:rPr>
                <w:rFonts w:hint="eastAsia"/>
                <w:lang w:val="en-US" w:eastAsia="zh-CN"/>
              </w:rPr>
            </w:pPr>
            <w:r>
              <w:rPr>
                <w:rFonts w:hint="eastAsia"/>
                <w:lang w:val="en-US" w:eastAsia="zh-CN"/>
              </w:rPr>
              <w:t>采取以上扬尘治理措施后，其浓度可得到有效控制，能够实现达标排放，对区域大气环境影响不大。</w:t>
            </w:r>
          </w:p>
          <w:p>
            <w:pPr>
              <w:rPr>
                <w:rFonts w:hint="eastAsia"/>
                <w:color w:val="auto"/>
                <w:lang w:val="en-US" w:eastAsia="zh-CN"/>
              </w:rPr>
            </w:pPr>
            <w:r>
              <w:rPr>
                <w:rFonts w:hint="eastAsia"/>
                <w:color w:val="auto"/>
                <w:lang w:val="en-US" w:eastAsia="zh-CN"/>
              </w:rPr>
              <w:t>（2）施工机械废气防治措施</w:t>
            </w:r>
          </w:p>
          <w:p>
            <w:pPr>
              <w:rPr>
                <w:rFonts w:hint="eastAsia"/>
                <w:lang w:val="en-US" w:eastAsia="zh-CN"/>
              </w:rPr>
            </w:pPr>
            <w:r>
              <w:rPr>
                <w:rFonts w:hint="eastAsia"/>
                <w:lang w:val="en-US" w:eastAsia="zh-CN"/>
              </w:rPr>
              <w:t>本项目施工机械及车辆主要以柴油、汽油为燃料，施工时机械及各种动力机械（如载重汽车等）产生的尾气也会产生一定的污染，施工机械及运输车辆尾气排放量小，且属间断性无组织排放。本项目施工场地开阔，扩散条件良好，不对周边环境影响较小。为了保护环境，减少施工机械作业时排放的尾气对环境的污染，施工方应尽量使用优质燃料，并对施工机具进行定期的保养和维护，禁止使用废气排放超标的车辆，并对场内施工内燃机械安置有效的空气滤清装置等，尽可能的减少施工机械尾气的排放量。</w:t>
            </w:r>
          </w:p>
          <w:p>
            <w:pPr>
              <w:rPr>
                <w:rFonts w:hint="eastAsia"/>
                <w:color w:val="auto"/>
                <w:lang w:val="en-US" w:eastAsia="zh-CN"/>
              </w:rPr>
            </w:pPr>
            <w:r>
              <w:rPr>
                <w:rFonts w:hint="eastAsia"/>
                <w:color w:val="auto"/>
                <w:lang w:val="en-US" w:eastAsia="zh-CN"/>
              </w:rPr>
              <w:t>（3）柴油发电机废气防治措施</w:t>
            </w:r>
          </w:p>
          <w:p>
            <w:pPr>
              <w:rPr>
                <w:rFonts w:hint="eastAsia"/>
                <w:lang w:val="en-US" w:eastAsia="zh-CN"/>
              </w:rPr>
            </w:pPr>
            <w:r>
              <w:rPr>
                <w:rFonts w:hint="eastAsia"/>
                <w:lang w:val="en-US" w:eastAsia="zh-CN"/>
              </w:rPr>
              <w:t>本评价要求施工单位柴油发电机使用0#柴油，发电机仅作为应急电源，使用频次较少，产生的烟气经自带的烟气净化系统处理后排放，自然扩散，施工场地开阔，对周围环境空气影响较小。</w:t>
            </w:r>
          </w:p>
          <w:p>
            <w:pPr>
              <w:bidi w:val="0"/>
              <w:rPr>
                <w:rFonts w:hint="default"/>
                <w:color w:val="auto"/>
              </w:rPr>
            </w:pPr>
            <w:r>
              <w:rPr>
                <w:rFonts w:hint="eastAsia" w:ascii="Times New Roman" w:hAnsi="Times New Roman" w:cs="Times New Roman"/>
                <w:b/>
                <w:bCs w:val="0"/>
                <w:color w:val="auto"/>
                <w:sz w:val="24"/>
                <w:szCs w:val="24"/>
                <w:lang w:val="en-US" w:eastAsia="zh-CN"/>
              </w:rPr>
              <w:t>综上所述，通过采取上述措施即可减小施工期对区域大气环境的影响，且措施简单，经济可行，本项目施工期对周围环境影响较小。</w:t>
            </w:r>
          </w:p>
          <w:p>
            <w:pPr>
              <w:bidi w:val="0"/>
              <w:rPr>
                <w:rFonts w:hint="default" w:ascii="Times New Roman" w:hAnsi="Times New Roman" w:eastAsia="宋体" w:cs="Times New Roman"/>
                <w:b/>
                <w:bCs w:val="0"/>
                <w:color w:val="auto"/>
                <w:sz w:val="24"/>
                <w:szCs w:val="24"/>
                <w:lang w:val="en-US" w:eastAsia="zh-CN"/>
              </w:rPr>
            </w:pPr>
            <w:r>
              <w:rPr>
                <w:rFonts w:hint="eastAsia" w:cs="Times New Roman"/>
                <w:b/>
                <w:bCs w:val="0"/>
                <w:color w:val="auto"/>
                <w:sz w:val="24"/>
                <w:szCs w:val="24"/>
                <w:lang w:val="en-US" w:eastAsia="zh-CN"/>
              </w:rPr>
              <w:t>四、声环境保护措施</w:t>
            </w:r>
          </w:p>
          <w:p>
            <w:pPr>
              <w:bidi w:val="0"/>
              <w:rPr>
                <w:rFonts w:hint="eastAsia"/>
                <w:color w:val="auto"/>
                <w:lang w:eastAsia="zh-CN"/>
              </w:rPr>
            </w:pPr>
            <w:r>
              <w:rPr>
                <w:rFonts w:hint="eastAsia"/>
                <w:color w:val="auto"/>
              </w:rPr>
              <w:t>为了保护沿线居民的正常生活，施工单位应采取必要的噪声控制措施，降低施工噪声对环境的影响</w:t>
            </w:r>
            <w:r>
              <w:rPr>
                <w:rFonts w:hint="eastAsia"/>
                <w:color w:val="auto"/>
                <w:lang w:eastAsia="zh-CN"/>
              </w:rPr>
              <w:t>，</w:t>
            </w:r>
            <w:r>
              <w:rPr>
                <w:rFonts w:hint="eastAsia"/>
                <w:color w:val="auto"/>
              </w:rPr>
              <w:t>确保实现场界噪声达标排放。具体措施为：</w:t>
            </w:r>
          </w:p>
          <w:p>
            <w:pPr>
              <w:bidi w:val="0"/>
              <w:rPr>
                <w:rFonts w:hint="eastAsia" w:eastAsia="宋体"/>
                <w:color w:val="auto"/>
                <w:lang w:eastAsia="zh-CN"/>
              </w:rPr>
            </w:pPr>
            <w:r>
              <w:rPr>
                <w:rFonts w:hint="eastAsia"/>
                <w:color w:val="auto"/>
                <w:lang w:eastAsia="zh-CN"/>
              </w:rPr>
              <w:t>①</w:t>
            </w:r>
            <w:r>
              <w:rPr>
                <w:rFonts w:hint="eastAsia"/>
                <w:color w:val="auto"/>
              </w:rPr>
              <w:t>在施工开始前，建设单位必须进行施工公示，让施工场地周围声环境敏感对象对工程有所了解，明白工程施工对他们的影响是暂时的，以求得他们的理解和支持</w:t>
            </w:r>
            <w:r>
              <w:rPr>
                <w:rFonts w:hint="eastAsia"/>
                <w:color w:val="auto"/>
                <w:lang w:eastAsia="zh-CN"/>
              </w:rPr>
              <w:t>。</w:t>
            </w:r>
          </w:p>
          <w:p>
            <w:pPr>
              <w:bidi w:val="0"/>
              <w:rPr>
                <w:rFonts w:hint="eastAsia" w:eastAsia="宋体"/>
                <w:color w:val="auto"/>
                <w:lang w:eastAsia="zh-CN"/>
              </w:rPr>
            </w:pPr>
            <w:r>
              <w:rPr>
                <w:rFonts w:hint="eastAsia"/>
                <w:color w:val="auto"/>
                <w:lang w:eastAsia="zh-CN"/>
              </w:rPr>
              <w:t>②</w:t>
            </w:r>
            <w:r>
              <w:rPr>
                <w:rFonts w:hint="eastAsia"/>
                <w:color w:val="auto"/>
              </w:rPr>
              <w:t>合理制定施工计划，加快施工进度，合理安排施工时间，合理布置高噪声机械位置，将建筑施工、车辆运输等工作尽量安排在白天进行，禁止午间（12:00~14:00）和夜间（22:00~6:00）施工</w:t>
            </w:r>
            <w:r>
              <w:rPr>
                <w:rFonts w:hint="eastAsia"/>
                <w:color w:val="auto"/>
                <w:lang w:eastAsia="zh-CN"/>
              </w:rPr>
              <w:t>。</w:t>
            </w:r>
          </w:p>
          <w:p>
            <w:pPr>
              <w:bidi w:val="0"/>
              <w:rPr>
                <w:rFonts w:hint="eastAsia" w:eastAsia="宋体"/>
                <w:color w:val="auto"/>
                <w:lang w:eastAsia="zh-CN"/>
              </w:rPr>
            </w:pPr>
            <w:r>
              <w:rPr>
                <w:rFonts w:hint="eastAsia"/>
                <w:color w:val="auto"/>
                <w:lang w:eastAsia="zh-CN"/>
              </w:rPr>
              <w:t>③</w:t>
            </w:r>
            <w:r>
              <w:rPr>
                <w:rFonts w:hint="eastAsia"/>
                <w:color w:val="auto"/>
              </w:rPr>
              <w:t>合理布局施工现场：高噪声施工机械尽量布置在远离环境敏感点的一方，同时应避免在同一地点安排大量动力机械设备，以避免局部声级过高；对于附近居民</w:t>
            </w:r>
            <w:r>
              <w:rPr>
                <w:rFonts w:hint="eastAsia"/>
                <w:color w:val="auto"/>
                <w:lang w:eastAsia="zh-CN"/>
              </w:rPr>
              <w:t>、</w:t>
            </w:r>
            <w:r>
              <w:rPr>
                <w:rFonts w:hint="eastAsia"/>
                <w:color w:val="auto"/>
                <w:lang w:val="en-US" w:eastAsia="zh-CN"/>
              </w:rPr>
              <w:t>学校</w:t>
            </w:r>
            <w:r>
              <w:rPr>
                <w:rFonts w:hint="eastAsia"/>
                <w:color w:val="auto"/>
              </w:rPr>
              <w:t>等敏感地点附近的作业场地，修建临时隔声屏障</w:t>
            </w:r>
            <w:r>
              <w:rPr>
                <w:rFonts w:hint="eastAsia"/>
                <w:color w:val="auto"/>
                <w:lang w:eastAsia="zh-CN"/>
              </w:rPr>
              <w:t>。</w:t>
            </w:r>
          </w:p>
          <w:p>
            <w:pPr>
              <w:bidi w:val="0"/>
              <w:rPr>
                <w:rFonts w:hint="eastAsia" w:eastAsia="宋体"/>
                <w:color w:val="auto"/>
                <w:lang w:eastAsia="zh-CN"/>
              </w:rPr>
            </w:pPr>
            <w:r>
              <w:rPr>
                <w:rFonts w:hint="eastAsia"/>
                <w:color w:val="auto"/>
                <w:lang w:eastAsia="zh-CN"/>
              </w:rPr>
              <w:t>④</w:t>
            </w:r>
            <w:r>
              <w:rPr>
                <w:rFonts w:hint="eastAsia"/>
                <w:color w:val="auto"/>
              </w:rPr>
              <w:t>降低设备声级，在施工机械上尽可能采用先进、低噪声设备和施工机械，固定设备应尽量设置在施工工棚内、固定设备安装减震垫，同时定期维护和保养设备，使其处于良好的运行状态</w:t>
            </w:r>
            <w:r>
              <w:rPr>
                <w:rFonts w:hint="eastAsia"/>
                <w:color w:val="auto"/>
                <w:lang w:eastAsia="zh-CN"/>
              </w:rPr>
              <w:t>。</w:t>
            </w:r>
          </w:p>
          <w:p>
            <w:pPr>
              <w:bidi w:val="0"/>
              <w:rPr>
                <w:rFonts w:hint="eastAsia" w:eastAsia="宋体"/>
                <w:color w:val="auto"/>
                <w:lang w:eastAsia="zh-CN"/>
              </w:rPr>
            </w:pPr>
            <w:r>
              <w:rPr>
                <w:rFonts w:hint="eastAsia"/>
                <w:color w:val="auto"/>
                <w:lang w:eastAsia="zh-CN"/>
              </w:rPr>
              <w:t>⑤</w:t>
            </w:r>
            <w:r>
              <w:rPr>
                <w:rFonts w:hint="eastAsia"/>
                <w:color w:val="auto"/>
              </w:rPr>
              <w:t>降低人为噪音，按照规定操作机械设备，在装卸材料过程中，应遵守作业规定，减少碰撞噪音</w:t>
            </w:r>
            <w:r>
              <w:rPr>
                <w:rFonts w:hint="eastAsia"/>
                <w:color w:val="auto"/>
                <w:lang w:eastAsia="zh-CN"/>
              </w:rPr>
              <w:t>。</w:t>
            </w:r>
          </w:p>
          <w:p>
            <w:pPr>
              <w:bidi w:val="0"/>
              <w:rPr>
                <w:rFonts w:hint="eastAsia"/>
                <w:color w:val="auto"/>
              </w:rPr>
            </w:pPr>
            <w:r>
              <w:rPr>
                <w:rFonts w:hint="eastAsia"/>
                <w:color w:val="auto"/>
                <w:lang w:eastAsia="zh-CN"/>
              </w:rPr>
              <w:t>⑥</w:t>
            </w:r>
            <w:r>
              <w:rPr>
                <w:rFonts w:hint="eastAsia"/>
                <w:color w:val="auto"/>
              </w:rPr>
              <w:t>合理安排施工物料运输车辆的运输时间及运输路线，严格限速、限载管理，禁止鸣笛。在途经路段附近有城镇居民点和学校路段，应减速慢行、禁止鸣笛。</w:t>
            </w:r>
          </w:p>
          <w:p>
            <w:pPr>
              <w:bidi w:val="0"/>
              <w:rPr>
                <w:rFonts w:hint="eastAsia" w:eastAsia="宋体"/>
                <w:color w:val="auto"/>
                <w:lang w:eastAsia="zh-CN"/>
              </w:rPr>
            </w:pPr>
            <w:r>
              <w:rPr>
                <w:rFonts w:hint="eastAsia"/>
                <w:color w:val="auto"/>
                <w:lang w:eastAsia="zh-CN"/>
              </w:rPr>
              <w:t>⑦</w:t>
            </w:r>
            <w:r>
              <w:rPr>
                <w:rFonts w:hint="eastAsia"/>
                <w:color w:val="auto"/>
              </w:rPr>
              <w:t>建设单位应加强对施工场地的噪声管理，对施工强度、机械及车辆操作人员、操作规程等管理方面要严格要求，应加强自律，文明施工，避免因施工噪声产生纠纷</w:t>
            </w:r>
            <w:r>
              <w:rPr>
                <w:rFonts w:hint="eastAsia"/>
                <w:color w:val="auto"/>
                <w:lang w:eastAsia="zh-CN"/>
              </w:rPr>
              <w:t>。</w:t>
            </w:r>
          </w:p>
          <w:p>
            <w:pPr>
              <w:bidi w:val="0"/>
              <w:rPr>
                <w:rFonts w:hint="eastAsia" w:eastAsia="宋体"/>
                <w:color w:val="auto"/>
                <w:lang w:eastAsia="zh-CN"/>
              </w:rPr>
            </w:pPr>
            <w:r>
              <w:rPr>
                <w:rFonts w:hint="eastAsia"/>
                <w:color w:val="auto"/>
                <w:lang w:eastAsia="zh-CN"/>
              </w:rPr>
              <w:t>⑧</w:t>
            </w:r>
            <w:r>
              <w:rPr>
                <w:rFonts w:hint="eastAsia"/>
                <w:color w:val="auto"/>
              </w:rPr>
              <w:t>工程施工噪声主要受影响对象为场内施工人员，采取配备使用耳塞、耳罩、防声头盔等个人防护措施进行保护</w:t>
            </w:r>
            <w:r>
              <w:rPr>
                <w:rFonts w:hint="eastAsia"/>
                <w:color w:val="auto"/>
                <w:lang w:eastAsia="zh-CN"/>
              </w:rPr>
              <w:t>。</w:t>
            </w:r>
          </w:p>
          <w:p>
            <w:pPr>
              <w:bidi w:val="0"/>
              <w:rPr>
                <w:rFonts w:hint="eastAsia" w:eastAsia="宋体"/>
                <w:color w:val="auto"/>
                <w:lang w:eastAsia="zh-CN"/>
              </w:rPr>
            </w:pPr>
            <w:r>
              <w:rPr>
                <w:rFonts w:hint="eastAsia"/>
                <w:color w:val="auto"/>
                <w:lang w:eastAsia="zh-CN"/>
              </w:rPr>
              <w:t>⑨</w:t>
            </w:r>
            <w:r>
              <w:rPr>
                <w:rFonts w:hint="eastAsia"/>
                <w:color w:val="auto"/>
              </w:rPr>
              <w:t>加强设备维修养护，保持良好的运行工况，减低设备运行噪声</w:t>
            </w:r>
            <w:r>
              <w:rPr>
                <w:rFonts w:hint="eastAsia"/>
                <w:color w:val="auto"/>
                <w:lang w:eastAsia="zh-CN"/>
              </w:rPr>
              <w:t>。</w:t>
            </w:r>
          </w:p>
          <w:p>
            <w:pPr>
              <w:bidi w:val="0"/>
              <w:rPr>
                <w:rFonts w:hint="default"/>
                <w:color w:val="auto"/>
              </w:rPr>
            </w:pPr>
            <w:r>
              <w:rPr>
                <w:rFonts w:hint="eastAsia" w:ascii="T" w:hAnsi="T"/>
                <w:b/>
                <w:bCs/>
                <w:color w:val="auto"/>
                <w:sz w:val="24"/>
                <w:szCs w:val="32"/>
                <w:highlight w:val="none"/>
              </w:rPr>
              <w:t>针对项目周边的居民点，可根据实际情况设置围挡，在周边敏感点附近施工时，设置声屏障等，以</w:t>
            </w:r>
            <w:r>
              <w:rPr>
                <w:rFonts w:hint="eastAsia" w:ascii="T" w:hAnsi="T"/>
                <w:b/>
                <w:bCs/>
                <w:color w:val="auto"/>
                <w:sz w:val="24"/>
                <w:szCs w:val="32"/>
              </w:rPr>
              <w:t>此减少施工噪声对周边敏感点影响。采取上述噪声污染防治措施，经济可行，项目施工期场界噪声可以实现达标排放，污染防治措施有效。</w:t>
            </w:r>
          </w:p>
          <w:p>
            <w:pPr>
              <w:bidi w:val="0"/>
              <w:rPr>
                <w:rFonts w:hint="default"/>
                <w:b/>
                <w:bCs/>
                <w:color w:val="auto"/>
                <w:highlight w:val="none"/>
                <w:lang w:val="en-US" w:eastAsia="zh-CN"/>
              </w:rPr>
            </w:pPr>
            <w:r>
              <w:rPr>
                <w:rFonts w:hint="eastAsia"/>
                <w:b/>
                <w:bCs/>
                <w:color w:val="auto"/>
                <w:highlight w:val="none"/>
                <w:lang w:val="en-US" w:eastAsia="zh-CN"/>
              </w:rPr>
              <w:t>五、固体废物处置措施</w:t>
            </w:r>
          </w:p>
          <w:p>
            <w:pPr>
              <w:bidi w:val="0"/>
              <w:rPr>
                <w:rFonts w:hint="eastAsia" w:eastAsia="宋体" w:cs="Times New Roman"/>
                <w:sz w:val="24"/>
                <w:szCs w:val="24"/>
                <w:lang w:eastAsia="zh-CN"/>
              </w:rPr>
            </w:pPr>
            <w:r>
              <w:rPr>
                <w:rFonts w:hint="eastAsia" w:cs="Times New Roman"/>
                <w:b w:val="0"/>
                <w:bCs/>
                <w:color w:val="auto"/>
                <w:sz w:val="24"/>
                <w:szCs w:val="24"/>
                <w:highlight w:val="none"/>
                <w:lang w:val="en-US" w:eastAsia="zh-CN"/>
              </w:rPr>
              <w:t>（1）</w:t>
            </w:r>
            <w:r>
              <w:rPr>
                <w:rFonts w:hint="eastAsia" w:ascii="Times New Roman" w:hAnsi="Times New Roman" w:eastAsia="宋体" w:cs="Times New Roman"/>
                <w:b w:val="0"/>
                <w:bCs/>
                <w:color w:val="auto"/>
                <w:sz w:val="24"/>
                <w:szCs w:val="24"/>
                <w:highlight w:val="none"/>
                <w:lang w:val="en-US" w:eastAsia="zh-CN"/>
              </w:rPr>
              <w:t>土石方：</w:t>
            </w:r>
            <w:r>
              <w:rPr>
                <w:rFonts w:hint="eastAsia" w:cs="Times New Roman"/>
                <w:sz w:val="24"/>
                <w:szCs w:val="24"/>
                <w:highlight w:val="none"/>
                <w:lang w:val="en-US" w:eastAsia="zh-CN"/>
              </w:rPr>
              <w:t>本</w:t>
            </w:r>
            <w:r>
              <w:rPr>
                <w:rFonts w:hint="default"/>
                <w:highlight w:val="none"/>
                <w:lang w:val="en-US" w:eastAsia="zh-CN"/>
              </w:rPr>
              <w:t>项目设计</w:t>
            </w:r>
            <w:r>
              <w:rPr>
                <w:highlight w:val="none"/>
              </w:rPr>
              <w:t>挖土方29785m</w:t>
            </w:r>
            <w:r>
              <w:rPr>
                <w:highlight w:val="none"/>
                <w:vertAlign w:val="superscript"/>
              </w:rPr>
              <w:t>3</w:t>
            </w:r>
            <w:r>
              <w:rPr>
                <w:highlight w:val="none"/>
              </w:rPr>
              <w:t>，开挖石方5314m</w:t>
            </w:r>
            <w:r>
              <w:rPr>
                <w:highlight w:val="none"/>
                <w:vertAlign w:val="superscript"/>
              </w:rPr>
              <w:t>3</w:t>
            </w:r>
            <w:r>
              <w:rPr>
                <w:highlight w:val="none"/>
              </w:rPr>
              <w:t>，回填土方6563m</w:t>
            </w:r>
            <w:r>
              <w:rPr>
                <w:highlight w:val="none"/>
                <w:vertAlign w:val="superscript"/>
              </w:rPr>
              <w:t>3</w:t>
            </w:r>
            <w:r>
              <w:rPr>
                <w:highlight w:val="none"/>
              </w:rPr>
              <w:t>，经土石方平衡，累计弃渣</w:t>
            </w:r>
            <w:r>
              <w:rPr>
                <w:rFonts w:hint="eastAsia"/>
                <w:highlight w:val="none"/>
                <w:lang w:val="en-US" w:eastAsia="zh-CN"/>
              </w:rPr>
              <w:t>28536</w:t>
            </w:r>
            <w:r>
              <w:rPr>
                <w:highlight w:val="none"/>
              </w:rPr>
              <w:t>万m</w:t>
            </w:r>
            <w:r>
              <w:rPr>
                <w:rFonts w:hint="eastAsia"/>
                <w:highlight w:val="none"/>
                <w:vertAlign w:val="superscript"/>
                <w:lang w:val="en-US" w:eastAsia="zh-CN"/>
              </w:rPr>
              <w:t>3</w:t>
            </w:r>
            <w:r>
              <w:rPr>
                <w:rFonts w:hint="eastAsia"/>
                <w:highlight w:val="none"/>
                <w:lang w:eastAsia="zh-CN"/>
              </w:rPr>
              <w:t>，</w:t>
            </w:r>
            <w:r>
              <w:rPr>
                <w:highlight w:val="none"/>
              </w:rPr>
              <w:t>堆放在胡家城市规划区内</w:t>
            </w:r>
            <w:r>
              <w:rPr>
                <w:rFonts w:hint="eastAsia"/>
                <w:highlight w:val="none"/>
                <w:lang w:eastAsia="zh-CN"/>
              </w:rPr>
              <w:t>，</w:t>
            </w:r>
            <w:r>
              <w:rPr>
                <w:rFonts w:hint="eastAsia"/>
                <w:highlight w:val="none"/>
                <w:lang w:val="en-US" w:eastAsia="zh-CN"/>
              </w:rPr>
              <w:t>经10t</w:t>
            </w:r>
            <w:r>
              <w:rPr>
                <w:rFonts w:hint="default" w:ascii="Times New Roman" w:hAnsi="Times New Roman" w:eastAsia="微软雅黑" w:cs="Times New Roman"/>
                <w:highlight w:val="none"/>
                <w:lang w:val="en-US" w:eastAsia="zh-CN"/>
              </w:rPr>
              <w:t>~</w:t>
            </w:r>
            <w:r>
              <w:rPr>
                <w:rFonts w:hint="eastAsia" w:ascii="Times New Roman" w:hAnsi="Times New Roman" w:eastAsia="微软雅黑" w:cs="Times New Roman"/>
                <w:highlight w:val="none"/>
                <w:lang w:val="en-US" w:eastAsia="zh-CN"/>
              </w:rPr>
              <w:t>15t</w:t>
            </w:r>
            <w:r>
              <w:rPr>
                <w:rFonts w:hint="eastAsia" w:ascii="宋体" w:hAnsi="宋体" w:eastAsia="宋体" w:cs="宋体"/>
                <w:highlight w:val="none"/>
                <w:lang w:val="en-US" w:eastAsia="zh-CN"/>
              </w:rPr>
              <w:t>自卸汽车运输至</w:t>
            </w:r>
            <w:r>
              <w:rPr>
                <w:highlight w:val="none"/>
              </w:rPr>
              <w:t>胡家城市规划区内</w:t>
            </w:r>
            <w:r>
              <w:rPr>
                <w:rFonts w:hint="eastAsia"/>
                <w:highlight w:val="none"/>
                <w:lang w:eastAsia="zh-CN"/>
              </w:rPr>
              <w:t>，</w:t>
            </w:r>
            <w:r>
              <w:rPr>
                <w:rFonts w:hint="eastAsia"/>
                <w:highlight w:val="none"/>
                <w:lang w:val="en-US" w:eastAsia="zh-CN"/>
              </w:rPr>
              <w:t>平均</w:t>
            </w:r>
            <w:r>
              <w:rPr>
                <w:spacing w:val="4"/>
                <w:highlight w:val="none"/>
              </w:rPr>
              <w:t>运距</w:t>
            </w:r>
            <w:r>
              <w:rPr>
                <w:rFonts w:ascii="Times New Roman" w:hAnsi="Times New Roman" w:eastAsia="Times New Roman" w:cs="Times New Roman"/>
                <w:spacing w:val="4"/>
                <w:sz w:val="24"/>
                <w:szCs w:val="24"/>
                <w:highlight w:val="none"/>
              </w:rPr>
              <w:t>1.0</w:t>
            </w:r>
            <w:r>
              <w:rPr>
                <w:rFonts w:ascii="Times New Roman" w:hAnsi="Times New Roman" w:eastAsia="Times New Roman" w:cs="Times New Roman"/>
                <w:sz w:val="24"/>
                <w:szCs w:val="24"/>
                <w:highlight w:val="none"/>
              </w:rPr>
              <w:t>km</w:t>
            </w:r>
            <w:r>
              <w:rPr>
                <w:rFonts w:hint="eastAsia" w:eastAsia="宋体" w:cs="Times New Roman"/>
                <w:sz w:val="24"/>
                <w:szCs w:val="24"/>
                <w:highlight w:val="none"/>
                <w:lang w:eastAsia="zh-CN"/>
              </w:rPr>
              <w:t>。</w:t>
            </w:r>
          </w:p>
          <w:p>
            <w:pPr>
              <w:bidi w:val="0"/>
              <w:rPr>
                <w:rFonts w:hint="eastAsia"/>
                <w:color w:val="auto"/>
                <w:highlight w:val="none"/>
              </w:rPr>
            </w:pPr>
            <w:r>
              <w:rPr>
                <w:rFonts w:hint="eastAsia"/>
                <w:b w:val="0"/>
                <w:bCs w:val="0"/>
                <w:color w:val="auto"/>
                <w:highlight w:val="none"/>
                <w:lang w:val="en-US" w:eastAsia="zh-CN"/>
              </w:rPr>
              <w:t>（2）建筑垃圾</w:t>
            </w:r>
            <w:r>
              <w:rPr>
                <w:rFonts w:hint="eastAsia"/>
                <w:color w:val="auto"/>
                <w:highlight w:val="none"/>
                <w:lang w:val="en-US" w:eastAsia="zh-CN"/>
              </w:rPr>
              <w:t>：</w:t>
            </w:r>
            <w:r>
              <w:rPr>
                <w:rFonts w:hint="eastAsia"/>
                <w:color w:val="auto"/>
                <w:highlight w:val="none"/>
              </w:rPr>
              <w:t>项目建筑垃圾主要来自</w:t>
            </w:r>
            <w:r>
              <w:rPr>
                <w:rFonts w:hint="eastAsia"/>
                <w:color w:val="auto"/>
                <w:highlight w:val="none"/>
                <w:lang w:val="en-US" w:eastAsia="zh-CN"/>
              </w:rPr>
              <w:t>日常</w:t>
            </w:r>
            <w:r>
              <w:rPr>
                <w:rFonts w:hint="eastAsia"/>
                <w:color w:val="auto"/>
                <w:highlight w:val="none"/>
              </w:rPr>
              <w:t>施工作业</w:t>
            </w:r>
            <w:r>
              <w:rPr>
                <w:rFonts w:hint="eastAsia"/>
                <w:color w:val="auto"/>
                <w:highlight w:val="none"/>
                <w:lang w:eastAsia="zh-CN"/>
              </w:rPr>
              <w:t>、</w:t>
            </w:r>
            <w:r>
              <w:rPr>
                <w:rFonts w:hint="eastAsia"/>
                <w:color w:val="auto"/>
                <w:highlight w:val="none"/>
                <w:lang w:val="en-US" w:eastAsia="zh-CN"/>
              </w:rPr>
              <w:t>施工围堰拆除等临时工程</w:t>
            </w:r>
            <w:r>
              <w:rPr>
                <w:rFonts w:hint="eastAsia"/>
                <w:color w:val="auto"/>
                <w:highlight w:val="none"/>
              </w:rPr>
              <w:t>，包括砂石、石块、水泥、废木料、废钢筋等杂物，</w:t>
            </w:r>
            <w:r>
              <w:rPr>
                <w:color w:val="auto"/>
                <w:highlight w:val="none"/>
              </w:rPr>
              <w:t>如不及时处理不仅有碍观瞻，影响景观，且在遇大风及干燥天气时将产生扬尘</w:t>
            </w:r>
            <w:r>
              <w:rPr>
                <w:rFonts w:hint="eastAsia"/>
                <w:color w:val="auto"/>
                <w:highlight w:val="none"/>
                <w:lang w:eastAsia="zh-CN"/>
              </w:rPr>
              <w:t>。</w:t>
            </w:r>
            <w:r>
              <w:rPr>
                <w:rFonts w:hint="default" w:ascii="Times New Roman" w:hAnsi="Times New Roman" w:eastAsia="宋体" w:cs="Times New Roman"/>
                <w:color w:val="auto"/>
                <w:sz w:val="24"/>
                <w:szCs w:val="24"/>
                <w:highlight w:val="none"/>
                <w:lang w:val="en-US" w:eastAsia="zh-CN"/>
              </w:rPr>
              <w:t>施工结束后，对围堰进行拆除，</w:t>
            </w:r>
            <w:r>
              <w:rPr>
                <w:color w:val="auto"/>
                <w:highlight w:val="none"/>
              </w:rPr>
              <w:t>围堰拆除</w:t>
            </w:r>
            <w:r>
              <w:rPr>
                <w:rFonts w:hint="eastAsia"/>
                <w:color w:val="auto"/>
                <w:highlight w:val="none"/>
                <w:lang w:val="en-US" w:eastAsia="zh-CN"/>
              </w:rPr>
              <w:t>后用于堤身填筑，</w:t>
            </w:r>
            <w:r>
              <w:rPr>
                <w:color w:val="auto"/>
                <w:highlight w:val="none"/>
              </w:rPr>
              <w:t>不得抛弃</w:t>
            </w:r>
            <w:r>
              <w:rPr>
                <w:rFonts w:hint="eastAsia"/>
                <w:color w:val="auto"/>
                <w:highlight w:val="none"/>
                <w:lang w:val="en-US" w:eastAsia="zh-CN"/>
              </w:rPr>
              <w:t>胡家河</w:t>
            </w:r>
            <w:r>
              <w:rPr>
                <w:color w:val="auto"/>
                <w:highlight w:val="none"/>
              </w:rPr>
              <w:t>内。</w:t>
            </w:r>
            <w:r>
              <w:rPr>
                <w:rFonts w:hint="eastAsia"/>
                <w:color w:val="auto"/>
                <w:highlight w:val="none"/>
              </w:rPr>
              <w:t>施工生产的废料首先应考虑废料的回收利用，对钢筋、钢板、木材等下角料可分类回收，交废物收购站处理；对不能回收的建筑垃圾，如混凝土废料、含砖、砂石等及时清运到政府部门指定的建筑垃圾堆放场，严禁随意倾倒、填埋，从而可以避免工程废料造成二次污染。</w:t>
            </w:r>
          </w:p>
          <w:p>
            <w:pPr>
              <w:bidi w:val="0"/>
              <w:rPr>
                <w:rFonts w:hint="eastAsia"/>
                <w:color w:val="auto"/>
                <w:highlight w:val="none"/>
                <w:lang w:val="en-US" w:eastAsia="zh-CN"/>
              </w:rPr>
            </w:pPr>
            <w:r>
              <w:rPr>
                <w:color w:val="auto"/>
                <w:highlight w:val="none"/>
              </w:rPr>
              <w:t>建筑垃圾在运输过程中必须严格要求，不能随意倾倒，不致造成尘土洒落、飘溢的现象；及时清运出场，控制施工现场临时堆</w:t>
            </w:r>
            <w:r>
              <w:rPr>
                <w:rFonts w:hint="eastAsia"/>
                <w:color w:val="auto"/>
                <w:highlight w:val="none"/>
                <w:lang w:val="en-US" w:eastAsia="zh-CN"/>
              </w:rPr>
              <w:t>存</w:t>
            </w:r>
            <w:r>
              <w:rPr>
                <w:color w:val="auto"/>
                <w:highlight w:val="none"/>
              </w:rPr>
              <w:t>量；出场的渣土全部加盖篷布并拉紧、盖严，同时在施工场地出口放置防尘垫，不准运渣车辆冒顶装载，运输车等运输车辆不允许超载；建渣清运车辆尽量不行走市区道路，避免给沿线地区增加车流量、造成交通堵塞。</w:t>
            </w:r>
          </w:p>
          <w:p>
            <w:pPr>
              <w:numPr>
                <w:ilvl w:val="0"/>
                <w:numId w:val="0"/>
              </w:numPr>
              <w:bidi w:val="0"/>
              <w:ind w:left="480" w:leftChars="0"/>
              <w:rPr>
                <w:rFonts w:hint="eastAsia"/>
                <w:color w:val="auto"/>
                <w:lang w:val="en-US" w:eastAsia="zh-CN"/>
              </w:rPr>
            </w:pPr>
            <w:r>
              <w:rPr>
                <w:rFonts w:hint="eastAsia"/>
                <w:b w:val="0"/>
                <w:bCs w:val="0"/>
                <w:color w:val="auto"/>
                <w:lang w:val="en-US" w:eastAsia="zh-CN"/>
              </w:rPr>
              <w:t>（3）生活垃圾</w:t>
            </w:r>
            <w:r>
              <w:rPr>
                <w:rFonts w:hint="eastAsia"/>
                <w:color w:val="auto"/>
                <w:lang w:val="en-US" w:eastAsia="zh-CN"/>
              </w:rPr>
              <w:t>：施工人员每日产生的生活垃圾经袋装收集，由环卫部门统一运送到垃圾处理场集中处理，不会对当地环境产生影响。</w:t>
            </w:r>
          </w:p>
          <w:p>
            <w:pPr>
              <w:bidi w:val="0"/>
              <w:rPr>
                <w:rFonts w:hint="eastAsia"/>
                <w:color w:val="auto"/>
                <w:lang w:val="en-US" w:eastAsia="zh-CN"/>
              </w:rPr>
            </w:pPr>
            <w:r>
              <w:rPr>
                <w:rFonts w:hint="eastAsia"/>
                <w:lang w:val="en-US" w:eastAsia="zh-CN"/>
              </w:rPr>
              <w:t>（4）沉淀池污泥：本项目混凝土拌合及砼浇筑系统清洗废水、防洪堤基坑排水、车辆机械冲洗废水经经沉淀池处理后形成的污泥，污泥产生量较少，可用于建筑砂浆回用。</w:t>
            </w:r>
          </w:p>
          <w:p>
            <w:pPr>
              <w:keepNext w:val="0"/>
              <w:keepLines w:val="0"/>
              <w:suppressLineNumbers w:val="0"/>
              <w:bidi w:val="0"/>
              <w:spacing w:before="0" w:beforeAutospacing="0" w:after="0" w:afterAutospacing="0"/>
              <w:ind w:left="0" w:right="0"/>
              <w:rPr>
                <w:rFonts w:hint="default" w:ascii="Times New Roman" w:hAnsi="Times New Roman" w:cs="Times New Roman"/>
                <w:color w:val="auto"/>
                <w:u w:val="none"/>
              </w:rPr>
            </w:pPr>
            <w:r>
              <w:rPr>
                <w:rFonts w:hint="default" w:ascii="Times New Roman" w:hAnsi="Times New Roman" w:cs="Times New Roman"/>
                <w:b/>
                <w:bCs/>
                <w:color w:val="auto"/>
                <w:u w:val="none"/>
              </w:rPr>
              <w:t>综上所述，本项目施工期间产生的固体废弃物采取相应的处理措施且处置措施经济可行，不致造成二次污染。</w:t>
            </w:r>
          </w:p>
          <w:p>
            <w:pPr>
              <w:bidi w:val="0"/>
              <w:rPr>
                <w:rFonts w:hint="eastAsia"/>
                <w:b/>
                <w:bCs/>
                <w:color w:val="auto"/>
                <w:highlight w:val="none"/>
                <w:lang w:val="en-US" w:eastAsia="zh-CN"/>
              </w:rPr>
            </w:pPr>
            <w:r>
              <w:rPr>
                <w:rFonts w:hint="eastAsia"/>
                <w:b/>
                <w:bCs/>
                <w:color w:val="auto"/>
                <w:highlight w:val="none"/>
                <w:lang w:val="en-US" w:eastAsia="zh-CN"/>
              </w:rPr>
              <w:t>六、环境风险防范措施</w:t>
            </w:r>
          </w:p>
          <w:p>
            <w:pPr>
              <w:bidi w:val="0"/>
              <w:rPr>
                <w:rFonts w:hint="default"/>
                <w:color w:val="auto"/>
              </w:rPr>
            </w:pPr>
            <w:r>
              <w:rPr>
                <w:rFonts w:hint="default"/>
                <w:color w:val="auto"/>
              </w:rPr>
              <w:t>项目区域在施工过程中将涉及一定量的油料，属于易燃易爆物质，在运输和储存过程中，或由于操作不规范，可能引发一定的事故风险；工程施工或特殊气象条件，也可能造成滑坡或开挖面局部蹋跨，从而造成一定的环境风险</w:t>
            </w:r>
            <w:r>
              <w:rPr>
                <w:rFonts w:hint="eastAsia"/>
                <w:color w:val="auto"/>
                <w:lang w:eastAsia="zh-CN"/>
              </w:rPr>
              <w:t>；</w:t>
            </w:r>
            <w:r>
              <w:rPr>
                <w:rFonts w:hint="eastAsia"/>
                <w:color w:val="auto"/>
                <w:lang w:val="en-US" w:eastAsia="zh-CN"/>
              </w:rPr>
              <w:t>施工期间设备漏油进入土壤环境、胡家河水环境，对土壤和水环境产生污染。故应做好以下</w:t>
            </w:r>
            <w:r>
              <w:rPr>
                <w:rFonts w:hint="default"/>
                <w:color w:val="auto"/>
              </w:rPr>
              <w:t>风险防护与减缓措施</w:t>
            </w:r>
          </w:p>
          <w:p>
            <w:pPr>
              <w:bidi w:val="0"/>
              <w:rPr>
                <w:rFonts w:hint="default"/>
                <w:color w:val="auto"/>
              </w:rPr>
            </w:pPr>
            <w:r>
              <w:rPr>
                <w:rFonts w:hint="default"/>
                <w:color w:val="auto"/>
              </w:rPr>
              <w:t>①建立以本项目建设环境保护领导小组为核心的责任制，层层签订责任书，明确各级环保人员应承担的环境风险管理责任。</w:t>
            </w:r>
          </w:p>
          <w:p>
            <w:pPr>
              <w:bidi w:val="0"/>
              <w:rPr>
                <w:rFonts w:hint="default"/>
                <w:color w:val="auto"/>
              </w:rPr>
            </w:pPr>
            <w:r>
              <w:rPr>
                <w:rFonts w:hint="default"/>
                <w:color w:val="auto"/>
              </w:rPr>
              <w:t>②环境保护领导小组应加强各施工队伍的环境风险意识的宣传教育，并与油料的承包方签订事故责任合同，建立岗位责任制，明确管理责任。</w:t>
            </w:r>
          </w:p>
          <w:p>
            <w:pPr>
              <w:bidi w:val="0"/>
              <w:rPr>
                <w:rFonts w:hint="default"/>
                <w:color w:val="auto"/>
              </w:rPr>
            </w:pPr>
            <w:r>
              <w:rPr>
                <w:rFonts w:hint="default"/>
                <w:color w:val="auto"/>
              </w:rPr>
              <w:t>③在工程施工过程中，关注当地的气象、地质资料，紧密联络有关部门，合理安排工期，及时对各类构筑物、边坡开挖面及堆土场进行防护，尽可能降低环境风险。</w:t>
            </w:r>
          </w:p>
          <w:p>
            <w:pPr>
              <w:bidi w:val="0"/>
              <w:rPr>
                <w:rFonts w:hint="eastAsia"/>
                <w:color w:val="auto"/>
                <w:lang w:val="en-US" w:eastAsia="zh-CN"/>
              </w:rPr>
            </w:pPr>
            <w:r>
              <w:rPr>
                <w:rFonts w:hint="default"/>
                <w:color w:val="auto"/>
              </w:rPr>
              <w:t>④</w:t>
            </w:r>
            <w:r>
              <w:rPr>
                <w:rFonts w:hint="default"/>
                <w:color w:val="auto"/>
                <w:lang w:val="en-US" w:eastAsia="zh-CN"/>
              </w:rPr>
              <w:t>施工期间设备漏油进入土壤环境、水环境，属于事故性泄露，由于可及时被发现（10分钟内可发现并控制），泄露源往往属于瞬时源，</w:t>
            </w:r>
            <w:r>
              <w:rPr>
                <w:rFonts w:hint="eastAsia"/>
                <w:color w:val="auto"/>
                <w:lang w:val="en-US" w:eastAsia="zh-CN"/>
              </w:rPr>
              <w:t>若泄露在土壤，影响范围为土壤表层，对土壤理化性质及微生物环境将产生明显影响，若泄露至胡家河，随着溢油粒子飘散至下游，影响范围可达几十公里，对水质及水生生态会产生明显影响</w:t>
            </w:r>
            <w:r>
              <w:rPr>
                <w:rFonts w:hint="default"/>
                <w:color w:val="auto"/>
                <w:lang w:val="en-US" w:eastAsia="zh-CN"/>
              </w:rPr>
              <w:t>。</w:t>
            </w:r>
            <w:r>
              <w:rPr>
                <w:rFonts w:hint="eastAsia"/>
                <w:color w:val="auto"/>
                <w:lang w:val="en-US" w:eastAsia="zh-CN"/>
              </w:rPr>
              <w:t>若泄露至土壤，采取的应急措施主要为及时发现并停止设备泄露，对污染土壤收集后交由相关资质单位处理，若泄露至胡家河，应立即使用围油栏对浮油进行阻拦，采用吸油泵收集后交由相关资质单位处理。</w:t>
            </w:r>
          </w:p>
          <w:p>
            <w:pPr>
              <w:bidi w:val="0"/>
              <w:rPr>
                <w:rFonts w:hint="default"/>
                <w:color w:val="auto"/>
                <w:lang w:val="en-US" w:eastAsia="zh-CN"/>
              </w:rPr>
            </w:pPr>
            <w:r>
              <w:rPr>
                <w:rFonts w:hint="eastAsia"/>
                <w:color w:val="auto"/>
                <w:lang w:val="en-US" w:eastAsia="zh-CN"/>
              </w:rPr>
              <w:t>在正常施工期间建设单位应对施工设备进行定期维护保养，将泄漏事故概率控制在最低水平。</w:t>
            </w:r>
          </w:p>
          <w:p>
            <w:pPr>
              <w:bidi w:val="0"/>
              <w:rPr>
                <w:rFonts w:hint="default"/>
                <w:color w:val="auto"/>
                <w:lang w:val="en-US"/>
              </w:rPr>
            </w:pPr>
            <w:r>
              <w:rPr>
                <w:rFonts w:hint="eastAsia"/>
                <w:color w:val="auto"/>
                <w:lang w:val="en-US" w:eastAsia="zh-CN"/>
              </w:rPr>
              <w:t>评价要求施工现场配备围油栏、碎抹布、活性炭等环境应急物资。</w:t>
            </w:r>
          </w:p>
          <w:p>
            <w:pPr>
              <w:bidi w:val="0"/>
              <w:rPr>
                <w:rFonts w:hint="default"/>
                <w:color w:val="auto"/>
              </w:rPr>
            </w:pPr>
            <w:r>
              <w:rPr>
                <w:rFonts w:hint="default"/>
                <w:color w:val="auto"/>
              </w:rPr>
              <w:t>⑤施工队伍必须有紧急事故处理组织和准备，发现事故预兆要及时上报相关部门，并采取措施预防降低事故发生可能性。若一旦发生事故，应及时采取控制及缓解措施并及时进行赔偿，减少事故危害范围和程度对社会的影响。在施工结束后，施工队伍必须做好地表植被、施工临时用地的恢复工作，以防水土流失和生态破坏事故发生。</w:t>
            </w:r>
          </w:p>
          <w:p>
            <w:pPr>
              <w:bidi w:val="0"/>
              <w:rPr>
                <w:rFonts w:hint="default"/>
                <w:color w:val="auto"/>
              </w:rPr>
            </w:pPr>
            <w:r>
              <w:rPr>
                <w:rFonts w:hint="eastAsia"/>
                <w:color w:val="auto"/>
                <w:lang w:val="en-US" w:eastAsia="zh-CN"/>
              </w:rPr>
              <w:t>⑥</w:t>
            </w:r>
            <w:r>
              <w:rPr>
                <w:rFonts w:hint="default"/>
                <w:color w:val="auto"/>
              </w:rPr>
              <w:t>配备必需的消防器材，并定期更换，以保证消防器材在任何时候均处于有效状态。</w:t>
            </w:r>
          </w:p>
          <w:p>
            <w:pPr>
              <w:rPr>
                <w:rFonts w:hint="eastAsia"/>
                <w:color w:val="auto"/>
                <w:lang w:val="en-US" w:eastAsia="zh-CN"/>
              </w:rPr>
            </w:pPr>
            <w:r>
              <w:rPr>
                <w:rFonts w:hint="default" w:ascii="Times New Roman" w:hAnsi="Times New Roman" w:eastAsia="宋体" w:cs="Times New Roman"/>
                <w:b/>
                <w:bCs/>
                <w:color w:val="auto"/>
                <w:sz w:val="24"/>
                <w:highlight w:val="none"/>
              </w:rPr>
              <w:t>综上所述，通过加强监督管理，本项目环境风险水平可接受。</w:t>
            </w: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4" w:space="0"/>
          </w:tblBorders>
          <w:tblCellMar>
            <w:top w:w="0" w:type="dxa"/>
            <w:left w:w="108" w:type="dxa"/>
            <w:bottom w:w="0" w:type="dxa"/>
            <w:right w:w="108" w:type="dxa"/>
          </w:tblCellMar>
        </w:tblPrEx>
        <w:tc>
          <w:tcPr>
            <w:tcW w:w="400" w:type="dxa"/>
            <w:tcBorders>
              <w:tl2br w:val="nil"/>
              <w:tr2bl w:val="nil"/>
            </w:tcBorders>
          </w:tcPr>
          <w:p>
            <w:pPr>
              <w:ind w:left="0" w:leftChars="0" w:firstLine="0" w:firstLineChars="0"/>
              <w:rPr>
                <w:rFonts w:hint="default" w:ascii="Times New Roman" w:hAnsi="Times New Roman" w:eastAsia="宋体" w:cs="Times New Roman"/>
                <w:color w:val="auto"/>
                <w:kern w:val="2"/>
                <w:sz w:val="24"/>
                <w:szCs w:val="21"/>
                <w:lang w:val="en-US" w:eastAsia="zh-CN" w:bidi="ar-SA"/>
              </w:rPr>
            </w:pPr>
            <w:r>
              <w:rPr>
                <w:rFonts w:hint="eastAsia" w:ascii="宋体" w:hAnsi="宋体" w:cs="宋体"/>
                <w:bCs/>
                <w:color w:val="auto"/>
                <w:spacing w:val="10"/>
                <w:sz w:val="24"/>
                <w:szCs w:val="24"/>
              </w:rPr>
              <w:t>运营期生态环境保护措施</w:t>
            </w:r>
          </w:p>
        </w:tc>
        <w:tc>
          <w:tcPr>
            <w:tcW w:w="8638" w:type="dxa"/>
            <w:tcBorders>
              <w:tl2br w:val="nil"/>
              <w:tr2bl w:val="nil"/>
            </w:tcBorders>
          </w:tcPr>
          <w:p>
            <w:pPr>
              <w:spacing w:before="0" w:line="360" w:lineRule="auto"/>
              <w:ind w:left="0"/>
              <w:rPr>
                <w:b/>
                <w:bCs/>
                <w:color w:val="auto"/>
                <w:u w:val="none"/>
              </w:rPr>
            </w:pPr>
            <w:r>
              <w:rPr>
                <w:rFonts w:hint="eastAsia"/>
                <w:b/>
                <w:bCs/>
                <w:color w:val="auto"/>
                <w:u w:val="none"/>
                <w:lang w:val="en-US" w:eastAsia="zh-CN"/>
              </w:rPr>
              <w:t>1、</w:t>
            </w:r>
            <w:r>
              <w:rPr>
                <w:b/>
                <w:bCs/>
                <w:color w:val="auto"/>
                <w:u w:val="none"/>
              </w:rPr>
              <w:t>水环境保护措施</w:t>
            </w:r>
          </w:p>
          <w:p>
            <w:pPr>
              <w:spacing w:before="0" w:line="360" w:lineRule="auto"/>
              <w:ind w:left="0" w:right="0" w:firstLine="0"/>
              <w:rPr>
                <w:color w:val="auto"/>
                <w:u w:val="none"/>
              </w:rPr>
            </w:pPr>
            <w:r>
              <w:rPr>
                <w:color w:val="auto"/>
                <w:u w:val="none"/>
              </w:rPr>
              <w:t>(1)加强对河段的管理，严禁向河道排放废水，倾倒垃圾，减少对河道水质的影响。制定相应的水质监测制度，定期对水质进行监视性监测，一旦发现水体有恶化趋势，应立即采取措施予以控制。</w:t>
            </w:r>
          </w:p>
          <w:p>
            <w:pPr>
              <w:spacing w:before="0" w:line="360" w:lineRule="auto"/>
              <w:ind w:left="0" w:right="0" w:firstLine="0"/>
              <w:rPr>
                <w:color w:val="auto"/>
                <w:u w:val="none"/>
              </w:rPr>
            </w:pPr>
            <w:r>
              <w:rPr>
                <w:color w:val="auto"/>
                <w:u w:val="none"/>
              </w:rPr>
              <w:t>(2)加强</w:t>
            </w:r>
            <w:r>
              <w:rPr>
                <w:rFonts w:hint="eastAsia"/>
                <w:color w:val="auto"/>
                <w:u w:val="none"/>
                <w:lang w:val="en-US" w:eastAsia="zh-CN"/>
              </w:rPr>
              <w:t>胡家镇场镇</w:t>
            </w:r>
            <w:r>
              <w:rPr>
                <w:color w:val="auto"/>
                <w:u w:val="none"/>
              </w:rPr>
              <w:t>农业面源污染防治，推进农村生活污水治理以及</w:t>
            </w:r>
            <w:r>
              <w:rPr>
                <w:rFonts w:hint="eastAsia"/>
                <w:color w:val="auto"/>
                <w:u w:val="none"/>
                <w:lang w:val="en-US" w:eastAsia="zh-CN"/>
              </w:rPr>
              <w:t>场镇</w:t>
            </w:r>
            <w:r>
              <w:rPr>
                <w:color w:val="auto"/>
                <w:u w:val="none"/>
              </w:rPr>
              <w:t>污水收集管网建设，完善雨污分流制度，避免污水经由穿堤排水管排入周边水体。</w:t>
            </w:r>
          </w:p>
          <w:p>
            <w:pPr>
              <w:rPr>
                <w:color w:val="auto"/>
                <w:u w:val="none"/>
              </w:rPr>
            </w:pPr>
            <w:r>
              <w:rPr>
                <w:color w:val="auto"/>
                <w:u w:val="none"/>
              </w:rPr>
              <w:t>(3)</w:t>
            </w:r>
            <w:r>
              <w:rPr>
                <w:rFonts w:hint="eastAsia"/>
                <w:color w:val="auto"/>
                <w:u w:val="none"/>
                <w:lang w:val="en-US" w:eastAsia="zh-CN"/>
              </w:rPr>
              <w:t>胡家河</w:t>
            </w:r>
            <w:r>
              <w:rPr>
                <w:color w:val="auto"/>
                <w:u w:val="none"/>
              </w:rPr>
              <w:t>沿岸边种植具有水质净化功能的适生水生植物，如千屈菜、芦苇、矮蒲苇、芦竹、黄菖蒲、花叶芦竹等，有利于保护</w:t>
            </w:r>
            <w:r>
              <w:rPr>
                <w:rFonts w:hint="eastAsia"/>
                <w:color w:val="auto"/>
                <w:u w:val="none"/>
                <w:lang w:val="en-US" w:eastAsia="zh-CN"/>
              </w:rPr>
              <w:t>胡家河</w:t>
            </w:r>
            <w:r>
              <w:rPr>
                <w:color w:val="auto"/>
                <w:u w:val="none"/>
              </w:rPr>
              <w:t>水质。</w:t>
            </w:r>
          </w:p>
          <w:p>
            <w:pPr>
              <w:rPr>
                <w:rFonts w:hint="default" w:ascii="Times New Roman" w:hAnsi="Times New Roman" w:cs="Times New Roman"/>
                <w:b/>
                <w:bCs/>
                <w:color w:val="auto"/>
              </w:rPr>
            </w:pPr>
            <w:r>
              <w:rPr>
                <w:rFonts w:hint="default" w:ascii="Times New Roman" w:hAnsi="Times New Roman" w:cs="Times New Roman"/>
                <w:b/>
                <w:bCs/>
                <w:color w:val="auto"/>
              </w:rPr>
              <w:t>2、生态环境保护措施</w:t>
            </w:r>
          </w:p>
          <w:p>
            <w:pPr>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加强堤防沿线植被管理，及时进行绿化植物的补种、修剪和维护，并定期喷洒农药，减少病虫害，保证区域绿化植被的景观效果及防治水土流失效果。</w:t>
            </w:r>
          </w:p>
          <w:p>
            <w:pPr>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加强渔政管理力量，扩大宣传力度，严格执法，设置水生生物保护警示牌，一是禁止在河道内挖沙采石，保护鱼类的产卵基质；二是加强执法管理，严禁酷渔滥捕，禁止电鱼、炸鱼、毒鱼等违法捕鱼行为。</w:t>
            </w:r>
          </w:p>
          <w:p>
            <w:pPr>
              <w:keepNext w:val="0"/>
              <w:keepLines w:val="0"/>
              <w:suppressLineNumbers w:val="0"/>
              <w:bidi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3、大气、噪声及固体废物环境影响</w:t>
            </w:r>
          </w:p>
          <w:p>
            <w:pPr>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工程建成后基本无大气、噪声以及固体废物污染。</w:t>
            </w:r>
          </w:p>
          <w:p>
            <w:pPr>
              <w:keepNext w:val="0"/>
              <w:keepLines w:val="0"/>
              <w:suppressLineNumbers w:val="0"/>
              <w:bidi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4、环境风险保护措施</w:t>
            </w:r>
          </w:p>
          <w:p>
            <w:pPr>
              <w:rPr>
                <w:rFonts w:hint="default" w:ascii="Times New Roman" w:hAnsi="Times New Roman" w:cs="Times New Roman"/>
                <w:b/>
                <w:bCs/>
                <w:color w:val="auto"/>
              </w:rPr>
            </w:pPr>
            <w:r>
              <w:rPr>
                <w:rFonts w:hint="default" w:ascii="Times New Roman" w:hAnsi="Times New Roman" w:cs="Times New Roman"/>
                <w:color w:val="auto"/>
              </w:rPr>
              <w:t>本项目作为防洪工程，运营期新建堤防段有极小的溃堤风险。建设单位在对项目设计、施工的提出严格要求，确保工程质量的基础上，还应加强运营期对防洪堤的监管和维护。对提防的安全水平定期进行观测，确保长期发挥防洪功能。</w:t>
            </w: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4" w:space="0"/>
          </w:tblBorders>
          <w:tblCellMar>
            <w:top w:w="0" w:type="dxa"/>
            <w:left w:w="108" w:type="dxa"/>
            <w:bottom w:w="0" w:type="dxa"/>
            <w:right w:w="108" w:type="dxa"/>
          </w:tblCellMar>
        </w:tblPrEx>
        <w:tc>
          <w:tcPr>
            <w:tcW w:w="400" w:type="dxa"/>
            <w:tcBorders>
              <w:tl2br w:val="nil"/>
              <w:tr2bl w:val="nil"/>
            </w:tcBorders>
            <w:vAlign w:val="center"/>
          </w:tcPr>
          <w:p>
            <w:pPr>
              <w:ind w:left="0" w:leftChars="0" w:firstLine="0" w:firstLineChars="0"/>
              <w:jc w:val="center"/>
              <w:rPr>
                <w:rFonts w:hint="eastAsia" w:ascii="宋体" w:hAnsi="宋体" w:cs="宋体"/>
                <w:bCs/>
                <w:color w:val="auto"/>
                <w:spacing w:val="10"/>
                <w:sz w:val="24"/>
                <w:szCs w:val="24"/>
              </w:rPr>
            </w:pPr>
            <w:r>
              <w:rPr>
                <w:rFonts w:hint="default" w:ascii="Times New Roman" w:hAnsi="Times New Roman" w:eastAsia="宋体" w:cs="Times New Roman"/>
                <w:color w:val="auto"/>
                <w:kern w:val="2"/>
                <w:sz w:val="24"/>
                <w:szCs w:val="21"/>
                <w:lang w:val="en-US" w:eastAsia="zh-CN" w:bidi="ar-SA"/>
              </w:rPr>
              <w:t>其他</w:t>
            </w:r>
          </w:p>
        </w:tc>
        <w:tc>
          <w:tcPr>
            <w:tcW w:w="8638" w:type="dxa"/>
            <w:tcBorders>
              <w:tl2br w:val="nil"/>
              <w:tr2bl w:val="nil"/>
            </w:tcBorders>
          </w:tcPr>
          <w:p>
            <w:pPr>
              <w:numPr>
                <w:ilvl w:val="0"/>
                <w:numId w:val="14"/>
              </w:numPr>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环境管理及监测计划</w:t>
            </w:r>
          </w:p>
          <w:p>
            <w:pPr>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bCs/>
                <w:color w:val="auto"/>
                <w:lang w:val="en-US" w:eastAsia="zh-CN"/>
              </w:rPr>
              <w:t>（1）环境管理</w:t>
            </w:r>
          </w:p>
          <w:p>
            <w:pPr>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建设指挥部至少应由一名熟悉环保政策和法规的专业技术人员负责落实环保措施，同时应组成一个由指挥长为组长的环境管理小组，以协调各施工单位的环保工作。监理公司须配置环保专业人员，负责施工过程中的环保工程监理，并检查“三同时”的落实情况。各合同段的施工单位至少配备一名环保技术人员从事环保工程施工的技术负责。施工中环境监理人员可根据情况，对重要地段或敏感点提出环境监测计划，掌握施工期的环境状况，确保不发生重大的环境事故。环境监理人员主要职责如下：</w:t>
            </w:r>
          </w:p>
          <w:p>
            <w:pPr>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①根据《中华人民共和国环境保护法</w:t>
            </w:r>
            <w:r>
              <w:rPr>
                <w:rFonts w:hint="eastAsia" w:cs="Times New Roman"/>
                <w:b w:val="0"/>
                <w:bCs w:val="0"/>
                <w:color w:val="auto"/>
                <w:lang w:val="en-US" w:eastAsia="zh-CN"/>
              </w:rPr>
              <w:t>》《中华人民共和国固体废物污染环境防治法》《</w:t>
            </w:r>
            <w:r>
              <w:rPr>
                <w:rFonts w:hint="default" w:ascii="Times New Roman" w:hAnsi="Times New Roman" w:cs="Times New Roman"/>
                <w:b w:val="0"/>
                <w:bCs w:val="0"/>
                <w:color w:val="auto"/>
                <w:lang w:val="en-US" w:eastAsia="zh-CN"/>
              </w:rPr>
              <w:t>地表水环境质量标准》（GB3838-2002）、《污水综合排放标准》（GB8978-1996）、《环境空气质量标准》（GB3095-2012）、《大气污染物综合排放标准》（GB16297-1996）等，对本工程的环境保护工作进行全面的监督及管理。</w:t>
            </w:r>
          </w:p>
          <w:p>
            <w:pPr>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②对治理污染物的各种处理设备的正常工作状态进行监督管理，对项目区域的自然和生态环境进行保护。</w:t>
            </w:r>
          </w:p>
          <w:p>
            <w:pPr>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③对工程产生的污染物及处置情况进行监督、管理。</w:t>
            </w:r>
          </w:p>
          <w:p>
            <w:pPr>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④对施工活动进行监督、管理，提出恢复措施，并将此要求纳入施工招标合同，签订相关协议。</w:t>
            </w:r>
          </w:p>
          <w:p>
            <w:pPr>
              <w:bidi w:val="0"/>
              <w:rPr>
                <w:rFonts w:hint="default"/>
                <w:lang w:val="en-US" w:eastAsia="zh-CN"/>
              </w:rPr>
            </w:pPr>
            <w:r>
              <w:rPr>
                <w:rFonts w:hint="default"/>
                <w:lang w:val="en-US" w:eastAsia="zh-CN"/>
              </w:rPr>
              <w:t>⑤加强施工人员教育，禁止一切形式向</w:t>
            </w:r>
            <w:r>
              <w:rPr>
                <w:rFonts w:hint="eastAsia"/>
                <w:lang w:val="en-US" w:eastAsia="zh-CN"/>
              </w:rPr>
              <w:t>胡家河</w:t>
            </w:r>
            <w:r>
              <w:rPr>
                <w:rFonts w:hint="default"/>
                <w:lang w:val="en-US" w:eastAsia="zh-CN"/>
              </w:rPr>
              <w:t>排放任何污染物。</w:t>
            </w:r>
          </w:p>
          <w:p>
            <w:pPr>
              <w:numPr>
                <w:ilvl w:val="0"/>
                <w:numId w:val="15"/>
              </w:numPr>
              <w:bidi w:val="0"/>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环境监测计划</w:t>
            </w:r>
          </w:p>
          <w:p>
            <w:pPr>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本项目营运期不存在生态影响，营运期不设置生态监测计划。按照《排污单位自行监测技术指南 总则》（HJ819-2017）以及《四川省施工场地扬尘排放标准》（DB51/2682-2020）要求，本次评价针对施工期提出监测计划，具体见下表。</w:t>
            </w:r>
          </w:p>
          <w:p>
            <w:pPr>
              <w:pStyle w:val="16"/>
              <w:keepNext w:val="0"/>
              <w:keepLines w:val="0"/>
              <w:suppressLineNumbers w:val="0"/>
              <w:bidi w:val="0"/>
              <w:spacing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表5-</w:t>
            </w:r>
            <w:r>
              <w:rPr>
                <w:rFonts w:hint="eastAsia" w:ascii="Times New Roman" w:hAnsi="Times New Roman" w:cs="Times New Roman"/>
                <w:color w:val="auto"/>
                <w:lang w:val="en-US" w:eastAsia="zh-CN"/>
              </w:rPr>
              <w:t>3</w:t>
            </w:r>
            <w:r>
              <w:rPr>
                <w:rFonts w:hint="default" w:ascii="Times New Roman" w:hAnsi="Times New Roman" w:cs="Times New Roman"/>
                <w:color w:val="auto"/>
                <w:lang w:val="en-US" w:eastAsia="zh-CN"/>
              </w:rPr>
              <w:t xml:space="preserve">  环境监测计划表</w:t>
            </w:r>
          </w:p>
          <w:tbl>
            <w:tblPr>
              <w:tblStyle w:val="11"/>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976"/>
              <w:gridCol w:w="1253"/>
              <w:gridCol w:w="1151"/>
              <w:gridCol w:w="1243"/>
              <w:gridCol w:w="290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59"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rPr>
                  </w:pPr>
                  <w:r>
                    <w:rPr>
                      <w:rFonts w:hint="default" w:ascii="Times New Roman" w:hAnsi="Times New Roman" w:cs="Times New Roman"/>
                      <w:b/>
                      <w:bCs/>
                      <w:color w:val="auto"/>
                      <w:lang w:eastAsia="zh-CN"/>
                    </w:rPr>
                    <w:t>监测</w:t>
                  </w:r>
                  <w:r>
                    <w:rPr>
                      <w:rFonts w:hint="default" w:ascii="Times New Roman" w:hAnsi="Times New Roman" w:cs="Times New Roman"/>
                      <w:b/>
                      <w:bCs/>
                      <w:color w:val="auto"/>
                      <w:lang w:val="en-US" w:eastAsia="zh-CN"/>
                    </w:rPr>
                    <w:t>点位</w:t>
                  </w:r>
                </w:p>
              </w:tc>
              <w:tc>
                <w:tcPr>
                  <w:tcW w:w="735"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rPr>
                  </w:pPr>
                  <w:r>
                    <w:rPr>
                      <w:rFonts w:hint="default" w:ascii="Times New Roman" w:hAnsi="Times New Roman" w:cs="Times New Roman"/>
                      <w:b/>
                      <w:bCs/>
                      <w:color w:val="auto"/>
                    </w:rPr>
                    <w:t>监测项目</w:t>
                  </w:r>
                </w:p>
              </w:tc>
              <w:tc>
                <w:tcPr>
                  <w:tcW w:w="675"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rPr>
                  </w:pPr>
                  <w:r>
                    <w:rPr>
                      <w:rFonts w:hint="default" w:ascii="Times New Roman" w:hAnsi="Times New Roman" w:cs="Times New Roman"/>
                      <w:b/>
                      <w:bCs/>
                      <w:color w:val="auto"/>
                    </w:rPr>
                    <w:t>监测频率</w:t>
                  </w:r>
                </w:p>
              </w:tc>
              <w:tc>
                <w:tcPr>
                  <w:tcW w:w="729"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监测方法</w:t>
                  </w:r>
                </w:p>
              </w:tc>
              <w:tc>
                <w:tcPr>
                  <w:tcW w:w="1700"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rPr>
                  </w:pPr>
                  <w:r>
                    <w:rPr>
                      <w:rFonts w:hint="default" w:ascii="Times New Roman" w:hAnsi="Times New Roman" w:cs="Times New Roman"/>
                      <w:b/>
                      <w:bCs/>
                      <w:color w:val="auto"/>
                    </w:rPr>
                    <w:t>控制指标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68" w:hRule="atLeast"/>
              </w:trPr>
              <w:tc>
                <w:tcPr>
                  <w:tcW w:w="1159"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施工场地车辆进出口处或工地下风向浓度最高点处</w:t>
                  </w:r>
                </w:p>
              </w:tc>
              <w:tc>
                <w:tcPr>
                  <w:tcW w:w="735"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TSP</w:t>
                  </w:r>
                </w:p>
              </w:tc>
              <w:tc>
                <w:tcPr>
                  <w:tcW w:w="675"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eastAsia="zh-CN"/>
                    </w:rPr>
                  </w:pPr>
                  <w:r>
                    <w:rPr>
                      <w:rFonts w:hint="default" w:ascii="Times New Roman" w:hAnsi="Times New Roman" w:cs="Times New Roman"/>
                      <w:color w:val="auto"/>
                      <w:highlight w:val="none"/>
                    </w:rPr>
                    <w:t>连续</w:t>
                  </w:r>
                  <w:r>
                    <w:rPr>
                      <w:rFonts w:hint="eastAsia" w:cs="Times New Roman"/>
                      <w:color w:val="auto"/>
                      <w:highlight w:val="none"/>
                      <w:lang w:val="en-US" w:eastAsia="zh-CN"/>
                    </w:rPr>
                    <w:t>1小时</w:t>
                  </w:r>
                  <w:r>
                    <w:rPr>
                      <w:rFonts w:hint="default" w:ascii="Times New Roman" w:hAnsi="Times New Roman" w:cs="Times New Roman"/>
                      <w:color w:val="auto"/>
                      <w:highlight w:val="none"/>
                    </w:rPr>
                    <w:t>监测</w:t>
                  </w:r>
                </w:p>
              </w:tc>
              <w:tc>
                <w:tcPr>
                  <w:tcW w:w="729"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采样频次满足HJ/T 55的规定</w:t>
                  </w:r>
                </w:p>
              </w:tc>
              <w:tc>
                <w:tcPr>
                  <w:tcW w:w="1700"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rPr>
                  </w:pPr>
                  <w:r>
                    <w:rPr>
                      <w:rFonts w:hint="default" w:ascii="Times New Roman" w:hAnsi="Times New Roman" w:cs="Times New Roman"/>
                      <w:color w:val="auto"/>
                    </w:rPr>
                    <w:t>至少应包括样品采集单元、样品测量单元、数据采集和传输单元以及气象传感单元、视频监控单元等。</w:t>
                  </w:r>
                </w:p>
              </w:tc>
            </w:tr>
          </w:tbl>
          <w:p>
            <w:pPr>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bCs/>
                <w:color w:val="auto"/>
                <w:lang w:val="en-US" w:eastAsia="zh-CN"/>
              </w:rPr>
              <w:t>2、“三同时”竣工验收</w:t>
            </w:r>
          </w:p>
          <w:p>
            <w:pPr>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根据国务院令第682号《建设项目环境保护管理条例》建设项目竣工环境保护验收取消行政许可，改为建设单位自主验收，进一步强化了建设单位的环境保护“三同时”主体责任。项目竣工后，建设单位或者其委托的技术机构应当依照国家有关法律法规、建设项目竣工环境保护验收技术规范、建设项目环境影响报告表审批决定等要求，如实查验、监测、记载建设项目环境保护设施的建设和调试情况，同时还应如实记载其他环境保护对策措施“三同时”落实情况，编制竣工环境保护验收表。验收表编制完成后，建设单位应组织成立验收工作组。</w:t>
            </w:r>
          </w:p>
          <w:p>
            <w:pPr>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本项目属于生态类项目，应按照《建设项目竣工环境保护验收技术规范 生态影响类》编制验收调查报告。</w:t>
            </w:r>
          </w:p>
          <w:p>
            <w:pPr>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本报告提出验收内容、验收监测因子及要求如下：</w:t>
            </w:r>
          </w:p>
          <w:p>
            <w:pPr>
              <w:pStyle w:val="16"/>
              <w:keepNext w:val="0"/>
              <w:keepLines w:val="0"/>
              <w:suppressLineNumbers w:val="0"/>
              <w:bidi w:val="0"/>
              <w:spacing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表5-3  项目竣工“三同时”验收一览表</w:t>
            </w:r>
          </w:p>
          <w:tbl>
            <w:tblPr>
              <w:tblStyle w:val="11"/>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59"/>
              <w:gridCol w:w="1241"/>
              <w:gridCol w:w="3987"/>
              <w:gridCol w:w="253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45"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序号</w:t>
                  </w:r>
                </w:p>
              </w:tc>
              <w:tc>
                <w:tcPr>
                  <w:tcW w:w="728"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环境要素</w:t>
                  </w:r>
                </w:p>
              </w:tc>
              <w:tc>
                <w:tcPr>
                  <w:tcW w:w="2338"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范围内容</w:t>
                  </w:r>
                </w:p>
              </w:tc>
              <w:tc>
                <w:tcPr>
                  <w:tcW w:w="1487"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验收标准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45"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w:t>
                  </w:r>
                </w:p>
              </w:tc>
              <w:tc>
                <w:tcPr>
                  <w:tcW w:w="728"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生态环境</w:t>
                  </w:r>
                </w:p>
              </w:tc>
              <w:tc>
                <w:tcPr>
                  <w:tcW w:w="2338" w:type="pct"/>
                  <w:tcBorders>
                    <w:tl2br w:val="nil"/>
                    <w:tr2bl w:val="nil"/>
                  </w:tcBorders>
                  <w:noWrap w:val="0"/>
                  <w:vAlign w:val="center"/>
                </w:tcPr>
                <w:p>
                  <w:pPr>
                    <w:pStyle w:val="15"/>
                    <w:bidi w:val="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①</w:t>
                  </w:r>
                  <w:r>
                    <w:rPr>
                      <w:rFonts w:hint="eastAsia" w:cs="Times New Roman"/>
                      <w:color w:val="auto"/>
                      <w:lang w:val="en-US" w:eastAsia="zh-CN"/>
                    </w:rPr>
                    <w:t>工程沿线两侧200m以及</w:t>
                  </w:r>
                  <w:r>
                    <w:rPr>
                      <w:rFonts w:hint="eastAsia"/>
                      <w:color w:val="auto"/>
                      <w:u w:val="none"/>
                      <w:lang w:val="en-US" w:eastAsia="zh-CN"/>
                    </w:rPr>
                    <w:t>、施工临时场地区、临时堆渣场、施工工区四周50m范围生态恢复措施</w:t>
                  </w:r>
                  <w:r>
                    <w:rPr>
                      <w:rFonts w:hint="default" w:ascii="Times New Roman" w:hAnsi="Times New Roman" w:cs="Times New Roman"/>
                      <w:color w:val="auto"/>
                      <w:lang w:val="en-US" w:eastAsia="zh-CN"/>
                    </w:rPr>
                    <w:t>；</w:t>
                  </w:r>
                </w:p>
                <w:p>
                  <w:pPr>
                    <w:pStyle w:val="15"/>
                    <w:bidi w:val="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②施工时有无随意倾倒弃渣</w:t>
                  </w:r>
                  <w:r>
                    <w:rPr>
                      <w:rFonts w:hint="eastAsia" w:cs="Times New Roman"/>
                      <w:color w:val="auto"/>
                      <w:lang w:val="en-US" w:eastAsia="zh-CN"/>
                    </w:rPr>
                    <w:t>、建筑垃圾</w:t>
                  </w:r>
                  <w:r>
                    <w:rPr>
                      <w:rFonts w:hint="default" w:ascii="Times New Roman" w:hAnsi="Times New Roman" w:cs="Times New Roman"/>
                      <w:color w:val="auto"/>
                      <w:lang w:val="en-US" w:eastAsia="zh-CN"/>
                    </w:rPr>
                    <w:t>的现象等；</w:t>
                  </w:r>
                </w:p>
                <w:p>
                  <w:pPr>
                    <w:pStyle w:val="15"/>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③河体水质是否受到影响</w:t>
                  </w:r>
                </w:p>
              </w:tc>
              <w:tc>
                <w:tcPr>
                  <w:tcW w:w="1487"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rPr>
                  </w:pPr>
                  <w:r>
                    <w:rPr>
                      <w:rFonts w:hint="default" w:ascii="Times New Roman" w:hAnsi="Times New Roman" w:cs="Times New Roman"/>
                      <w:color w:val="auto"/>
                    </w:rPr>
                    <w:t>满足要求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45"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2</w:t>
                  </w:r>
                </w:p>
              </w:tc>
              <w:tc>
                <w:tcPr>
                  <w:tcW w:w="728"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水土流失影响</w:t>
                  </w:r>
                </w:p>
              </w:tc>
              <w:tc>
                <w:tcPr>
                  <w:tcW w:w="2338" w:type="pct"/>
                  <w:tcBorders>
                    <w:tl2br w:val="nil"/>
                    <w:tr2bl w:val="nil"/>
                  </w:tcBorders>
                  <w:noWrap w:val="0"/>
                  <w:vAlign w:val="center"/>
                </w:tcPr>
                <w:p>
                  <w:pPr>
                    <w:pStyle w:val="15"/>
                    <w:bidi w:val="0"/>
                    <w:rPr>
                      <w:rFonts w:hint="default"/>
                      <w:color w:val="auto"/>
                      <w:lang w:val="en-US" w:eastAsia="zh-CN"/>
                    </w:rPr>
                  </w:pPr>
                  <w:r>
                    <w:rPr>
                      <w:rFonts w:hint="default"/>
                      <w:color w:val="auto"/>
                      <w:lang w:val="en-US" w:eastAsia="zh-CN"/>
                    </w:rPr>
                    <w:t>①</w:t>
                  </w:r>
                  <w:r>
                    <w:rPr>
                      <w:rFonts w:hint="eastAsia"/>
                      <w:color w:val="auto"/>
                      <w:lang w:val="en-US" w:eastAsia="zh-CN"/>
                    </w:rPr>
                    <w:t>临时堆渣场、施工工区等</w:t>
                  </w:r>
                  <w:r>
                    <w:rPr>
                      <w:rFonts w:hint="default"/>
                      <w:color w:val="auto"/>
                      <w:lang w:val="en-US" w:eastAsia="zh-CN"/>
                    </w:rPr>
                    <w:t>临时占地恢复情况</w:t>
                  </w:r>
                  <w:r>
                    <w:rPr>
                      <w:rFonts w:hint="eastAsia"/>
                      <w:color w:val="auto"/>
                      <w:lang w:val="en-US" w:eastAsia="zh-CN"/>
                    </w:rPr>
                    <w:t>；</w:t>
                  </w:r>
                </w:p>
                <w:p>
                  <w:pPr>
                    <w:pStyle w:val="15"/>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color w:val="auto"/>
                      <w:lang w:val="en-US" w:eastAsia="zh-CN"/>
                    </w:rPr>
                    <w:t>②施工时的临时水保措施实施情况</w:t>
                  </w:r>
                  <w:r>
                    <w:rPr>
                      <w:rFonts w:hint="eastAsia"/>
                      <w:color w:val="auto"/>
                      <w:lang w:val="en-US" w:eastAsia="zh-CN"/>
                    </w:rPr>
                    <w:t>。</w:t>
                  </w:r>
                </w:p>
              </w:tc>
              <w:tc>
                <w:tcPr>
                  <w:tcW w:w="1487"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rPr>
                  </w:pPr>
                  <w:r>
                    <w:rPr>
                      <w:rFonts w:hint="default" w:ascii="Times New Roman" w:hAnsi="Times New Roman" w:cs="Times New Roman"/>
                      <w:color w:val="auto"/>
                    </w:rPr>
                    <w:t>检查水土保持措施落实情况</w:t>
                  </w:r>
                  <w:r>
                    <w:rPr>
                      <w:rFonts w:hint="default" w:ascii="Times New Roman" w:hAnsi="Times New Roman" w:cs="Times New Roman"/>
                      <w:color w:val="auto"/>
                      <w:lang w:eastAsia="zh-CN"/>
                    </w:rPr>
                    <w:t>，</w:t>
                  </w:r>
                  <w:r>
                    <w:rPr>
                      <w:rFonts w:hint="default" w:ascii="Times New Roman" w:hAnsi="Times New Roman" w:cs="Times New Roman"/>
                      <w:color w:val="auto"/>
                    </w:rPr>
                    <w:t>合理处理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45"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3</w:t>
                  </w:r>
                </w:p>
              </w:tc>
              <w:tc>
                <w:tcPr>
                  <w:tcW w:w="728"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声环境</w:t>
                  </w:r>
                </w:p>
              </w:tc>
              <w:tc>
                <w:tcPr>
                  <w:tcW w:w="2338"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隔声降噪、合理布置、加强管理施工机械定期保养、维护</w:t>
                  </w:r>
                </w:p>
              </w:tc>
              <w:tc>
                <w:tcPr>
                  <w:tcW w:w="1487"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核</w:t>
                  </w:r>
                  <w:r>
                    <w:rPr>
                      <w:rFonts w:hint="eastAsia" w:cs="Times New Roman"/>
                      <w:color w:val="auto"/>
                      <w:lang w:val="en-US" w:eastAsia="zh-CN"/>
                    </w:rPr>
                    <w:t>实</w:t>
                  </w:r>
                  <w:r>
                    <w:rPr>
                      <w:rFonts w:hint="default" w:ascii="Times New Roman" w:hAnsi="Times New Roman" w:cs="Times New Roman"/>
                      <w:color w:val="auto"/>
                      <w:lang w:val="en-US" w:eastAsia="zh-CN"/>
                    </w:rPr>
                    <w:t>施工场界环境噪声是否达到《建筑施工场界环境噪声排放标准》（GB12523-2011）</w:t>
                  </w:r>
                  <w:r>
                    <w:rPr>
                      <w:rFonts w:hint="eastAsia" w:cs="Times New Roman"/>
                      <w:color w:val="auto"/>
                      <w:lang w:val="en-US" w:eastAsia="zh-CN"/>
                    </w:rPr>
                    <w:t>；</w:t>
                  </w:r>
                  <w:r>
                    <w:rPr>
                      <w:rFonts w:hint="eastAsia"/>
                      <w:color w:val="auto"/>
                      <w:lang w:val="en-US" w:eastAsia="zh-CN"/>
                    </w:rPr>
                    <w:t>了解施工过程中有无投诉。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45"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4</w:t>
                  </w:r>
                </w:p>
              </w:tc>
              <w:tc>
                <w:tcPr>
                  <w:tcW w:w="728"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水环境</w:t>
                  </w:r>
                </w:p>
              </w:tc>
              <w:tc>
                <w:tcPr>
                  <w:tcW w:w="2338"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施工对沿线地表水体的影响，排水沟、沉淀池、隔油池等措施落实修建情况，风险防范措施等；</w:t>
                  </w:r>
                </w:p>
              </w:tc>
              <w:tc>
                <w:tcPr>
                  <w:tcW w:w="1487"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rPr>
                  </w:pPr>
                  <w:r>
                    <w:rPr>
                      <w:rFonts w:hint="eastAsia" w:cs="Times New Roman"/>
                      <w:color w:val="auto"/>
                      <w:u w:val="none"/>
                      <w:lang w:val="en-US" w:eastAsia="zh-CN"/>
                    </w:rPr>
                    <w:t>检查废水处理设施落实情况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45"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5</w:t>
                  </w:r>
                </w:p>
              </w:tc>
              <w:tc>
                <w:tcPr>
                  <w:tcW w:w="728"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环境空气</w:t>
                  </w:r>
                </w:p>
              </w:tc>
              <w:tc>
                <w:tcPr>
                  <w:tcW w:w="2338"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设置施工围挡，定期洒水降尘；</w:t>
                  </w:r>
                </w:p>
              </w:tc>
              <w:tc>
                <w:tcPr>
                  <w:tcW w:w="1487"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满足要求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45"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6</w:t>
                  </w:r>
                </w:p>
              </w:tc>
              <w:tc>
                <w:tcPr>
                  <w:tcW w:w="728"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固体废弃物</w:t>
                  </w:r>
                </w:p>
              </w:tc>
              <w:tc>
                <w:tcPr>
                  <w:tcW w:w="2338"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走访当地群众，调查施工单位施工期有无随意倾倒生活垃圾、固体废物的现象。</w:t>
                  </w:r>
                </w:p>
              </w:tc>
              <w:tc>
                <w:tcPr>
                  <w:tcW w:w="1487"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rPr>
                  </w:pPr>
                  <w:r>
                    <w:rPr>
                      <w:rFonts w:hint="default" w:ascii="Times New Roman" w:hAnsi="Times New Roman" w:cs="Times New Roman"/>
                      <w:color w:val="auto"/>
                      <w:lang w:eastAsia="zh-CN"/>
                    </w:rPr>
                    <w:t>合理处置</w:t>
                  </w:r>
                  <w:r>
                    <w:rPr>
                      <w:rFonts w:hint="default" w:ascii="Times New Roman" w:hAnsi="Times New Roman" w:cs="Times New Roman"/>
                      <w:color w:val="auto"/>
                    </w:rPr>
                    <w:t>，不产生二次污染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45"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7</w:t>
                  </w:r>
                </w:p>
              </w:tc>
              <w:tc>
                <w:tcPr>
                  <w:tcW w:w="728"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其他</w:t>
                  </w:r>
                </w:p>
              </w:tc>
              <w:tc>
                <w:tcPr>
                  <w:tcW w:w="2338"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①施工期的环境管理情况（制度的</w:t>
                  </w:r>
                  <w:r>
                    <w:rPr>
                      <w:rFonts w:hint="eastAsia" w:cs="Times New Roman"/>
                      <w:color w:val="auto"/>
                      <w:lang w:val="en-US" w:eastAsia="zh-CN"/>
                    </w:rPr>
                    <w:t>制定</w:t>
                  </w:r>
                  <w:r>
                    <w:rPr>
                      <w:rFonts w:hint="default" w:ascii="Times New Roman" w:hAnsi="Times New Roman" w:cs="Times New Roman"/>
                      <w:color w:val="auto"/>
                      <w:lang w:val="en-US" w:eastAsia="zh-CN"/>
                    </w:rPr>
                    <w:t>、机构的设置等）；</w:t>
                  </w:r>
                </w:p>
                <w:p>
                  <w:pPr>
                    <w:pStyle w:val="15"/>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②环境监测及监理执行情况、效果等。</w:t>
                  </w:r>
                </w:p>
              </w:tc>
              <w:tc>
                <w:tcPr>
                  <w:tcW w:w="1487"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rPr>
                  </w:pPr>
                  <w:r>
                    <w:rPr>
                      <w:rFonts w:hint="default" w:ascii="Times New Roman" w:hAnsi="Times New Roman" w:cs="Times New Roman"/>
                      <w:color w:val="auto"/>
                    </w:rPr>
                    <w:t>满足要求</w:t>
                  </w:r>
                </w:p>
              </w:tc>
            </w:tr>
          </w:tbl>
          <w:p>
            <w:pPr>
              <w:bidi w:val="0"/>
              <w:rPr>
                <w:rFonts w:hint="default" w:ascii="Times New Roman" w:hAnsi="Times New Roman" w:cs="Times New Roman"/>
                <w:b/>
                <w:bCs/>
              </w:rPr>
            </w:pPr>
            <w:r>
              <w:rPr>
                <w:rFonts w:hint="default" w:ascii="Times New Roman" w:hAnsi="Times New Roman" w:cs="Times New Roman"/>
                <w:b/>
                <w:bCs/>
                <w:lang w:val="en-US" w:eastAsia="zh-CN"/>
              </w:rPr>
              <w:t>3、</w:t>
            </w:r>
            <w:r>
              <w:rPr>
                <w:rFonts w:hint="default" w:ascii="Times New Roman" w:hAnsi="Times New Roman" w:cs="Times New Roman"/>
                <w:b/>
                <w:bCs/>
              </w:rPr>
              <w:t>施工期地下管线保护措施</w:t>
            </w:r>
          </w:p>
          <w:p>
            <w:pPr>
              <w:bidi w:val="0"/>
              <w:rPr>
                <w:rFonts w:hint="default"/>
                <w:lang w:val="en-US" w:eastAsia="zh-CN"/>
              </w:rPr>
            </w:pPr>
            <w:r>
              <w:rPr>
                <w:rFonts w:hint="default" w:ascii="Times New Roman" w:hAnsi="Times New Roman" w:cs="Times New Roman"/>
              </w:rPr>
              <w:t>根据现场踏勘及建设单位提供的相关资料，项目所在区域未探测到地下管线，本次评价要求建设单位在施工过程中应加强与相关功能管线主管部门沟通，确保施工过程不对片区功能管线布局产生影响。</w:t>
            </w:r>
          </w:p>
          <w:p>
            <w:pPr>
              <w:bidi w:val="0"/>
              <w:rPr>
                <w:rFonts w:hint="eastAsia"/>
                <w:b/>
                <w:bCs/>
                <w:color w:val="auto"/>
                <w:lang w:val="en-US" w:eastAsia="zh-CN"/>
              </w:rPr>
            </w:pPr>
            <w:r>
              <w:rPr>
                <w:rFonts w:hint="eastAsia"/>
                <w:b/>
                <w:bCs/>
                <w:color w:val="auto"/>
                <w:lang w:val="en-US" w:eastAsia="zh-CN"/>
              </w:rPr>
              <w:t>4、施工期对项目沿线环境敏感区（学校、敏感住户）的保护措施</w:t>
            </w:r>
          </w:p>
          <w:p>
            <w:pPr>
              <w:bidi w:val="0"/>
              <w:rPr>
                <w:rFonts w:hint="eastAsia"/>
                <w:color w:val="auto"/>
                <w:lang w:val="en-US" w:eastAsia="zh-CN"/>
              </w:rPr>
            </w:pPr>
            <w:r>
              <w:rPr>
                <w:rFonts w:hint="eastAsia"/>
                <w:color w:val="auto"/>
                <w:lang w:val="en-US" w:eastAsia="zh-CN"/>
              </w:rPr>
              <w:t>本项目施工期对堤防工程沿线学校、住户的影响主要表现在扬尘、噪声污染方面。本项目只要落实前述扬尘防治、噪声防治措施。如设置围挡施工，加强施工期洒水降尘、喷淋降尘措施，设置专用临时隔声屏障、运输路线进行避让等措施后，本项目施工周边环境功能影响较小。</w:t>
            </w:r>
          </w:p>
          <w:p>
            <w:pPr>
              <w:numPr>
                <w:ilvl w:val="-1"/>
                <w:numId w:val="0"/>
              </w:numPr>
              <w:bidi w:val="0"/>
              <w:ind w:left="480" w:firstLine="0" w:firstLineChars="0"/>
              <w:rPr>
                <w:rFonts w:hint="eastAsia"/>
                <w:b/>
                <w:bCs/>
                <w:highlight w:val="none"/>
                <w:lang w:val="en-US" w:eastAsia="zh-CN"/>
              </w:rPr>
            </w:pPr>
            <w:r>
              <w:rPr>
                <w:rFonts w:hint="eastAsia"/>
                <w:b/>
                <w:bCs/>
                <w:highlight w:val="none"/>
                <w:lang w:val="en-US" w:eastAsia="zh-CN"/>
              </w:rPr>
              <w:t>5、施工场地污染防治措施</w:t>
            </w:r>
          </w:p>
          <w:p>
            <w:pPr>
              <w:spacing w:before="0" w:line="360" w:lineRule="auto"/>
              <w:ind w:left="0"/>
            </w:pPr>
            <w:r>
              <w:t>(1)对永久占地合理规划，严格控制工程占地面积。</w:t>
            </w:r>
          </w:p>
          <w:p>
            <w:pPr>
              <w:spacing w:before="0" w:line="360" w:lineRule="auto"/>
              <w:ind w:left="0"/>
            </w:pPr>
            <w:r>
              <w:t>(2)对施工中占用的园地、林地，应按土地法规定的程序，并向有关行政</w:t>
            </w:r>
            <w:r>
              <mc:AlternateContent>
                <mc:Choice Requires="wps">
                  <w:drawing>
                    <wp:anchor distT="0" distB="0" distL="114300" distR="114300" simplePos="0" relativeHeight="251660288" behindDoc="0" locked="0" layoutInCell="1" allowOverlap="1">
                      <wp:simplePos x="0" y="0"/>
                      <wp:positionH relativeFrom="rightMargin">
                        <wp:posOffset>-5403215</wp:posOffset>
                      </wp:positionH>
                      <wp:positionV relativeFrom="topMargin">
                        <wp:posOffset>6072505</wp:posOffset>
                      </wp:positionV>
                      <wp:extent cx="172720" cy="208280"/>
                      <wp:effectExtent l="0" t="0" r="0" b="0"/>
                      <wp:wrapNone/>
                      <wp:docPr id="5" name="文本框 5"/>
                      <wp:cNvGraphicFramePr/>
                      <a:graphic xmlns:a="http://schemas.openxmlformats.org/drawingml/2006/main">
                        <a:graphicData uri="http://schemas.microsoft.com/office/word/2010/wordprocessingShape">
                          <wps:wsp>
                            <wps:cNvSpPr txBox="1"/>
                            <wps:spPr>
                              <a:xfrm>
                                <a:off x="0" y="0"/>
                                <a:ext cx="172720" cy="208280"/>
                              </a:xfrm>
                              <a:prstGeom prst="rect">
                                <a:avLst/>
                              </a:prstGeom>
                              <a:noFill/>
                              <a:ln>
                                <a:noFill/>
                              </a:ln>
                            </wps:spPr>
                            <wps:txbx>
                              <w:txbxContent>
                                <w:p>
                                  <w:pPr>
                                    <w:spacing w:before="20" w:line="221" w:lineRule="auto"/>
                                    <w:ind w:left="20"/>
                                    <w:rPr>
                                      <w:rFonts w:ascii="宋体" w:hAnsi="宋体" w:eastAsia="宋体" w:cs="宋体"/>
                                      <w:sz w:val="24"/>
                                      <w:szCs w:val="24"/>
                                    </w:rPr>
                                  </w:pPr>
                                  <w:r>
                                    <w:rPr>
                                      <w:rFonts w:ascii="宋体" w:hAnsi="宋体" w:eastAsia="宋体" w:cs="宋体"/>
                                      <w:sz w:val="24"/>
                                      <w:szCs w:val="24"/>
                                    </w:rPr>
                                    <w:t>河</w:t>
                                  </w:r>
                                </w:p>
                              </w:txbxContent>
                            </wps:txbx>
                            <wps:bodyPr lIns="0" tIns="0" rIns="0" bIns="0" upright="1"/>
                          </wps:wsp>
                        </a:graphicData>
                      </a:graphic>
                    </wp:anchor>
                  </w:drawing>
                </mc:Choice>
                <mc:Fallback>
                  <w:pict>
                    <v:shape id="_x0000_s1026" o:spid="_x0000_s1026" o:spt="202" type="#_x0000_t202" style="position:absolute;left:0pt;margin-left:6.1pt;margin-top:479.65pt;height:16.4pt;width:13.6pt;mso-position-horizontal-relative:page;mso-position-vertical-relative:page;z-index:251660288;mso-width-relative:page;mso-height-relative:page;" filled="f" stroked="f" coordsize="21600,21600" o:gfxdata="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ObN/cjcAAAADQEAAA8AAAAAAAAAAQAgAAAAIgAAAGRycy9kb3ducmV2LnhtbFBL&#10;AQIUABQAAAAIAIdO4kADkywpuQEAAHEDAAAOAAAAAAAAAAEAIAAAACsBAABkcnMvZTJvRG9jLnht&#10;bFBLBQYAAAAABgAGAFkBAABWBQAAAAA=&#10;">
                      <v:fill on="f" focussize="0,0"/>
                      <v:stroke on="f"/>
                      <v:imagedata o:title=""/>
                      <o:lock v:ext="edit" aspectratio="f"/>
                      <v:textbox inset="0mm,0mm,0mm,0mm">
                        <w:txbxContent>
                          <w:p>
                            <w:pPr>
                              <w:spacing w:before="20" w:line="221" w:lineRule="auto"/>
                              <w:ind w:left="20"/>
                              <w:rPr>
                                <w:rFonts w:ascii="宋体" w:hAnsi="宋体" w:eastAsia="宋体" w:cs="宋体"/>
                                <w:sz w:val="24"/>
                                <w:szCs w:val="24"/>
                              </w:rPr>
                            </w:pPr>
                            <w:r>
                              <w:rPr>
                                <w:rFonts w:ascii="宋体" w:hAnsi="宋体" w:eastAsia="宋体" w:cs="宋体"/>
                                <w:sz w:val="24"/>
                                <w:szCs w:val="24"/>
                              </w:rPr>
                              <w:t>河</w:t>
                            </w:r>
                          </w:p>
                        </w:txbxContent>
                      </v:textbox>
                    </v:shape>
                  </w:pict>
                </mc:Fallback>
              </mc:AlternateContent>
            </w:r>
            <w:r>
              <w:t>部门办理相关手续，并将按当地政府的规定予以经济上补偿。</w:t>
            </w:r>
          </w:p>
          <w:p>
            <w:pPr>
              <w:spacing w:before="0" w:line="360" w:lineRule="auto"/>
              <w:ind w:left="0" w:right="0" w:firstLine="0"/>
            </w:pPr>
            <w:r>
              <w:t>(3)施工前作业进行场地清理，应注意表层土壤的堆放及保护问题，避免雨天施工，造成水土流失危害并污染周边环境；临时用地使用完后，立即实施复垦措施；加强临时性工程占地复垦的监理工作。</w:t>
            </w:r>
          </w:p>
          <w:p>
            <w:pPr>
              <w:spacing w:line="360" w:lineRule="auto"/>
              <w:ind w:left="0" w:right="0" w:firstLine="0"/>
            </w:pPr>
            <w:r>
              <w:t>(4)施工建筑材料堆放场等临时用地尽量考虑在施工作业带内设置，如不可避免需在施工作业带以外地段设置，在不增加工程总体投资的前提下，尽可能考虑利用附近现有堆放场地；在农田地段的建筑材料堆放场地应禁止进行地貌景观改造作业，施工结束后及时进行复垦改造。</w:t>
            </w:r>
          </w:p>
          <w:p>
            <w:pPr>
              <w:spacing w:line="360" w:lineRule="auto"/>
              <w:ind w:left="0" w:right="0" w:firstLine="0"/>
            </w:pPr>
            <w:r>
              <w:t>(5)工程施工现场，施工单位要严格按《建筑施工现场环境与卫生标准》(JGJ146-2004)进行布置，做到既环境与卫生，又方便施工。施工工区等临时建筑尽可能采用成品或简易拼装方式，尽量减轻对土壤的破坏。</w:t>
            </w:r>
          </w:p>
          <w:p>
            <w:pPr>
              <w:bidi w:val="0"/>
              <w:rPr>
                <w:rFonts w:hint="default"/>
                <w:lang w:val="en-US" w:eastAsia="zh-CN"/>
              </w:rPr>
            </w:pPr>
            <w:r>
              <w:t>(6)对临时占地区域的地表土应进行分层剥离、保存和利用，拟用于原地土地复垦、土壤改良、植被恢复等用途。表土剥离厚度一般为20~80cm，视土壤剖面结构和土壤熟化程度来定。表土堆放应当采取拦挡、排水、沉沙及覆盖等措施对土堆进行保护。</w:t>
            </w: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4" w:space="0"/>
          </w:tblBorders>
          <w:tblCellMar>
            <w:top w:w="0" w:type="dxa"/>
            <w:left w:w="108" w:type="dxa"/>
            <w:bottom w:w="0" w:type="dxa"/>
            <w:right w:w="108" w:type="dxa"/>
          </w:tblCellMar>
        </w:tblPrEx>
        <w:tc>
          <w:tcPr>
            <w:tcW w:w="400" w:type="dxa"/>
            <w:tcBorders>
              <w:tl2br w:val="nil"/>
              <w:tr2bl w:val="nil"/>
            </w:tcBorders>
          </w:tcPr>
          <w:p>
            <w:pPr>
              <w:ind w:left="0" w:leftChars="0" w:firstLine="0" w:firstLineChars="0"/>
              <w:rPr>
                <w:rFonts w:hint="default" w:ascii="Times New Roman" w:hAnsi="Times New Roman" w:eastAsia="宋体" w:cs="Times New Roman"/>
                <w:color w:val="auto"/>
                <w:kern w:val="2"/>
                <w:sz w:val="24"/>
                <w:szCs w:val="21"/>
                <w:lang w:val="en-US" w:eastAsia="zh-CN" w:bidi="ar-SA"/>
              </w:rPr>
            </w:pPr>
            <w:r>
              <w:rPr>
                <w:rFonts w:hint="default" w:ascii="Times New Roman" w:hAnsi="Times New Roman" w:eastAsia="宋体" w:cs="Times New Roman"/>
                <w:color w:val="auto"/>
                <w:kern w:val="2"/>
                <w:sz w:val="24"/>
                <w:szCs w:val="21"/>
                <w:lang w:val="en-US" w:eastAsia="zh-CN" w:bidi="ar-SA"/>
              </w:rPr>
              <w:t>环保投资</w:t>
            </w:r>
          </w:p>
        </w:tc>
        <w:tc>
          <w:tcPr>
            <w:tcW w:w="8638" w:type="dxa"/>
            <w:tcBorders>
              <w:tl2br w:val="nil"/>
              <w:tr2bl w:val="nil"/>
            </w:tcBorders>
          </w:tcPr>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color w:val="auto"/>
              </w:rPr>
            </w:pPr>
            <w:r>
              <w:rPr>
                <w:rFonts w:hint="eastAsia"/>
                <w:color w:val="auto"/>
                <w:lang w:val="en-US" w:eastAsia="zh-CN"/>
              </w:rPr>
              <w:t>本项目总投资1179.61万元，通过估算，项目</w:t>
            </w:r>
            <w:r>
              <w:rPr>
                <w:color w:val="auto"/>
              </w:rPr>
              <w:t>用于降低、减免工程建设不利影响和补偿的环境保护费用</w:t>
            </w:r>
            <w:r>
              <w:rPr>
                <w:rFonts w:hint="eastAsia"/>
                <w:color w:val="auto"/>
                <w:lang w:val="en-US" w:eastAsia="zh-CN"/>
              </w:rPr>
              <w:t>为20万元，环保投资占比1.70%</w:t>
            </w:r>
            <w:r>
              <w:rPr>
                <w:color w:val="auto"/>
              </w:rPr>
              <w:t>，</w:t>
            </w:r>
            <w:r>
              <w:rPr>
                <w:rFonts w:hint="eastAsia"/>
                <w:color w:val="auto"/>
              </w:rPr>
              <w:t>环保设施必须与主体工程“三同时”，并经环保部门验收合格方可投入使用，投入的环保设施及投资见下表。</w:t>
            </w:r>
          </w:p>
          <w:p>
            <w:pPr>
              <w:pStyle w:val="16"/>
              <w:bidi w:val="0"/>
              <w:rPr>
                <w:rFonts w:hint="eastAsia"/>
                <w:color w:val="auto"/>
                <w:lang w:val="en-US" w:eastAsia="zh-CN"/>
              </w:rPr>
            </w:pPr>
            <w:r>
              <w:rPr>
                <w:rFonts w:hint="default"/>
                <w:color w:val="auto"/>
                <w:lang w:val="en-US" w:eastAsia="zh-CN"/>
              </w:rPr>
              <w:t>表5-</w:t>
            </w:r>
            <w:r>
              <w:rPr>
                <w:rFonts w:hint="eastAsia"/>
                <w:color w:val="auto"/>
                <w:lang w:val="en-US" w:eastAsia="zh-CN"/>
              </w:rPr>
              <w:t>4  项目环保设施(措施)及投资一览表</w:t>
            </w:r>
          </w:p>
          <w:tbl>
            <w:tblPr>
              <w:tblStyle w:val="12"/>
              <w:tblW w:w="8523"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43"/>
              <w:gridCol w:w="1334"/>
              <w:gridCol w:w="5323"/>
              <w:gridCol w:w="112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743" w:type="dxa"/>
                  <w:tcBorders>
                    <w:tl2br w:val="nil"/>
                    <w:tr2bl w:val="nil"/>
                  </w:tcBorders>
                  <w:noWrap w:val="0"/>
                  <w:vAlign w:val="center"/>
                </w:tcPr>
                <w:p>
                  <w:pPr>
                    <w:pStyle w:val="15"/>
                    <w:bidi w:val="0"/>
                    <w:rPr>
                      <w:rFonts w:hint="default"/>
                      <w:b/>
                      <w:bCs/>
                      <w:color w:val="auto"/>
                      <w:lang w:val="en-US" w:eastAsia="zh-CN"/>
                    </w:rPr>
                  </w:pPr>
                  <w:r>
                    <w:rPr>
                      <w:rFonts w:hint="eastAsia"/>
                      <w:b/>
                      <w:bCs/>
                      <w:color w:val="auto"/>
                      <w:lang w:val="en-US" w:eastAsia="zh-CN"/>
                    </w:rPr>
                    <w:t>项目</w:t>
                  </w:r>
                </w:p>
              </w:tc>
              <w:tc>
                <w:tcPr>
                  <w:tcW w:w="6657" w:type="dxa"/>
                  <w:gridSpan w:val="2"/>
                  <w:tcBorders>
                    <w:tl2br w:val="nil"/>
                    <w:tr2bl w:val="nil"/>
                  </w:tcBorders>
                  <w:noWrap w:val="0"/>
                  <w:vAlign w:val="center"/>
                </w:tcPr>
                <w:p>
                  <w:pPr>
                    <w:pStyle w:val="15"/>
                    <w:bidi w:val="0"/>
                    <w:rPr>
                      <w:rFonts w:hint="default"/>
                      <w:b/>
                      <w:bCs/>
                      <w:color w:val="auto"/>
                      <w:lang w:val="en-US" w:eastAsia="zh-CN"/>
                    </w:rPr>
                  </w:pPr>
                  <w:r>
                    <w:rPr>
                      <w:rFonts w:hint="eastAsia"/>
                      <w:b/>
                      <w:bCs/>
                      <w:color w:val="auto"/>
                      <w:lang w:val="en-US" w:eastAsia="zh-CN"/>
                    </w:rPr>
                    <w:t>内容</w:t>
                  </w:r>
                </w:p>
              </w:tc>
              <w:tc>
                <w:tcPr>
                  <w:tcW w:w="1123" w:type="dxa"/>
                  <w:tcBorders>
                    <w:tl2br w:val="nil"/>
                    <w:tr2bl w:val="nil"/>
                  </w:tcBorders>
                  <w:noWrap w:val="0"/>
                  <w:vAlign w:val="center"/>
                </w:tcPr>
                <w:p>
                  <w:pPr>
                    <w:pStyle w:val="15"/>
                    <w:bidi w:val="0"/>
                    <w:rPr>
                      <w:rFonts w:hint="default"/>
                      <w:b/>
                      <w:bCs/>
                      <w:color w:val="auto"/>
                      <w:lang w:val="en-US" w:eastAsia="zh-CN"/>
                    </w:rPr>
                  </w:pPr>
                  <w:r>
                    <w:rPr>
                      <w:rFonts w:hint="eastAsia"/>
                      <w:b/>
                      <w:bCs/>
                      <w:color w:val="auto"/>
                      <w:lang w:val="en-US" w:eastAsia="zh-CN"/>
                    </w:rPr>
                    <w:t>投资金额（万元）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743" w:type="dxa"/>
                  <w:tcBorders>
                    <w:tl2br w:val="nil"/>
                    <w:tr2bl w:val="nil"/>
                  </w:tcBorders>
                  <w:noWrap w:val="0"/>
                  <w:vAlign w:val="center"/>
                </w:tcPr>
                <w:p>
                  <w:pPr>
                    <w:pStyle w:val="15"/>
                    <w:bidi w:val="0"/>
                    <w:rPr>
                      <w:rFonts w:hint="default"/>
                      <w:color w:val="auto"/>
                      <w:lang w:val="en-US" w:eastAsia="zh-CN"/>
                    </w:rPr>
                  </w:pPr>
                  <w:r>
                    <w:rPr>
                      <w:rFonts w:hint="eastAsia"/>
                      <w:color w:val="auto"/>
                      <w:lang w:val="en-US" w:eastAsia="zh-CN"/>
                    </w:rPr>
                    <w:t>废气</w:t>
                  </w:r>
                </w:p>
              </w:tc>
              <w:tc>
                <w:tcPr>
                  <w:tcW w:w="1334" w:type="dxa"/>
                  <w:tcBorders>
                    <w:tl2br w:val="nil"/>
                    <w:tr2bl w:val="nil"/>
                  </w:tcBorders>
                  <w:noWrap w:val="0"/>
                  <w:vAlign w:val="center"/>
                </w:tcPr>
                <w:p>
                  <w:pPr>
                    <w:pStyle w:val="15"/>
                    <w:bidi w:val="0"/>
                    <w:rPr>
                      <w:rFonts w:hint="default"/>
                      <w:color w:val="auto"/>
                      <w:lang w:val="en-US" w:eastAsia="zh-CN"/>
                    </w:rPr>
                  </w:pPr>
                  <w:r>
                    <w:rPr>
                      <w:rFonts w:hint="eastAsia"/>
                      <w:color w:val="auto"/>
                      <w:lang w:val="en-US" w:eastAsia="zh-CN"/>
                    </w:rPr>
                    <w:t>扬尘、机械燃油废气、柴油废电机废气</w:t>
                  </w:r>
                </w:p>
              </w:tc>
              <w:tc>
                <w:tcPr>
                  <w:tcW w:w="5323" w:type="dxa"/>
                  <w:tcBorders>
                    <w:tl2br w:val="nil"/>
                    <w:tr2bl w:val="nil"/>
                  </w:tcBorders>
                  <w:noWrap w:val="0"/>
                  <w:vAlign w:val="center"/>
                </w:tcPr>
                <w:p>
                  <w:pPr>
                    <w:pStyle w:val="15"/>
                    <w:bidi w:val="0"/>
                    <w:rPr>
                      <w:rFonts w:hint="eastAsia"/>
                      <w:color w:val="auto"/>
                      <w:lang w:val="en-US" w:eastAsia="zh-CN"/>
                    </w:rPr>
                  </w:pPr>
                  <w:r>
                    <w:rPr>
                      <w:rFonts w:hint="default"/>
                      <w:color w:val="auto"/>
                      <w:lang w:val="en-US" w:eastAsia="zh-CN"/>
                    </w:rPr>
                    <w:t>施工扬尘防治，定时现场洒水降尘、车辆运输时覆盖帆布、料场采取密目网遮盖、进出施工场地车胎清洗，加强施工区域管理，加强施工机械保养维护；</w:t>
                  </w:r>
                </w:p>
                <w:p>
                  <w:pPr>
                    <w:pStyle w:val="15"/>
                    <w:bidi w:val="0"/>
                    <w:rPr>
                      <w:rFonts w:hint="default"/>
                      <w:color w:val="auto"/>
                      <w:lang w:val="en-US" w:eastAsia="zh-CN"/>
                    </w:rPr>
                  </w:pPr>
                  <w:r>
                    <w:rPr>
                      <w:rFonts w:hint="default"/>
                      <w:color w:val="auto"/>
                      <w:lang w:val="en-US" w:eastAsia="zh-CN"/>
                    </w:rPr>
                    <w:t>柴油发电机配置消烟除尘设施等</w:t>
                  </w:r>
                  <w:r>
                    <w:rPr>
                      <w:rFonts w:hint="eastAsia"/>
                      <w:color w:val="auto"/>
                      <w:lang w:val="en-US" w:eastAsia="zh-CN"/>
                    </w:rPr>
                    <w:t>。</w:t>
                  </w:r>
                </w:p>
              </w:tc>
              <w:tc>
                <w:tcPr>
                  <w:tcW w:w="1123" w:type="dxa"/>
                  <w:tcBorders>
                    <w:tl2br w:val="nil"/>
                    <w:tr2bl w:val="nil"/>
                  </w:tcBorders>
                  <w:noWrap w:val="0"/>
                  <w:vAlign w:val="center"/>
                </w:tcPr>
                <w:p>
                  <w:pPr>
                    <w:pStyle w:val="15"/>
                    <w:bidi w:val="0"/>
                    <w:rPr>
                      <w:rFonts w:hint="default"/>
                      <w:color w:val="auto"/>
                      <w:lang w:val="en-US" w:eastAsia="zh-CN"/>
                    </w:rPr>
                  </w:pPr>
                  <w:r>
                    <w:rPr>
                      <w:rFonts w:hint="eastAsia"/>
                      <w:color w:val="auto"/>
                      <w:lang w:val="en-US" w:eastAsia="zh-CN"/>
                    </w:rPr>
                    <w:t>3.2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743" w:type="dxa"/>
                  <w:vMerge w:val="restart"/>
                  <w:tcBorders>
                    <w:tl2br w:val="nil"/>
                    <w:tr2bl w:val="nil"/>
                  </w:tcBorders>
                  <w:noWrap w:val="0"/>
                  <w:vAlign w:val="center"/>
                </w:tcPr>
                <w:p>
                  <w:pPr>
                    <w:pStyle w:val="15"/>
                    <w:bidi w:val="0"/>
                    <w:rPr>
                      <w:rFonts w:hint="default"/>
                      <w:color w:val="auto"/>
                      <w:lang w:val="en-US" w:eastAsia="zh-CN"/>
                    </w:rPr>
                  </w:pPr>
                  <w:r>
                    <w:rPr>
                      <w:rFonts w:hint="eastAsia"/>
                      <w:color w:val="auto"/>
                      <w:lang w:val="en-US" w:eastAsia="zh-CN"/>
                    </w:rPr>
                    <w:t>废水</w:t>
                  </w:r>
                </w:p>
              </w:tc>
              <w:tc>
                <w:tcPr>
                  <w:tcW w:w="1334" w:type="dxa"/>
                  <w:tcBorders>
                    <w:tl2br w:val="nil"/>
                    <w:tr2bl w:val="nil"/>
                  </w:tcBorders>
                  <w:noWrap w:val="0"/>
                  <w:vAlign w:val="center"/>
                </w:tcPr>
                <w:p>
                  <w:pPr>
                    <w:pStyle w:val="15"/>
                    <w:bidi w:val="0"/>
                    <w:rPr>
                      <w:rFonts w:hint="default"/>
                      <w:color w:val="auto"/>
                      <w:lang w:val="en-US" w:eastAsia="zh-CN"/>
                    </w:rPr>
                  </w:pPr>
                  <w:r>
                    <w:rPr>
                      <w:rFonts w:hint="eastAsia"/>
                      <w:color w:val="auto"/>
                      <w:lang w:val="en-US" w:eastAsia="zh-CN"/>
                    </w:rPr>
                    <w:t>施工废水</w:t>
                  </w:r>
                </w:p>
              </w:tc>
              <w:tc>
                <w:tcPr>
                  <w:tcW w:w="5323" w:type="dxa"/>
                  <w:tcBorders>
                    <w:tl2br w:val="nil"/>
                    <w:tr2bl w:val="nil"/>
                  </w:tcBorders>
                  <w:noWrap w:val="0"/>
                  <w:vAlign w:val="center"/>
                </w:tcPr>
                <w:p>
                  <w:pPr>
                    <w:pStyle w:val="15"/>
                    <w:bidi w:val="0"/>
                    <w:rPr>
                      <w:rFonts w:hint="default"/>
                      <w:color w:val="auto"/>
                      <w:lang w:val="en-US" w:eastAsia="zh-CN"/>
                    </w:rPr>
                  </w:pPr>
                  <w:r>
                    <w:rPr>
                      <w:rFonts w:hint="eastAsia"/>
                      <w:color w:val="auto"/>
                    </w:rPr>
                    <w:t>施工废水</w:t>
                  </w:r>
                  <w:r>
                    <w:rPr>
                      <w:rFonts w:hint="eastAsia"/>
                      <w:color w:val="auto"/>
                      <w:lang w:val="en-US" w:eastAsia="zh-CN"/>
                    </w:rPr>
                    <w:t>设置</w:t>
                  </w:r>
                  <w:r>
                    <w:rPr>
                      <w:rFonts w:hint="eastAsia"/>
                      <w:color w:val="auto"/>
                    </w:rPr>
                    <w:t>隔</w:t>
                  </w:r>
                  <w:r>
                    <w:rPr>
                      <w:rFonts w:hint="eastAsia"/>
                      <w:color w:val="auto"/>
                      <w:lang w:val="en-US" w:eastAsia="zh-CN"/>
                    </w:rPr>
                    <w:t>油沉淀池</w:t>
                  </w:r>
                  <w:r>
                    <w:rPr>
                      <w:rFonts w:hint="eastAsia"/>
                      <w:color w:val="auto"/>
                    </w:rPr>
                    <w:t>沉淀处理</w:t>
                  </w:r>
                  <w:r>
                    <w:rPr>
                      <w:rFonts w:hint="eastAsia"/>
                      <w:color w:val="auto"/>
                      <w:lang w:eastAsia="zh-CN"/>
                    </w:rPr>
                    <w:t>，</w:t>
                  </w:r>
                  <w:r>
                    <w:rPr>
                      <w:rFonts w:hint="eastAsia"/>
                      <w:color w:val="auto"/>
                      <w:lang w:val="en-US" w:eastAsia="zh-CN"/>
                    </w:rPr>
                    <w:t>设置混凝土拌和系统沉淀池4座，含油污水隔油沉淀池2座</w:t>
                  </w:r>
                  <w:r>
                    <w:rPr>
                      <w:rFonts w:hint="eastAsia"/>
                      <w:color w:val="auto"/>
                      <w:lang w:eastAsia="zh-CN"/>
                    </w:rPr>
                    <w:t>；</w:t>
                  </w:r>
                </w:p>
              </w:tc>
              <w:tc>
                <w:tcPr>
                  <w:tcW w:w="1123" w:type="dxa"/>
                  <w:tcBorders>
                    <w:tl2br w:val="nil"/>
                    <w:tr2bl w:val="nil"/>
                  </w:tcBorders>
                  <w:noWrap w:val="0"/>
                  <w:vAlign w:val="center"/>
                </w:tcPr>
                <w:p>
                  <w:pPr>
                    <w:pStyle w:val="15"/>
                    <w:bidi w:val="0"/>
                    <w:rPr>
                      <w:rFonts w:hint="default"/>
                      <w:color w:val="auto"/>
                      <w:lang w:val="en-US" w:eastAsia="zh-CN"/>
                    </w:rPr>
                  </w:pPr>
                  <w:r>
                    <w:rPr>
                      <w:rFonts w:hint="eastAsia"/>
                      <w:color w:val="auto"/>
                      <w:lang w:val="en-US" w:eastAsia="zh-CN"/>
                    </w:rPr>
                    <w:t>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743" w:type="dxa"/>
                  <w:vMerge w:val="continue"/>
                  <w:tcBorders>
                    <w:tl2br w:val="nil"/>
                    <w:tr2bl w:val="nil"/>
                  </w:tcBorders>
                  <w:noWrap w:val="0"/>
                  <w:vAlign w:val="center"/>
                </w:tcPr>
                <w:p>
                  <w:pPr>
                    <w:pStyle w:val="15"/>
                    <w:bidi w:val="0"/>
                    <w:rPr>
                      <w:rFonts w:hint="default"/>
                      <w:color w:val="auto"/>
                      <w:lang w:val="en-US" w:eastAsia="zh-CN"/>
                    </w:rPr>
                  </w:pPr>
                </w:p>
              </w:tc>
              <w:tc>
                <w:tcPr>
                  <w:tcW w:w="1334" w:type="dxa"/>
                  <w:tcBorders>
                    <w:tl2br w:val="nil"/>
                    <w:tr2bl w:val="nil"/>
                  </w:tcBorders>
                  <w:noWrap w:val="0"/>
                  <w:vAlign w:val="center"/>
                </w:tcPr>
                <w:p>
                  <w:pPr>
                    <w:pStyle w:val="15"/>
                    <w:bidi w:val="0"/>
                    <w:rPr>
                      <w:rFonts w:hint="default"/>
                      <w:color w:val="auto"/>
                      <w:lang w:val="en-US" w:eastAsia="zh-CN"/>
                    </w:rPr>
                  </w:pPr>
                  <w:r>
                    <w:rPr>
                      <w:rFonts w:hint="eastAsia"/>
                      <w:color w:val="auto"/>
                      <w:lang w:val="en-US" w:eastAsia="zh-CN"/>
                    </w:rPr>
                    <w:t>生活废水</w:t>
                  </w:r>
                </w:p>
              </w:tc>
              <w:tc>
                <w:tcPr>
                  <w:tcW w:w="5323" w:type="dxa"/>
                  <w:tcBorders>
                    <w:tl2br w:val="nil"/>
                    <w:tr2bl w:val="nil"/>
                  </w:tcBorders>
                  <w:noWrap w:val="0"/>
                  <w:vAlign w:val="center"/>
                </w:tcPr>
                <w:p>
                  <w:pPr>
                    <w:pStyle w:val="15"/>
                    <w:bidi w:val="0"/>
                    <w:rPr>
                      <w:rFonts w:hint="default"/>
                      <w:color w:val="auto"/>
                      <w:lang w:val="en-US" w:eastAsia="zh-CN"/>
                    </w:rPr>
                  </w:pPr>
                  <w:r>
                    <w:rPr>
                      <w:rFonts w:hint="eastAsia"/>
                      <w:color w:val="auto"/>
                      <w:lang w:val="en-US" w:eastAsia="zh-CN"/>
                    </w:rPr>
                    <w:t>依托租赁场镇民房既有生活设施处理后，进入市政污水管网</w:t>
                  </w:r>
                </w:p>
              </w:tc>
              <w:tc>
                <w:tcPr>
                  <w:tcW w:w="1123" w:type="dxa"/>
                  <w:tcBorders>
                    <w:tl2br w:val="nil"/>
                    <w:tr2bl w:val="nil"/>
                  </w:tcBorders>
                  <w:noWrap w:val="0"/>
                  <w:vAlign w:val="center"/>
                </w:tcPr>
                <w:p>
                  <w:pPr>
                    <w:pStyle w:val="15"/>
                    <w:bidi w:val="0"/>
                    <w:rPr>
                      <w:rFonts w:hint="default"/>
                      <w:color w:val="auto"/>
                      <w:lang w:val="en-US" w:eastAsia="zh-CN"/>
                    </w:rPr>
                  </w:pPr>
                  <w:r>
                    <w:rPr>
                      <w:rFonts w:hint="eastAsia"/>
                      <w:color w:val="auto"/>
                      <w:lang w:val="en-US" w:eastAsia="zh-CN"/>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743" w:type="dxa"/>
                  <w:tcBorders>
                    <w:tl2br w:val="nil"/>
                    <w:tr2bl w:val="nil"/>
                  </w:tcBorders>
                  <w:noWrap w:val="0"/>
                  <w:vAlign w:val="center"/>
                </w:tcPr>
                <w:p>
                  <w:pPr>
                    <w:pStyle w:val="15"/>
                    <w:bidi w:val="0"/>
                    <w:rPr>
                      <w:rFonts w:hint="default"/>
                      <w:color w:val="auto"/>
                      <w:lang w:val="en-US" w:eastAsia="zh-CN"/>
                    </w:rPr>
                  </w:pPr>
                  <w:r>
                    <w:rPr>
                      <w:color w:val="auto"/>
                    </w:rPr>
                    <w:t>噪声</w:t>
                  </w:r>
                </w:p>
              </w:tc>
              <w:tc>
                <w:tcPr>
                  <w:tcW w:w="1334" w:type="dxa"/>
                  <w:tcBorders>
                    <w:tl2br w:val="nil"/>
                    <w:tr2bl w:val="nil"/>
                  </w:tcBorders>
                  <w:noWrap w:val="0"/>
                  <w:vAlign w:val="center"/>
                </w:tcPr>
                <w:p>
                  <w:pPr>
                    <w:pStyle w:val="15"/>
                    <w:bidi w:val="0"/>
                    <w:rPr>
                      <w:rFonts w:hint="default"/>
                      <w:color w:val="auto"/>
                      <w:lang w:val="en-US" w:eastAsia="zh-CN"/>
                    </w:rPr>
                  </w:pPr>
                  <w:r>
                    <w:rPr>
                      <w:color w:val="auto"/>
                    </w:rPr>
                    <w:t>设备噪声</w:t>
                  </w:r>
                </w:p>
              </w:tc>
              <w:tc>
                <w:tcPr>
                  <w:tcW w:w="5323" w:type="dxa"/>
                  <w:tcBorders>
                    <w:tl2br w:val="nil"/>
                    <w:tr2bl w:val="nil"/>
                  </w:tcBorders>
                  <w:noWrap w:val="0"/>
                  <w:vAlign w:val="center"/>
                </w:tcPr>
                <w:p>
                  <w:pPr>
                    <w:pStyle w:val="15"/>
                    <w:bidi w:val="0"/>
                    <w:rPr>
                      <w:rFonts w:hint="default"/>
                      <w:color w:val="auto"/>
                      <w:lang w:val="en-US" w:eastAsia="zh-CN"/>
                    </w:rPr>
                  </w:pPr>
                  <w:r>
                    <w:rPr>
                      <w:rFonts w:hint="eastAsia"/>
                      <w:color w:val="auto"/>
                    </w:rPr>
                    <w:t>设置围挡</w:t>
                  </w:r>
                  <w:r>
                    <w:rPr>
                      <w:rFonts w:hint="eastAsia"/>
                      <w:color w:val="auto"/>
                      <w:lang w:eastAsia="zh-CN"/>
                    </w:rPr>
                    <w:t>，</w:t>
                  </w:r>
                  <w:r>
                    <w:rPr>
                      <w:rFonts w:hint="eastAsia"/>
                      <w:color w:val="auto"/>
                    </w:rPr>
                    <w:t>加强设备维修与保养，设立标志牌，限制车速；合理进行平面布置；对于场内施工人员，配备个人防护措施；对于周边敏感点根据实际情况设置声</w:t>
                  </w:r>
                  <w:r>
                    <w:rPr>
                      <w:rFonts w:hint="eastAsia"/>
                      <w:color w:val="auto"/>
                      <w:lang w:eastAsia="zh-CN"/>
                    </w:rPr>
                    <w:t>屏障</w:t>
                  </w:r>
                  <w:r>
                    <w:rPr>
                      <w:rFonts w:hint="eastAsia"/>
                      <w:color w:val="auto"/>
                    </w:rPr>
                    <w:t>及围挡等</w:t>
                  </w:r>
                </w:p>
              </w:tc>
              <w:tc>
                <w:tcPr>
                  <w:tcW w:w="1123" w:type="dxa"/>
                  <w:tcBorders>
                    <w:tl2br w:val="nil"/>
                    <w:tr2bl w:val="nil"/>
                  </w:tcBorders>
                  <w:noWrap w:val="0"/>
                  <w:vAlign w:val="center"/>
                </w:tcPr>
                <w:p>
                  <w:pPr>
                    <w:pStyle w:val="15"/>
                    <w:bidi w:val="0"/>
                    <w:rPr>
                      <w:rFonts w:hint="default"/>
                      <w:color w:val="auto"/>
                      <w:lang w:val="en-US" w:eastAsia="zh-CN"/>
                    </w:rPr>
                  </w:pPr>
                  <w:r>
                    <w:rPr>
                      <w:rFonts w:hint="eastAsia"/>
                      <w:color w:val="auto"/>
                      <w:lang w:val="en-US" w:eastAsia="zh-CN"/>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743" w:type="dxa"/>
                  <w:tcBorders>
                    <w:tl2br w:val="nil"/>
                    <w:tr2bl w:val="nil"/>
                  </w:tcBorders>
                  <w:noWrap w:val="0"/>
                  <w:vAlign w:val="center"/>
                </w:tcPr>
                <w:p>
                  <w:pPr>
                    <w:pStyle w:val="15"/>
                    <w:bidi w:val="0"/>
                    <w:rPr>
                      <w:rFonts w:hint="default"/>
                      <w:color w:val="auto"/>
                      <w:lang w:val="en-US" w:eastAsia="zh-CN"/>
                    </w:rPr>
                  </w:pPr>
                  <w:r>
                    <w:rPr>
                      <w:color w:val="auto"/>
                    </w:rPr>
                    <w:t>固废</w:t>
                  </w:r>
                </w:p>
              </w:tc>
              <w:tc>
                <w:tcPr>
                  <w:tcW w:w="1334" w:type="dxa"/>
                  <w:tcBorders>
                    <w:tl2br w:val="nil"/>
                    <w:tr2bl w:val="nil"/>
                  </w:tcBorders>
                  <w:noWrap w:val="0"/>
                  <w:vAlign w:val="center"/>
                </w:tcPr>
                <w:p>
                  <w:pPr>
                    <w:pStyle w:val="15"/>
                    <w:bidi w:val="0"/>
                    <w:rPr>
                      <w:rFonts w:hint="default"/>
                      <w:color w:val="auto"/>
                      <w:lang w:val="en-US" w:eastAsia="zh-CN"/>
                    </w:rPr>
                  </w:pPr>
                  <w:r>
                    <w:rPr>
                      <w:rFonts w:hint="eastAsia"/>
                      <w:color w:val="auto"/>
                    </w:rPr>
                    <w:t>固体废物</w:t>
                  </w:r>
                </w:p>
              </w:tc>
              <w:tc>
                <w:tcPr>
                  <w:tcW w:w="5323" w:type="dxa"/>
                  <w:tcBorders>
                    <w:tl2br w:val="nil"/>
                    <w:tr2bl w:val="nil"/>
                  </w:tcBorders>
                  <w:noWrap w:val="0"/>
                  <w:vAlign w:val="center"/>
                </w:tcPr>
                <w:p>
                  <w:pPr>
                    <w:pStyle w:val="15"/>
                    <w:bidi w:val="0"/>
                    <w:rPr>
                      <w:rFonts w:hint="default" w:eastAsia="宋体"/>
                      <w:color w:val="auto"/>
                      <w:lang w:val="en-US" w:eastAsia="zh-CN"/>
                    </w:rPr>
                  </w:pPr>
                  <w:r>
                    <w:rPr>
                      <w:rFonts w:hint="eastAsia"/>
                      <w:color w:val="auto"/>
                    </w:rPr>
                    <w:t>施工人员每日产生的生活垃圾经袋装收集，由环卫部门统一运送到垃圾处理场集中处理</w:t>
                  </w:r>
                  <w:r>
                    <w:rPr>
                      <w:rFonts w:hint="eastAsia"/>
                      <w:color w:val="auto"/>
                      <w:lang w:eastAsia="zh-CN"/>
                    </w:rPr>
                    <w:t>；</w:t>
                  </w:r>
                  <w:r>
                    <w:rPr>
                      <w:color w:val="auto"/>
                    </w:rPr>
                    <w:t>建筑垃圾</w:t>
                  </w:r>
                  <w:r>
                    <w:rPr>
                      <w:rFonts w:hint="eastAsia"/>
                      <w:color w:val="auto"/>
                    </w:rPr>
                    <w:t>可回收部分交废物收购站处理；不能回收部分及时清运到政府部门指定建筑垃圾堆放场</w:t>
                  </w:r>
                  <w:r>
                    <w:rPr>
                      <w:rFonts w:hint="eastAsia"/>
                      <w:color w:val="auto"/>
                      <w:lang w:eastAsia="zh-CN"/>
                    </w:rPr>
                    <w:t>。</w:t>
                  </w:r>
                  <w:r>
                    <w:rPr>
                      <w:rFonts w:hint="eastAsia"/>
                      <w:color w:val="auto"/>
                      <w:lang w:val="en-US" w:eastAsia="zh-CN"/>
                    </w:rPr>
                    <w:t>设置垃圾桶20个。</w:t>
                  </w:r>
                </w:p>
              </w:tc>
              <w:tc>
                <w:tcPr>
                  <w:tcW w:w="1123" w:type="dxa"/>
                  <w:tcBorders>
                    <w:tl2br w:val="nil"/>
                    <w:tr2bl w:val="nil"/>
                  </w:tcBorders>
                  <w:noWrap w:val="0"/>
                  <w:vAlign w:val="center"/>
                </w:tcPr>
                <w:p>
                  <w:pPr>
                    <w:pStyle w:val="15"/>
                    <w:bidi w:val="0"/>
                    <w:rPr>
                      <w:rFonts w:hint="default"/>
                      <w:color w:val="auto"/>
                      <w:lang w:val="en-US" w:eastAsia="zh-CN"/>
                    </w:rPr>
                  </w:pPr>
                  <w:r>
                    <w:rPr>
                      <w:rFonts w:hint="eastAsia"/>
                      <w:color w:val="auto"/>
                      <w:lang w:val="en-US" w:eastAsia="zh-CN"/>
                    </w:rPr>
                    <w:t>2.8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2077" w:type="dxa"/>
                  <w:gridSpan w:val="2"/>
                  <w:tcBorders>
                    <w:tl2br w:val="nil"/>
                    <w:tr2bl w:val="nil"/>
                  </w:tcBorders>
                  <w:noWrap w:val="0"/>
                  <w:vAlign w:val="center"/>
                </w:tcPr>
                <w:p>
                  <w:pPr>
                    <w:pStyle w:val="15"/>
                    <w:bidi w:val="0"/>
                    <w:rPr>
                      <w:rFonts w:hint="default"/>
                      <w:color w:val="auto"/>
                      <w:lang w:val="en-US" w:eastAsia="zh-CN"/>
                    </w:rPr>
                  </w:pPr>
                  <w:r>
                    <w:rPr>
                      <w:rFonts w:hint="eastAsia"/>
                      <w:color w:val="auto"/>
                      <w:lang w:val="en-US" w:eastAsia="zh-CN"/>
                    </w:rPr>
                    <w:t>环境监测</w:t>
                  </w:r>
                </w:p>
              </w:tc>
              <w:tc>
                <w:tcPr>
                  <w:tcW w:w="5323" w:type="dxa"/>
                  <w:tcBorders>
                    <w:tl2br w:val="nil"/>
                    <w:tr2bl w:val="nil"/>
                  </w:tcBorders>
                  <w:noWrap w:val="0"/>
                  <w:vAlign w:val="center"/>
                </w:tcPr>
                <w:p>
                  <w:pPr>
                    <w:pStyle w:val="15"/>
                    <w:bidi w:val="0"/>
                    <w:rPr>
                      <w:rFonts w:hint="default"/>
                      <w:color w:val="auto"/>
                      <w:lang w:val="en-US" w:eastAsia="zh-CN"/>
                    </w:rPr>
                  </w:pPr>
                  <w:r>
                    <w:rPr>
                      <w:rFonts w:hint="eastAsia"/>
                      <w:color w:val="auto"/>
                      <w:lang w:val="en-US" w:eastAsia="zh-CN"/>
                    </w:rPr>
                    <w:t>施工期地表水、生产废水大气环境、噪声监测</w:t>
                  </w:r>
                </w:p>
              </w:tc>
              <w:tc>
                <w:tcPr>
                  <w:tcW w:w="1123" w:type="dxa"/>
                  <w:tcBorders>
                    <w:tl2br w:val="nil"/>
                    <w:tr2bl w:val="nil"/>
                  </w:tcBorders>
                  <w:noWrap w:val="0"/>
                  <w:vAlign w:val="center"/>
                </w:tcPr>
                <w:p>
                  <w:pPr>
                    <w:pStyle w:val="15"/>
                    <w:bidi w:val="0"/>
                    <w:rPr>
                      <w:rFonts w:hint="default"/>
                      <w:color w:val="auto"/>
                      <w:lang w:val="en-US" w:eastAsia="zh-CN"/>
                    </w:rPr>
                  </w:pPr>
                  <w:r>
                    <w:rPr>
                      <w:rFonts w:hint="eastAsia"/>
                      <w:color w:val="auto"/>
                      <w:lang w:val="en-US" w:eastAsia="zh-CN"/>
                    </w:rPr>
                    <w:t>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2077" w:type="dxa"/>
                  <w:gridSpan w:val="2"/>
                  <w:tcBorders>
                    <w:tl2br w:val="nil"/>
                    <w:tr2bl w:val="nil"/>
                  </w:tcBorders>
                  <w:noWrap w:val="0"/>
                  <w:vAlign w:val="center"/>
                </w:tcPr>
                <w:p>
                  <w:pPr>
                    <w:pStyle w:val="15"/>
                    <w:bidi w:val="0"/>
                    <w:rPr>
                      <w:rFonts w:hint="default"/>
                      <w:color w:val="auto"/>
                      <w:lang w:val="en-US" w:eastAsia="zh-CN"/>
                    </w:rPr>
                  </w:pPr>
                  <w:r>
                    <w:rPr>
                      <w:rFonts w:hint="eastAsia"/>
                      <w:color w:val="auto"/>
                      <w:lang w:val="en-US" w:eastAsia="zh-CN"/>
                    </w:rPr>
                    <w:t>交通安全、人群健康保护措施</w:t>
                  </w:r>
                </w:p>
              </w:tc>
              <w:tc>
                <w:tcPr>
                  <w:tcW w:w="5323" w:type="dxa"/>
                  <w:tcBorders>
                    <w:tl2br w:val="nil"/>
                    <w:tr2bl w:val="nil"/>
                  </w:tcBorders>
                  <w:noWrap w:val="0"/>
                  <w:vAlign w:val="center"/>
                </w:tcPr>
                <w:p>
                  <w:pPr>
                    <w:pStyle w:val="15"/>
                    <w:bidi w:val="0"/>
                    <w:rPr>
                      <w:rFonts w:hint="default"/>
                      <w:color w:val="auto"/>
                      <w:lang w:val="en-US" w:eastAsia="zh-CN"/>
                    </w:rPr>
                  </w:pPr>
                  <w:r>
                    <w:rPr>
                      <w:rFonts w:hint="default"/>
                      <w:color w:val="auto"/>
                      <w:lang w:val="en-US" w:eastAsia="zh-CN"/>
                    </w:rPr>
                    <w:t>聘请有相关经验的环保人员进行</w:t>
                  </w:r>
                </w:p>
              </w:tc>
              <w:tc>
                <w:tcPr>
                  <w:tcW w:w="1123" w:type="dxa"/>
                  <w:tcBorders>
                    <w:tl2br w:val="nil"/>
                    <w:tr2bl w:val="nil"/>
                  </w:tcBorders>
                  <w:noWrap w:val="0"/>
                  <w:vAlign w:val="center"/>
                </w:tcPr>
                <w:p>
                  <w:pPr>
                    <w:pStyle w:val="15"/>
                    <w:bidi w:val="0"/>
                    <w:rPr>
                      <w:rFonts w:hint="default"/>
                      <w:color w:val="auto"/>
                      <w:lang w:val="en-US" w:eastAsia="zh-CN"/>
                    </w:rPr>
                  </w:pPr>
                  <w:r>
                    <w:rPr>
                      <w:rFonts w:hint="eastAsia"/>
                      <w:color w:val="auto"/>
                      <w:lang w:val="en-US" w:eastAsia="zh-CN"/>
                    </w:rPr>
                    <w:t>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2077" w:type="dxa"/>
                  <w:gridSpan w:val="2"/>
                  <w:tcBorders>
                    <w:tl2br w:val="nil"/>
                    <w:tr2bl w:val="nil"/>
                  </w:tcBorders>
                  <w:noWrap w:val="0"/>
                  <w:vAlign w:val="center"/>
                </w:tcPr>
                <w:p>
                  <w:pPr>
                    <w:pStyle w:val="15"/>
                    <w:bidi w:val="0"/>
                    <w:rPr>
                      <w:rFonts w:hint="default"/>
                      <w:color w:val="auto"/>
                      <w:lang w:val="en-US" w:eastAsia="zh-CN"/>
                    </w:rPr>
                  </w:pPr>
                  <w:r>
                    <w:rPr>
                      <w:rFonts w:hint="eastAsia"/>
                      <w:color w:val="auto"/>
                      <w:lang w:val="en-US" w:eastAsia="zh-CN"/>
                    </w:rPr>
                    <w:t>其他</w:t>
                  </w:r>
                </w:p>
              </w:tc>
              <w:tc>
                <w:tcPr>
                  <w:tcW w:w="5323" w:type="dxa"/>
                  <w:tcBorders>
                    <w:tl2br w:val="nil"/>
                    <w:tr2bl w:val="nil"/>
                  </w:tcBorders>
                  <w:noWrap w:val="0"/>
                  <w:vAlign w:val="center"/>
                </w:tcPr>
                <w:p>
                  <w:pPr>
                    <w:pStyle w:val="15"/>
                    <w:bidi w:val="0"/>
                    <w:rPr>
                      <w:rFonts w:hint="default"/>
                      <w:color w:val="auto"/>
                      <w:lang w:val="en-US" w:eastAsia="zh-CN"/>
                    </w:rPr>
                  </w:pPr>
                </w:p>
              </w:tc>
              <w:tc>
                <w:tcPr>
                  <w:tcW w:w="1123" w:type="dxa"/>
                  <w:tcBorders>
                    <w:tl2br w:val="nil"/>
                    <w:tr2bl w:val="nil"/>
                  </w:tcBorders>
                  <w:noWrap w:val="0"/>
                  <w:vAlign w:val="center"/>
                </w:tcPr>
                <w:p>
                  <w:pPr>
                    <w:pStyle w:val="15"/>
                    <w:bidi w:val="0"/>
                    <w:rPr>
                      <w:rFonts w:hint="default"/>
                      <w:color w:val="auto"/>
                      <w:lang w:val="en-US" w:eastAsia="zh-CN"/>
                    </w:rPr>
                  </w:pPr>
                  <w:r>
                    <w:rPr>
                      <w:rFonts w:hint="eastAsia"/>
                      <w:color w:val="auto"/>
                      <w:lang w:val="en-US" w:eastAsia="zh-CN"/>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7400" w:type="dxa"/>
                  <w:gridSpan w:val="3"/>
                  <w:tcBorders>
                    <w:tl2br w:val="nil"/>
                    <w:tr2bl w:val="nil"/>
                  </w:tcBorders>
                  <w:noWrap w:val="0"/>
                  <w:vAlign w:val="center"/>
                </w:tcPr>
                <w:p>
                  <w:pPr>
                    <w:pStyle w:val="15"/>
                    <w:bidi w:val="0"/>
                    <w:rPr>
                      <w:rFonts w:hint="default"/>
                      <w:color w:val="auto"/>
                      <w:lang w:val="en-US" w:eastAsia="zh-CN"/>
                    </w:rPr>
                  </w:pPr>
                  <w:r>
                    <w:rPr>
                      <w:rFonts w:hint="eastAsia"/>
                      <w:color w:val="auto"/>
                      <w:lang w:val="en-US" w:eastAsia="zh-CN"/>
                    </w:rPr>
                    <w:t>合计</w:t>
                  </w:r>
                </w:p>
              </w:tc>
              <w:tc>
                <w:tcPr>
                  <w:tcW w:w="1123" w:type="dxa"/>
                  <w:tcBorders>
                    <w:tl2br w:val="nil"/>
                    <w:tr2bl w:val="nil"/>
                  </w:tcBorders>
                  <w:noWrap w:val="0"/>
                  <w:vAlign w:val="center"/>
                </w:tcPr>
                <w:p>
                  <w:pPr>
                    <w:pStyle w:val="15"/>
                    <w:bidi w:val="0"/>
                    <w:rPr>
                      <w:rFonts w:hint="default"/>
                      <w:color w:val="auto"/>
                      <w:lang w:val="en-US" w:eastAsia="zh-CN"/>
                    </w:rPr>
                  </w:pPr>
                  <w:r>
                    <w:rPr>
                      <w:rFonts w:hint="eastAsia"/>
                      <w:color w:val="auto"/>
                      <w:lang w:val="en-US" w:eastAsia="zh-CN"/>
                    </w:rPr>
                    <w:t>20</w:t>
                  </w:r>
                </w:p>
              </w:tc>
            </w:tr>
          </w:tbl>
          <w:p>
            <w:pPr>
              <w:bidi w:val="0"/>
            </w:pPr>
          </w:p>
          <w:p>
            <w:pPr>
              <w:bidi w:val="0"/>
            </w:pPr>
          </w:p>
          <w:p>
            <w:pPr>
              <w:bidi w:val="0"/>
            </w:pPr>
          </w:p>
          <w:p>
            <w:pPr>
              <w:bidi w:val="0"/>
            </w:pPr>
          </w:p>
        </w:tc>
      </w:tr>
    </w:tbl>
    <w:p>
      <w:pPr>
        <w:rPr>
          <w:rFonts w:hint="default" w:ascii="宋体" w:hAnsi="宋体" w:eastAsia="宋体"/>
          <w:b w:val="0"/>
          <w:bCs w:val="0"/>
          <w:sz w:val="28"/>
          <w:szCs w:val="28"/>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2"/>
        <w:numPr>
          <w:ilvl w:val="0"/>
          <w:numId w:val="16"/>
        </w:numPr>
        <w:bidi w:val="0"/>
        <w:rPr>
          <w:rFonts w:hint="eastAsia"/>
          <w:color w:val="auto"/>
        </w:rPr>
      </w:pPr>
      <w:bookmarkStart w:id="74" w:name="_Toc13136"/>
      <w:bookmarkStart w:id="75" w:name="_Toc17945"/>
      <w:bookmarkStart w:id="76" w:name="_Toc4260"/>
      <w:bookmarkStart w:id="77" w:name="_Toc31268"/>
      <w:bookmarkStart w:id="78" w:name="_Toc26487"/>
      <w:bookmarkStart w:id="79" w:name="_Toc21933"/>
      <w:bookmarkStart w:id="80" w:name="_Toc29575"/>
      <w:bookmarkStart w:id="81" w:name="_Toc10869"/>
      <w:bookmarkStart w:id="82" w:name="_Toc14575"/>
      <w:bookmarkStart w:id="83" w:name="_Toc31000"/>
      <w:bookmarkStart w:id="84" w:name="_Toc3699"/>
      <w:bookmarkStart w:id="85" w:name="_Toc14350"/>
      <w:bookmarkStart w:id="86" w:name="_Toc11396"/>
      <w:bookmarkStart w:id="87" w:name="_Toc32148"/>
      <w:bookmarkStart w:id="88" w:name="_Toc4888"/>
      <w:bookmarkStart w:id="89" w:name="_Toc10140"/>
      <w:bookmarkStart w:id="90" w:name="_Toc9190"/>
      <w:r>
        <w:rPr>
          <w:rFonts w:hint="eastAsia"/>
          <w:color w:val="auto"/>
        </w:rPr>
        <w:t>生态环境保护措施监督检查清单</w:t>
      </w:r>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p>
    <w:tbl>
      <w:tblPr>
        <w:tblStyle w:val="11"/>
        <w:tblW w:w="9282"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196"/>
        <w:gridCol w:w="2538"/>
        <w:gridCol w:w="2576"/>
        <w:gridCol w:w="1704"/>
        <w:gridCol w:w="126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1196" w:type="dxa"/>
            <w:vMerge w:val="restart"/>
            <w:tcBorders>
              <w:tl2br w:val="nil"/>
              <w:tr2bl w:val="nil"/>
            </w:tcBorders>
            <w:noWrap w:val="0"/>
            <w:vAlign w:val="center"/>
            <mc:AlternateContent>
              <mc:Choice Requires="wpsCustomData">
                <wpsCustomData:diagonals>
                  <wpsCustomData:diagonal from="30000" to="10000">
                    <wpsCustomData:border w:val="single" w:color="auto" w:sz="12" w:space="0"/>
                  </wpsCustomData:diagonal>
                </wpsCustomData:diagonals>
              </mc:Choice>
            </mc:AlternateContent>
          </w:tcPr>
          <w:p>
            <w:pPr>
              <w:bidi w:val="0"/>
              <w:snapToGrid w:val="0"/>
              <w:spacing w:line="240" w:lineRule="auto"/>
              <w:ind w:left="0" w:leftChars="0" w:firstLine="0" w:firstLineChars="0"/>
              <w:jc w:val="center"/>
              <w:rPr>
                <w:rFonts w:hint="default" w:ascii="Times New Roman" w:hAnsi="Times New Roman" w:cs="Times New Roman"/>
                <w:b/>
                <w:bCs/>
                <w:color w:val="auto"/>
              </w:rPr>
            </w:pPr>
            <w:bookmarkStart w:id="91" w:name="_Toc9883"/>
          </w:p>
          <w:p>
            <w:pPr>
              <w:bidi w:val="0"/>
              <w:snapToGrid w:val="0"/>
              <w:spacing w:line="240" w:lineRule="auto"/>
              <w:ind w:left="0" w:leftChars="0" w:firstLine="0" w:firstLineChars="0"/>
              <w:jc w:val="center"/>
              <mc:AlternateContent>
                <mc:Choice Requires="wpsCustomData">
                  <wpsCustomData:diagonalParaType/>
                </mc:Choice>
              </mc:AlternateContent>
              <w:rPr>
                <w:rFonts w:hint="default" w:ascii="Times New Roman" w:hAnsi="Times New Roman" w:cs="Times New Roman"/>
                <w:b/>
                <w:bCs/>
                <w:color w:val="auto"/>
              </w:rPr>
            </w:pPr>
            <w:r>
              <w:rPr>
                <w:rFonts w:hint="default" w:ascii="Times New Roman" w:hAnsi="Times New Roman" w:cs="Times New Roman"/>
                <w:b/>
                <w:bCs/>
                <w:color w:val="auto"/>
              </w:rPr>
              <w:t>要素</w:t>
            </w:r>
            <w:bookmarkEnd w:id="91"/>
          </w:p>
          <w:p>
            <w:pPr>
              <w:bidi w:val="0"/>
              <w:ind w:left="0" w:leftChars="0" w:firstLine="0" w:firstLineChars="0"/>
              <w:jc w:val="center"/>
              <w:rPr>
                <w:rFonts w:hint="default" w:ascii="Times New Roman" w:hAnsi="Times New Roman" w:cs="Times New Roman"/>
                <w:b/>
                <w:bCs/>
                <w:color w:val="auto"/>
              </w:rPr>
            </w:pPr>
            <w:bookmarkStart w:id="92" w:name="_Toc16933"/>
            <w:r>
              <w:rPr>
                <w:rFonts w:hint="default" w:ascii="Times New Roman" w:hAnsi="Times New Roman" w:cs="Times New Roman"/>
                <w:b/>
                <w:bCs/>
                <w:color w:val="auto"/>
              </w:rPr>
              <w:t>内容</w:t>
            </w:r>
            <w:bookmarkEnd w:id="92"/>
          </w:p>
        </w:tc>
        <w:tc>
          <w:tcPr>
            <w:tcW w:w="5114" w:type="dxa"/>
            <w:gridSpan w:val="2"/>
            <w:tcBorders>
              <w:tl2br w:val="nil"/>
              <w:tr2bl w:val="nil"/>
            </w:tcBorders>
            <w:noWrap w:val="0"/>
            <w:vAlign w:val="center"/>
          </w:tcPr>
          <w:p>
            <w:pPr>
              <w:bidi w:val="0"/>
              <w:ind w:left="0" w:leftChars="0" w:firstLine="0" w:firstLineChars="0"/>
              <w:jc w:val="center"/>
              <w:rPr>
                <w:rFonts w:hint="default" w:ascii="Times New Roman" w:hAnsi="Times New Roman" w:cs="Times New Roman"/>
                <w:b/>
                <w:bCs/>
                <w:color w:val="auto"/>
              </w:rPr>
            </w:pPr>
            <w:bookmarkStart w:id="93" w:name="_Toc27737"/>
            <w:r>
              <w:rPr>
                <w:rFonts w:hint="default" w:ascii="Times New Roman" w:hAnsi="Times New Roman" w:cs="Times New Roman"/>
                <w:b/>
                <w:bCs/>
                <w:color w:val="auto"/>
              </w:rPr>
              <w:t>施工期</w:t>
            </w:r>
            <w:bookmarkEnd w:id="93"/>
          </w:p>
        </w:tc>
        <w:tc>
          <w:tcPr>
            <w:tcW w:w="2972" w:type="dxa"/>
            <w:gridSpan w:val="2"/>
            <w:tcBorders>
              <w:tl2br w:val="nil"/>
              <w:tr2bl w:val="nil"/>
            </w:tcBorders>
            <w:noWrap w:val="0"/>
            <w:vAlign w:val="center"/>
          </w:tcPr>
          <w:p>
            <w:pPr>
              <w:bidi w:val="0"/>
              <w:ind w:left="0" w:leftChars="0" w:firstLine="0" w:firstLineChars="0"/>
              <w:jc w:val="center"/>
              <w:rPr>
                <w:rFonts w:hint="default" w:ascii="Times New Roman" w:hAnsi="Times New Roman" w:cs="Times New Roman"/>
                <w:b/>
                <w:bCs/>
                <w:color w:val="auto"/>
              </w:rPr>
            </w:pPr>
            <w:bookmarkStart w:id="94" w:name="_Toc2798"/>
            <w:r>
              <w:rPr>
                <w:rFonts w:hint="default" w:ascii="Times New Roman" w:hAnsi="Times New Roman" w:cs="Times New Roman"/>
                <w:b/>
                <w:bCs/>
                <w:color w:val="auto"/>
              </w:rPr>
              <w:t>运营期</w:t>
            </w:r>
            <w:bookmarkEnd w:id="94"/>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1196" w:type="dxa"/>
            <w:vMerge w:val="continue"/>
            <w:tcBorders>
              <w:tl2br w:val="nil"/>
              <w:tr2bl w:val="nil"/>
            </w:tcBorders>
            <w:noWrap w:val="0"/>
            <w:vAlign w:val="center"/>
          </w:tcPr>
          <w:p>
            <w:pPr>
              <w:bidi w:val="0"/>
              <w:jc w:val="center"/>
              <w:rPr>
                <w:rFonts w:hint="default" w:ascii="Times New Roman" w:hAnsi="Times New Roman" w:cs="Times New Roman"/>
                <w:b/>
                <w:bCs/>
                <w:color w:val="auto"/>
              </w:rPr>
            </w:pPr>
          </w:p>
        </w:tc>
        <w:tc>
          <w:tcPr>
            <w:tcW w:w="2538" w:type="dxa"/>
            <w:tcBorders>
              <w:tl2br w:val="nil"/>
              <w:tr2bl w:val="nil"/>
            </w:tcBorders>
            <w:noWrap w:val="0"/>
            <w:vAlign w:val="center"/>
          </w:tcPr>
          <w:p>
            <w:pPr>
              <w:bidi w:val="0"/>
              <w:ind w:left="0" w:leftChars="0" w:firstLine="0" w:firstLineChars="0"/>
              <w:jc w:val="center"/>
              <w:rPr>
                <w:rFonts w:hint="default" w:ascii="Times New Roman" w:hAnsi="Times New Roman" w:cs="Times New Roman"/>
                <w:b/>
                <w:bCs/>
                <w:color w:val="auto"/>
              </w:rPr>
            </w:pPr>
            <w:bookmarkStart w:id="95" w:name="_Toc17458"/>
            <w:r>
              <w:rPr>
                <w:rFonts w:hint="default" w:ascii="Times New Roman" w:hAnsi="Times New Roman" w:cs="Times New Roman"/>
                <w:b/>
                <w:bCs/>
                <w:color w:val="auto"/>
              </w:rPr>
              <w:t>环境保护措施</w:t>
            </w:r>
            <w:bookmarkEnd w:id="95"/>
          </w:p>
        </w:tc>
        <w:tc>
          <w:tcPr>
            <w:tcW w:w="2576" w:type="dxa"/>
            <w:tcBorders>
              <w:tl2br w:val="nil"/>
              <w:tr2bl w:val="nil"/>
            </w:tcBorders>
            <w:noWrap w:val="0"/>
            <w:vAlign w:val="center"/>
          </w:tcPr>
          <w:p>
            <w:pPr>
              <w:bidi w:val="0"/>
              <w:ind w:left="0" w:leftChars="0" w:firstLine="0" w:firstLineChars="0"/>
              <w:jc w:val="center"/>
              <w:rPr>
                <w:rFonts w:hint="default" w:ascii="Times New Roman" w:hAnsi="Times New Roman" w:cs="Times New Roman"/>
                <w:b/>
                <w:bCs/>
                <w:color w:val="auto"/>
              </w:rPr>
            </w:pPr>
            <w:bookmarkStart w:id="96" w:name="_Toc27656"/>
            <w:r>
              <w:rPr>
                <w:rFonts w:hint="default" w:ascii="Times New Roman" w:hAnsi="Times New Roman" w:cs="Times New Roman"/>
                <w:b/>
                <w:bCs/>
                <w:color w:val="auto"/>
              </w:rPr>
              <w:t>验收要求</w:t>
            </w:r>
            <w:bookmarkEnd w:id="96"/>
          </w:p>
        </w:tc>
        <w:tc>
          <w:tcPr>
            <w:tcW w:w="1704" w:type="dxa"/>
            <w:tcBorders>
              <w:tl2br w:val="nil"/>
              <w:tr2bl w:val="nil"/>
            </w:tcBorders>
            <w:noWrap w:val="0"/>
            <w:vAlign w:val="center"/>
          </w:tcPr>
          <w:p>
            <w:pPr>
              <w:bidi w:val="0"/>
              <w:ind w:left="0" w:leftChars="0" w:firstLine="0" w:firstLineChars="0"/>
              <w:jc w:val="center"/>
              <w:rPr>
                <w:rFonts w:hint="default" w:ascii="Times New Roman" w:hAnsi="Times New Roman" w:cs="Times New Roman"/>
                <w:b/>
                <w:bCs/>
                <w:color w:val="auto"/>
              </w:rPr>
            </w:pPr>
            <w:bookmarkStart w:id="97" w:name="_Toc402"/>
            <w:r>
              <w:rPr>
                <w:rFonts w:hint="default" w:ascii="Times New Roman" w:hAnsi="Times New Roman" w:cs="Times New Roman"/>
                <w:b/>
                <w:bCs/>
                <w:color w:val="auto"/>
              </w:rPr>
              <w:t>环境保护措施</w:t>
            </w:r>
            <w:bookmarkEnd w:id="97"/>
          </w:p>
        </w:tc>
        <w:tc>
          <w:tcPr>
            <w:tcW w:w="1268" w:type="dxa"/>
            <w:tcBorders>
              <w:tl2br w:val="nil"/>
              <w:tr2bl w:val="nil"/>
            </w:tcBorders>
            <w:noWrap w:val="0"/>
            <w:vAlign w:val="center"/>
          </w:tcPr>
          <w:p>
            <w:pPr>
              <w:bidi w:val="0"/>
              <w:ind w:left="0" w:leftChars="0" w:firstLine="0" w:firstLineChars="0"/>
              <w:jc w:val="center"/>
              <w:rPr>
                <w:rFonts w:hint="default" w:ascii="Times New Roman" w:hAnsi="Times New Roman" w:cs="Times New Roman"/>
                <w:b/>
                <w:bCs/>
                <w:color w:val="auto"/>
              </w:rPr>
            </w:pPr>
            <w:bookmarkStart w:id="98" w:name="_Toc16897"/>
            <w:r>
              <w:rPr>
                <w:rFonts w:hint="default" w:ascii="Times New Roman" w:hAnsi="Times New Roman" w:cs="Times New Roman"/>
                <w:b/>
                <w:bCs/>
                <w:color w:val="auto"/>
              </w:rPr>
              <w:t>验收要求</w:t>
            </w:r>
            <w:bookmarkEnd w:id="98"/>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880" w:hRule="atLeast"/>
          <w:jc w:val="center"/>
        </w:trPr>
        <w:tc>
          <w:tcPr>
            <w:tcW w:w="1196" w:type="dxa"/>
            <w:tcBorders>
              <w:tl2br w:val="nil"/>
              <w:tr2bl w:val="nil"/>
            </w:tcBorders>
            <w:noWrap w:val="0"/>
            <w:vAlign w:val="center"/>
          </w:tcPr>
          <w:p>
            <w:pPr>
              <w:bidi w:val="0"/>
              <w:spacing w:line="240" w:lineRule="auto"/>
              <w:ind w:left="0" w:leftChars="0" w:firstLine="0" w:firstLineChars="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陆生生态</w:t>
            </w:r>
          </w:p>
        </w:tc>
        <w:tc>
          <w:tcPr>
            <w:tcW w:w="2538" w:type="dxa"/>
            <w:tcBorders>
              <w:tl2br w:val="nil"/>
              <w:tr2bl w:val="nil"/>
            </w:tcBorders>
            <w:noWrap w:val="0"/>
            <w:vAlign w:val="center"/>
          </w:tcPr>
          <w:p>
            <w:pPr>
              <w:bidi w:val="0"/>
              <w:spacing w:line="240" w:lineRule="auto"/>
              <w:ind w:left="0" w:leftChars="0" w:firstLine="0" w:firstLineChars="0"/>
              <w:jc w:val="center"/>
              <w:rPr>
                <w:rFonts w:hint="default" w:ascii="Times New Roman" w:hAnsi="Times New Roman" w:cs="Times New Roman"/>
                <w:color w:val="auto"/>
                <w:sz w:val="24"/>
                <w:szCs w:val="24"/>
                <w:lang w:val="en-US" w:eastAsia="zh-CN"/>
              </w:rPr>
            </w:pPr>
            <w:r>
              <w:rPr>
                <w:rFonts w:hint="default" w:ascii="Times New Roman" w:hAnsi="Times New Roman" w:cs="Times New Roman"/>
                <w:b/>
                <w:bCs/>
                <w:color w:val="auto"/>
                <w:sz w:val="24"/>
                <w:szCs w:val="24"/>
                <w:lang w:val="en-US" w:eastAsia="zh-CN"/>
              </w:rPr>
              <w:t>表土保护</w:t>
            </w:r>
            <w:r>
              <w:rPr>
                <w:rFonts w:hint="default" w:ascii="Times New Roman" w:hAnsi="Times New Roman" w:cs="Times New Roman"/>
                <w:color w:val="auto"/>
                <w:sz w:val="24"/>
                <w:szCs w:val="24"/>
                <w:lang w:val="en-US" w:eastAsia="zh-CN"/>
              </w:rPr>
              <w:t>：做好施工期表土剥离，采取合理堆放和临时覆盖措施，施工结束后，进行施工迹地恢复工作和项目绿化工作。</w:t>
            </w:r>
          </w:p>
          <w:p>
            <w:pPr>
              <w:bidi w:val="0"/>
              <w:spacing w:line="240" w:lineRule="auto"/>
              <w:ind w:left="0" w:leftChars="0" w:firstLine="0" w:firstLineChars="0"/>
              <w:jc w:val="center"/>
              <w:rPr>
                <w:rFonts w:hint="default" w:ascii="Times New Roman" w:hAnsi="Times New Roman" w:cs="Times New Roman"/>
                <w:color w:val="auto"/>
                <w:sz w:val="24"/>
                <w:lang w:eastAsia="zh-CN"/>
              </w:rPr>
            </w:pPr>
            <w:r>
              <w:rPr>
                <w:rFonts w:hint="default" w:ascii="Times New Roman" w:hAnsi="Times New Roman" w:cs="Times New Roman"/>
                <w:b/>
                <w:color w:val="auto"/>
                <w:sz w:val="24"/>
              </w:rPr>
              <w:t>植被保护措施：</w:t>
            </w:r>
            <w:r>
              <w:rPr>
                <w:rFonts w:hint="default" w:ascii="Times New Roman" w:hAnsi="Times New Roman" w:cs="Times New Roman"/>
                <w:color w:val="auto"/>
                <w:sz w:val="24"/>
              </w:rPr>
              <w:t>建设单位应加强施工期管理，对项目周边未开发用地内的植被进行保护，禁止施工人员和车辆进入，防止对周边植物造成影响；在后期绿化过程，应避免引入外来物</w:t>
            </w:r>
            <w:r>
              <w:rPr>
                <w:rFonts w:hint="default" w:ascii="Times New Roman" w:hAnsi="Times New Roman" w:cs="Times New Roman"/>
                <w:color w:val="auto"/>
                <w:spacing w:val="-5"/>
                <w:sz w:val="24"/>
              </w:rPr>
              <w:t>种，防止外来物种入侵</w:t>
            </w:r>
            <w:r>
              <w:rPr>
                <w:rFonts w:hint="default" w:ascii="Times New Roman" w:hAnsi="Times New Roman" w:cs="Times New Roman"/>
                <w:color w:val="auto"/>
                <w:spacing w:val="8"/>
                <w:sz w:val="24"/>
              </w:rPr>
              <w:t>同时应加强对场地植被</w:t>
            </w:r>
            <w:r>
              <w:rPr>
                <w:rFonts w:hint="default" w:ascii="Times New Roman" w:hAnsi="Times New Roman" w:cs="Times New Roman"/>
                <w:color w:val="auto"/>
                <w:sz w:val="24"/>
              </w:rPr>
              <w:t>恢复以及复耕，项目周边生态环境得到很大的改善</w:t>
            </w:r>
            <w:r>
              <w:rPr>
                <w:rFonts w:hint="default" w:ascii="Times New Roman" w:hAnsi="Times New Roman" w:cs="Times New Roman"/>
                <w:color w:val="auto"/>
                <w:sz w:val="24"/>
                <w:lang w:eastAsia="zh-CN"/>
              </w:rPr>
              <w:t>；</w:t>
            </w:r>
          </w:p>
          <w:p>
            <w:pPr>
              <w:bidi w:val="0"/>
              <w:spacing w:line="240" w:lineRule="auto"/>
              <w:ind w:left="0" w:leftChars="0" w:firstLine="0" w:firstLineChars="0"/>
              <w:jc w:val="center"/>
              <w:rPr>
                <w:rFonts w:hint="default" w:ascii="Times New Roman" w:hAnsi="Times New Roman" w:eastAsia="宋体" w:cs="Times New Roman"/>
                <w:color w:val="auto"/>
                <w:sz w:val="24"/>
                <w:lang w:val="en-US" w:eastAsia="zh-CN"/>
              </w:rPr>
            </w:pPr>
            <w:r>
              <w:rPr>
                <w:rFonts w:hint="default" w:ascii="Times New Roman" w:hAnsi="Times New Roman" w:cs="Times New Roman"/>
                <w:b/>
                <w:color w:val="auto"/>
                <w:sz w:val="24"/>
              </w:rPr>
              <w:t>动物保护措施：</w:t>
            </w:r>
            <w:r>
              <w:rPr>
                <w:rFonts w:hint="default" w:ascii="Times New Roman" w:hAnsi="Times New Roman" w:cs="Times New Roman"/>
                <w:color w:val="auto"/>
                <w:sz w:val="24"/>
              </w:rPr>
              <w:t>尽量减</w:t>
            </w:r>
            <w:r>
              <w:rPr>
                <w:rFonts w:hint="default" w:ascii="Times New Roman" w:hAnsi="Times New Roman" w:cs="Times New Roman"/>
                <w:color w:val="auto"/>
                <w:spacing w:val="-4"/>
                <w:sz w:val="24"/>
              </w:rPr>
              <w:t>少人员活动、施工噪音、</w:t>
            </w:r>
            <w:r>
              <w:rPr>
                <w:rFonts w:hint="default" w:ascii="Times New Roman" w:hAnsi="Times New Roman" w:cs="Times New Roman"/>
                <w:color w:val="auto"/>
                <w:spacing w:val="8"/>
                <w:sz w:val="24"/>
              </w:rPr>
              <w:t>灯光等对两栖类、爬行</w:t>
            </w:r>
            <w:r>
              <w:rPr>
                <w:rFonts w:hint="default" w:ascii="Times New Roman" w:hAnsi="Times New Roman" w:cs="Times New Roman"/>
                <w:color w:val="auto"/>
                <w:sz w:val="24"/>
              </w:rPr>
              <w:t>类、哺乳类动物的生活环境有所影响</w:t>
            </w:r>
            <w:r>
              <w:rPr>
                <w:rFonts w:hint="default" w:ascii="Times New Roman" w:hAnsi="Times New Roman" w:cs="Times New Roman"/>
                <w:color w:val="auto"/>
                <w:sz w:val="24"/>
                <w:lang w:eastAsia="zh-CN"/>
              </w:rPr>
              <w:t>。</w:t>
            </w:r>
          </w:p>
        </w:tc>
        <w:tc>
          <w:tcPr>
            <w:tcW w:w="2576" w:type="dxa"/>
            <w:tcBorders>
              <w:tl2br w:val="nil"/>
              <w:tr2bl w:val="nil"/>
            </w:tcBorders>
            <w:noWrap w:val="0"/>
            <w:vAlign w:val="center"/>
          </w:tcPr>
          <w:p>
            <w:pPr>
              <w:bidi w:val="0"/>
              <w:spacing w:line="240" w:lineRule="auto"/>
              <w:ind w:left="0" w:leftChars="0" w:firstLine="0" w:firstLineChars="0"/>
              <w:jc w:val="center"/>
              <w:rPr>
                <w:rFonts w:hint="default" w:ascii="Times New Roman" w:hAnsi="Times New Roman" w:cs="Times New Roman"/>
                <w:color w:val="auto"/>
                <w:sz w:val="24"/>
                <w:szCs w:val="24"/>
                <w:lang w:val="en-US" w:eastAsia="zh-CN"/>
              </w:rPr>
            </w:pPr>
            <w:r>
              <w:rPr>
                <w:rFonts w:hint="default" w:ascii="Times New Roman" w:hAnsi="Times New Roman" w:cs="Times New Roman"/>
                <w:b/>
                <w:bCs/>
                <w:color w:val="auto"/>
                <w:sz w:val="24"/>
                <w:szCs w:val="24"/>
                <w:lang w:val="en-US" w:eastAsia="zh-CN"/>
              </w:rPr>
              <w:t>表土保护验收要求</w:t>
            </w:r>
            <w:r>
              <w:rPr>
                <w:rFonts w:hint="default" w:ascii="Times New Roman" w:hAnsi="Times New Roman" w:cs="Times New Roman"/>
                <w:color w:val="auto"/>
                <w:sz w:val="24"/>
                <w:szCs w:val="24"/>
                <w:lang w:val="en-US" w:eastAsia="zh-CN"/>
              </w:rPr>
              <w:t>：调查施工期表土剥离和临时覆盖措施落实情况，施工迹地（施工工区、</w:t>
            </w:r>
            <w:r>
              <w:rPr>
                <w:rFonts w:hint="default" w:ascii="Times New Roman" w:hAnsi="Times New Roman" w:cs="Times New Roman"/>
                <w:color w:val="auto"/>
                <w:sz w:val="24"/>
                <w:szCs w:val="24"/>
                <w:highlight w:val="none"/>
                <w:lang w:val="en-US" w:eastAsia="zh-CN"/>
              </w:rPr>
              <w:t>临时堆渣场</w:t>
            </w:r>
            <w:r>
              <w:rPr>
                <w:rFonts w:hint="default" w:ascii="Times New Roman" w:hAnsi="Times New Roman" w:cs="Times New Roman"/>
                <w:color w:val="auto"/>
                <w:sz w:val="24"/>
                <w:szCs w:val="24"/>
                <w:lang w:val="en-US" w:eastAsia="zh-CN"/>
              </w:rPr>
              <w:t>等临时占地）绿化恢复措施、水土保持措施，主体工程是否按设计落实绿化措施。</w:t>
            </w:r>
          </w:p>
          <w:p>
            <w:pPr>
              <w:bidi w:val="0"/>
              <w:spacing w:line="240" w:lineRule="auto"/>
              <w:ind w:left="0" w:leftChars="0" w:firstLine="0" w:firstLineChars="0"/>
              <w:jc w:val="center"/>
              <w:rPr>
                <w:rFonts w:hint="default" w:ascii="Times New Roman" w:hAnsi="Times New Roman" w:cs="Times New Roman"/>
                <w:color w:val="auto"/>
                <w:sz w:val="24"/>
              </w:rPr>
            </w:pPr>
            <w:r>
              <w:rPr>
                <w:rFonts w:hint="default" w:ascii="Times New Roman" w:hAnsi="Times New Roman" w:cs="Times New Roman"/>
                <w:b/>
                <w:color w:val="auto"/>
                <w:sz w:val="24"/>
              </w:rPr>
              <w:t>植被保护</w:t>
            </w:r>
            <w:r>
              <w:rPr>
                <w:rFonts w:hint="default" w:ascii="Times New Roman" w:hAnsi="Times New Roman" w:cs="Times New Roman"/>
                <w:b/>
                <w:color w:val="auto"/>
                <w:sz w:val="24"/>
                <w:lang w:val="en-US" w:eastAsia="zh-CN"/>
              </w:rPr>
              <w:t>验收要求：</w:t>
            </w:r>
            <w:r>
              <w:rPr>
                <w:rFonts w:hint="default" w:ascii="Times New Roman" w:hAnsi="Times New Roman" w:cs="Times New Roman"/>
                <w:b w:val="0"/>
                <w:bCs/>
                <w:color w:val="auto"/>
                <w:sz w:val="24"/>
                <w:lang w:val="en-US" w:eastAsia="zh-CN"/>
              </w:rPr>
              <w:t>工程</w:t>
            </w:r>
            <w:r>
              <w:rPr>
                <w:rFonts w:hint="default" w:ascii="Times New Roman" w:hAnsi="Times New Roman" w:cs="Times New Roman"/>
                <w:color w:val="auto"/>
                <w:sz w:val="24"/>
              </w:rPr>
              <w:t>区</w:t>
            </w:r>
            <w:r>
              <w:rPr>
                <w:rFonts w:hint="default" w:ascii="Times New Roman" w:hAnsi="Times New Roman" w:cs="Times New Roman"/>
                <w:color w:val="auto"/>
                <w:sz w:val="24"/>
                <w:lang w:val="en-US" w:eastAsia="zh-CN"/>
              </w:rPr>
              <w:t>两侧</w:t>
            </w:r>
            <w:r>
              <w:rPr>
                <w:rFonts w:hint="default" w:ascii="Times New Roman" w:hAnsi="Times New Roman" w:cs="Times New Roman"/>
                <w:color w:val="auto"/>
                <w:sz w:val="24"/>
              </w:rPr>
              <w:t>侧原有植被如遭到施工破坏的，在施工结束后应采取绿化恢复，恢复物种应选择本地原有物种，避免外来物种入侵。</w:t>
            </w:r>
          </w:p>
          <w:p>
            <w:pPr>
              <w:bidi w:val="0"/>
              <w:spacing w:line="240" w:lineRule="auto"/>
              <w:ind w:left="0" w:leftChars="0" w:firstLine="0" w:firstLineChars="0"/>
              <w:jc w:val="center"/>
              <w:rPr>
                <w:rFonts w:hint="default" w:ascii="Times New Roman" w:hAnsi="Times New Roman" w:eastAsia="宋体" w:cs="Times New Roman"/>
                <w:color w:val="auto"/>
                <w:sz w:val="24"/>
                <w:lang w:val="en-US" w:eastAsia="zh-CN"/>
              </w:rPr>
            </w:pPr>
            <w:r>
              <w:rPr>
                <w:rFonts w:hint="default" w:ascii="Times New Roman" w:hAnsi="Times New Roman" w:cs="Times New Roman"/>
                <w:b/>
                <w:bCs/>
                <w:color w:val="auto"/>
                <w:sz w:val="24"/>
                <w:lang w:val="en-US" w:eastAsia="zh-CN"/>
              </w:rPr>
              <w:t>动物保护验收要求</w:t>
            </w:r>
            <w:r>
              <w:rPr>
                <w:rFonts w:hint="default" w:ascii="Times New Roman" w:hAnsi="Times New Roman" w:cs="Times New Roman"/>
                <w:color w:val="auto"/>
                <w:sz w:val="24"/>
                <w:lang w:val="en-US" w:eastAsia="zh-CN"/>
              </w:rPr>
              <w:t>：调查</w:t>
            </w:r>
            <w:r>
              <w:rPr>
                <w:rFonts w:hint="default" w:ascii="Times New Roman" w:hAnsi="Times New Roman" w:cs="Times New Roman"/>
                <w:color w:val="auto"/>
                <w:sz w:val="24"/>
              </w:rPr>
              <w:t>施工期间是否导致本地两栖类、爬行类等动物死亡或</w:t>
            </w:r>
            <w:r>
              <w:rPr>
                <w:rFonts w:hint="default" w:ascii="Times New Roman" w:hAnsi="Times New Roman" w:cs="Times New Roman"/>
                <w:color w:val="auto"/>
                <w:spacing w:val="-11"/>
                <w:sz w:val="24"/>
              </w:rPr>
              <w:t>迁徙。施工结束后，施工区</w:t>
            </w:r>
            <w:r>
              <w:rPr>
                <w:rFonts w:hint="default" w:ascii="Times New Roman" w:hAnsi="Times New Roman" w:cs="Times New Roman"/>
                <w:color w:val="auto"/>
                <w:spacing w:val="10"/>
                <w:sz w:val="24"/>
              </w:rPr>
              <w:t>周边现有自然生境得到</w:t>
            </w:r>
            <w:r>
              <w:rPr>
                <w:rFonts w:hint="default" w:ascii="Times New Roman" w:hAnsi="Times New Roman" w:cs="Times New Roman"/>
                <w:color w:val="auto"/>
                <w:spacing w:val="10"/>
                <w:sz w:val="24"/>
                <w:lang w:val="en-US" w:eastAsia="zh-CN"/>
              </w:rPr>
              <w:t>恢复。</w:t>
            </w:r>
          </w:p>
        </w:tc>
        <w:tc>
          <w:tcPr>
            <w:tcW w:w="1704" w:type="dxa"/>
            <w:tcBorders>
              <w:tl2br w:val="nil"/>
              <w:tr2bl w:val="nil"/>
            </w:tcBorders>
            <w:noWrap w:val="0"/>
            <w:vAlign w:val="center"/>
          </w:tcPr>
          <w:p>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沿线植被恢复、景观绿化。</w:t>
            </w:r>
          </w:p>
        </w:tc>
        <w:tc>
          <w:tcPr>
            <w:tcW w:w="1268" w:type="dxa"/>
            <w:tcBorders>
              <w:tl2br w:val="nil"/>
              <w:tr2bl w:val="nil"/>
            </w:tcBorders>
            <w:noWrap w:val="0"/>
            <w:vAlign w:val="center"/>
          </w:tcPr>
          <w:p>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196" w:type="dxa"/>
            <w:tcBorders>
              <w:tl2br w:val="nil"/>
              <w:tr2bl w:val="nil"/>
            </w:tcBorders>
            <w:noWrap w:val="0"/>
            <w:vAlign w:val="center"/>
          </w:tcPr>
          <w:p>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水生生态</w:t>
            </w:r>
          </w:p>
        </w:tc>
        <w:tc>
          <w:tcPr>
            <w:tcW w:w="253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按照施工导流方案，在枯水期进行围堰施工，施工结束后，对围堰进行拆除，</w:t>
            </w:r>
            <w:r>
              <w:rPr>
                <w:rFonts w:hint="default" w:ascii="Times New Roman" w:hAnsi="Times New Roman" w:cs="Times New Roman"/>
                <w:color w:val="auto"/>
                <w:highlight w:val="none"/>
              </w:rPr>
              <w:t>拆除</w:t>
            </w:r>
            <w:r>
              <w:rPr>
                <w:rFonts w:hint="default" w:ascii="Times New Roman" w:hAnsi="Times New Roman" w:cs="Times New Roman"/>
                <w:color w:val="auto"/>
                <w:highlight w:val="none"/>
                <w:lang w:val="en-US" w:eastAsia="zh-CN"/>
              </w:rPr>
              <w:t>后用于堤防填筑</w:t>
            </w:r>
            <w:r>
              <w:rPr>
                <w:rFonts w:hint="default" w:ascii="Times New Roman" w:hAnsi="Times New Roman" w:cs="Times New Roman"/>
                <w:color w:val="auto"/>
                <w:highlight w:val="none"/>
              </w:rPr>
              <w:t>，</w:t>
            </w:r>
            <w:r>
              <w:rPr>
                <w:rFonts w:hint="default" w:ascii="Times New Roman" w:hAnsi="Times New Roman" w:cs="Times New Roman"/>
                <w:color w:val="auto"/>
              </w:rPr>
              <w:t>不得抛弃至</w:t>
            </w:r>
            <w:r>
              <w:rPr>
                <w:rFonts w:hint="default" w:ascii="Times New Roman" w:hAnsi="Times New Roman" w:cs="Times New Roman"/>
                <w:color w:val="auto"/>
                <w:lang w:val="en-US" w:eastAsia="zh-CN"/>
              </w:rPr>
              <w:t>胡家河</w:t>
            </w:r>
            <w:r>
              <w:rPr>
                <w:rFonts w:hint="default" w:ascii="Times New Roman" w:hAnsi="Times New Roman" w:cs="Times New Roman"/>
                <w:color w:val="auto"/>
              </w:rPr>
              <w:t>内</w:t>
            </w:r>
            <w:r>
              <w:rPr>
                <w:rFonts w:hint="default" w:ascii="Times New Roman" w:hAnsi="Times New Roman" w:eastAsia="宋体" w:cs="Times New Roman"/>
                <w:color w:val="auto"/>
                <w:sz w:val="24"/>
                <w:szCs w:val="24"/>
                <w:lang w:val="en-US" w:eastAsia="zh-CN"/>
              </w:rPr>
              <w:t>。</w:t>
            </w:r>
          </w:p>
        </w:tc>
        <w:tc>
          <w:tcPr>
            <w:tcW w:w="257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检查施工现场河道是否遗留围堰，防洪堤沿岸是否有遗留土石方未清运。</w:t>
            </w:r>
          </w:p>
        </w:tc>
        <w:tc>
          <w:tcPr>
            <w:tcW w:w="1704" w:type="dxa"/>
            <w:tcBorders>
              <w:tl2br w:val="nil"/>
              <w:tr2bl w:val="nil"/>
            </w:tcBorders>
            <w:noWrap w:val="0"/>
            <w:vAlign w:val="center"/>
          </w:tcPr>
          <w:p>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w:t>
            </w:r>
          </w:p>
        </w:tc>
        <w:tc>
          <w:tcPr>
            <w:tcW w:w="1268" w:type="dxa"/>
            <w:tcBorders>
              <w:tl2br w:val="nil"/>
              <w:tr2bl w:val="nil"/>
            </w:tcBorders>
            <w:noWrap w:val="0"/>
            <w:vAlign w:val="center"/>
          </w:tcPr>
          <w:p>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196" w:type="dxa"/>
            <w:tcBorders>
              <w:tl2br w:val="nil"/>
              <w:tr2bl w:val="nil"/>
            </w:tcBorders>
            <w:noWrap w:val="0"/>
            <w:vAlign w:val="center"/>
          </w:tcPr>
          <w:p>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地表水环境</w:t>
            </w:r>
          </w:p>
        </w:tc>
        <w:tc>
          <w:tcPr>
            <w:tcW w:w="253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b/>
                <w:bCs/>
                <w:color w:val="auto"/>
                <w:sz w:val="24"/>
                <w:szCs w:val="24"/>
              </w:rPr>
              <w:t>施工废水</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经隔油池、沉淀处理后回用，不外排</w:t>
            </w:r>
            <w:r>
              <w:rPr>
                <w:rFonts w:hint="default" w:ascii="Times New Roman" w:hAnsi="Times New Roman" w:eastAsia="宋体" w:cs="Times New Roman"/>
                <w:color w:val="auto"/>
                <w:sz w:val="24"/>
                <w:szCs w:val="24"/>
                <w:lang w:eastAsia="zh-CN"/>
              </w:rPr>
              <w:t>；</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b/>
                <w:bCs/>
                <w:color w:val="auto"/>
                <w:sz w:val="24"/>
                <w:szCs w:val="24"/>
                <w:lang w:val="en-US" w:eastAsia="zh-CN"/>
              </w:rPr>
              <w:t>生活污水</w:t>
            </w:r>
            <w:r>
              <w:rPr>
                <w:rFonts w:hint="default" w:ascii="Times New Roman" w:hAnsi="Times New Roman" w:eastAsia="宋体" w:cs="Times New Roman"/>
                <w:color w:val="auto"/>
                <w:sz w:val="24"/>
                <w:szCs w:val="24"/>
                <w:lang w:val="en-US" w:eastAsia="zh-CN"/>
              </w:rPr>
              <w:t>：依托租赁场镇民房既有生活设施处理后，进入市政污水管网；</w:t>
            </w:r>
          </w:p>
        </w:tc>
        <w:tc>
          <w:tcPr>
            <w:tcW w:w="2576" w:type="dxa"/>
            <w:tcBorders>
              <w:tl2br w:val="nil"/>
              <w:tr2bl w:val="nil"/>
            </w:tcBorders>
            <w:noWrap w:val="0"/>
            <w:vAlign w:val="center"/>
          </w:tcPr>
          <w:p>
            <w:pPr>
              <w:spacing w:line="242" w:lineRule="auto"/>
              <w:ind w:left="0" w:right="-29" w:firstLine="0" w:firstLineChars="0"/>
              <w:rPr>
                <w:rFonts w:hint="default" w:ascii="Times New Roman" w:hAnsi="Times New Roman" w:eastAsia="宋体" w:cs="Times New Roman"/>
                <w:color w:val="auto"/>
                <w:sz w:val="24"/>
                <w:szCs w:val="24"/>
                <w:lang w:val="en-US" w:eastAsia="zh-CN"/>
              </w:rPr>
            </w:pPr>
            <w:r>
              <w:rPr>
                <w:rFonts w:hint="default" w:ascii="Times New Roman" w:hAnsi="Times New Roman" w:cs="Times New Roman"/>
                <w:color w:val="auto"/>
                <w:spacing w:val="-10"/>
                <w:sz w:val="24"/>
              </w:rPr>
              <w:t>施工结束后，在</w:t>
            </w:r>
            <w:r>
              <w:rPr>
                <w:rFonts w:hint="default" w:ascii="Times New Roman" w:hAnsi="Times New Roman" w:cs="Times New Roman"/>
                <w:color w:val="auto"/>
                <w:spacing w:val="-10"/>
                <w:sz w:val="24"/>
                <w:lang w:val="en-US" w:eastAsia="zh-CN"/>
              </w:rPr>
              <w:t>治理河段起点上</w:t>
            </w:r>
            <w:r>
              <w:rPr>
                <w:rFonts w:hint="default" w:ascii="Times New Roman" w:hAnsi="Times New Roman" w:cs="Times New Roman"/>
                <w:color w:val="auto"/>
                <w:spacing w:val="-24"/>
                <w:sz w:val="24"/>
              </w:rPr>
              <w:t>游</w:t>
            </w:r>
            <w:r>
              <w:rPr>
                <w:rFonts w:hint="default" w:ascii="Times New Roman" w:hAnsi="Times New Roman" w:eastAsia="Times New Roman" w:cs="Times New Roman"/>
                <w:color w:val="auto"/>
                <w:sz w:val="24"/>
              </w:rPr>
              <w:t>500m</w:t>
            </w:r>
            <w:r>
              <w:rPr>
                <w:rFonts w:hint="default" w:ascii="Times New Roman" w:hAnsi="Times New Roman" w:cs="Times New Roman"/>
                <w:color w:val="auto"/>
                <w:spacing w:val="-2"/>
                <w:sz w:val="24"/>
              </w:rPr>
              <w:t>及下</w:t>
            </w:r>
            <w:r>
              <w:rPr>
                <w:rFonts w:hint="default" w:ascii="Times New Roman" w:hAnsi="Times New Roman" w:cs="Times New Roman"/>
                <w:color w:val="auto"/>
                <w:spacing w:val="-33"/>
                <w:sz w:val="24"/>
              </w:rPr>
              <w:t>游</w:t>
            </w:r>
            <w:r>
              <w:rPr>
                <w:rFonts w:hint="default" w:ascii="Times New Roman" w:hAnsi="Times New Roman" w:eastAsia="Times New Roman" w:cs="Times New Roman"/>
                <w:color w:val="auto"/>
                <w:sz w:val="24"/>
              </w:rPr>
              <w:t>500</w:t>
            </w:r>
            <w:r>
              <w:rPr>
                <w:rFonts w:hint="default" w:ascii="Times New Roman" w:hAnsi="Times New Roman" w:cs="Times New Roman"/>
                <w:color w:val="auto"/>
                <w:spacing w:val="-33"/>
                <w:sz w:val="24"/>
                <w:lang w:val="en-US" w:eastAsia="zh-CN"/>
              </w:rPr>
              <w:t>m</w:t>
            </w:r>
            <w:r>
              <w:rPr>
                <w:rFonts w:hint="default" w:ascii="Times New Roman" w:hAnsi="Times New Roman" w:cs="Times New Roman"/>
                <w:color w:val="auto"/>
                <w:spacing w:val="-3"/>
                <w:sz w:val="24"/>
              </w:rPr>
              <w:t>处设置水质采样断</w:t>
            </w:r>
            <w:r>
              <w:rPr>
                <w:rFonts w:hint="default" w:ascii="Times New Roman" w:hAnsi="Times New Roman" w:cs="Times New Roman"/>
                <w:color w:val="auto"/>
                <w:spacing w:val="-11"/>
                <w:sz w:val="24"/>
              </w:rPr>
              <w:t>面，监测与本项目施工相关</w:t>
            </w:r>
            <w:r>
              <w:rPr>
                <w:rFonts w:hint="default" w:ascii="Times New Roman" w:hAnsi="Times New Roman" w:cs="Times New Roman"/>
                <w:color w:val="auto"/>
                <w:spacing w:val="-30"/>
                <w:sz w:val="24"/>
              </w:rPr>
              <w:t xml:space="preserve">的 </w:t>
            </w:r>
            <w:r>
              <w:rPr>
                <w:rFonts w:hint="default" w:ascii="Times New Roman" w:hAnsi="Times New Roman" w:eastAsia="Times New Roman" w:cs="Times New Roman"/>
                <w:color w:val="auto"/>
                <w:sz w:val="24"/>
              </w:rPr>
              <w:t>pH</w:t>
            </w:r>
            <w:r>
              <w:rPr>
                <w:rFonts w:hint="default" w:ascii="Times New Roman" w:hAnsi="Times New Roman" w:cs="Times New Roman"/>
                <w:color w:val="auto"/>
                <w:spacing w:val="-39"/>
                <w:sz w:val="24"/>
              </w:rPr>
              <w:t>、</w:t>
            </w:r>
            <w:r>
              <w:rPr>
                <w:rFonts w:hint="default" w:ascii="Times New Roman" w:hAnsi="Times New Roman" w:eastAsia="Times New Roman" w:cs="Times New Roman"/>
                <w:color w:val="auto"/>
                <w:sz w:val="24"/>
              </w:rPr>
              <w:t>COD</w:t>
            </w:r>
            <w:r>
              <w:rPr>
                <w:rFonts w:hint="default" w:ascii="Times New Roman" w:hAnsi="Times New Roman" w:cs="Times New Roman"/>
                <w:color w:val="auto"/>
                <w:spacing w:val="-17"/>
                <w:sz w:val="24"/>
              </w:rPr>
              <w:t>、石油类、</w:t>
            </w:r>
            <w:r>
              <w:rPr>
                <w:rFonts w:hint="default" w:ascii="Times New Roman" w:hAnsi="Times New Roman" w:eastAsia="Times New Roman" w:cs="Times New Roman"/>
                <w:color w:val="auto"/>
                <w:sz w:val="24"/>
              </w:rPr>
              <w:t>SS</w:t>
            </w:r>
            <w:r>
              <w:rPr>
                <w:rFonts w:hint="default" w:ascii="Times New Roman" w:hAnsi="Times New Roman" w:cs="Times New Roman"/>
                <w:color w:val="auto"/>
                <w:spacing w:val="-10"/>
                <w:sz w:val="24"/>
              </w:rPr>
              <w:t>监测断面水质应满足</w:t>
            </w:r>
            <w:r>
              <w:rPr>
                <w:rFonts w:hint="default" w:ascii="Times New Roman" w:hAnsi="Times New Roman" w:cs="Times New Roman"/>
                <w:color w:val="auto"/>
                <w:spacing w:val="-10"/>
                <w:sz w:val="24"/>
                <w:lang w:eastAsia="zh-CN"/>
              </w:rPr>
              <w:t>《</w:t>
            </w:r>
            <w:r>
              <w:rPr>
                <w:rFonts w:hint="default" w:ascii="Times New Roman" w:hAnsi="Times New Roman" w:cs="Times New Roman"/>
                <w:color w:val="auto"/>
                <w:spacing w:val="-10"/>
                <w:sz w:val="24"/>
                <w:lang w:val="en-US" w:eastAsia="zh-CN"/>
              </w:rPr>
              <w:t>地表水环境质量标准》（GB3838-20）中</w:t>
            </w:r>
            <w:r>
              <w:rPr>
                <w:rFonts w:hint="default" w:ascii="Times New Roman" w:hAnsi="Times New Roman" w:cs="Times New Roman"/>
                <w:lang w:eastAsia="zh-CN"/>
              </w:rPr>
              <w:t>Ⅲ</w:t>
            </w:r>
            <w:r>
              <w:rPr>
                <w:rFonts w:hint="default" w:ascii="Times New Roman" w:hAnsi="Times New Roman" w:eastAsia="宋体" w:cs="Times New Roman"/>
                <w:color w:val="auto"/>
                <w:sz w:val="24"/>
                <w:lang w:val="en-US" w:eastAsia="zh-CN"/>
              </w:rPr>
              <w:t>水质标准。</w:t>
            </w:r>
          </w:p>
        </w:tc>
        <w:tc>
          <w:tcPr>
            <w:tcW w:w="1704" w:type="dxa"/>
            <w:tcBorders>
              <w:tl2br w:val="nil"/>
              <w:tr2bl w:val="nil"/>
            </w:tcBorders>
            <w:noWrap w:val="0"/>
            <w:vAlign w:val="center"/>
          </w:tcPr>
          <w:p>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w:t>
            </w:r>
          </w:p>
        </w:tc>
        <w:tc>
          <w:tcPr>
            <w:tcW w:w="1268" w:type="dxa"/>
            <w:tcBorders>
              <w:tl2br w:val="nil"/>
              <w:tr2bl w:val="nil"/>
            </w:tcBorders>
            <w:noWrap w:val="0"/>
            <w:vAlign w:val="center"/>
          </w:tcPr>
          <w:p>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196" w:type="dxa"/>
            <w:tcBorders>
              <w:tl2br w:val="nil"/>
              <w:tr2bl w:val="nil"/>
            </w:tcBorders>
            <w:noWrap w:val="0"/>
            <w:vAlign w:val="center"/>
          </w:tcPr>
          <w:p>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地下水及土壤环境</w:t>
            </w:r>
          </w:p>
        </w:tc>
        <w:tc>
          <w:tcPr>
            <w:tcW w:w="2538" w:type="dxa"/>
            <w:tcBorders>
              <w:tl2br w:val="nil"/>
              <w:tr2bl w:val="nil"/>
            </w:tcBorders>
            <w:noWrap w:val="0"/>
            <w:vAlign w:val="center"/>
          </w:tcPr>
          <w:p>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w:t>
            </w:r>
          </w:p>
        </w:tc>
        <w:tc>
          <w:tcPr>
            <w:tcW w:w="2576" w:type="dxa"/>
            <w:tcBorders>
              <w:tl2br w:val="nil"/>
              <w:tr2bl w:val="nil"/>
            </w:tcBorders>
            <w:noWrap w:val="0"/>
            <w:vAlign w:val="center"/>
          </w:tcPr>
          <w:p>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w:t>
            </w:r>
          </w:p>
        </w:tc>
        <w:tc>
          <w:tcPr>
            <w:tcW w:w="1704" w:type="dxa"/>
            <w:tcBorders>
              <w:tl2br w:val="nil"/>
              <w:tr2bl w:val="nil"/>
            </w:tcBorders>
            <w:noWrap w:val="0"/>
            <w:vAlign w:val="center"/>
          </w:tcPr>
          <w:p>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w:t>
            </w:r>
          </w:p>
        </w:tc>
        <w:tc>
          <w:tcPr>
            <w:tcW w:w="1268" w:type="dxa"/>
            <w:tcBorders>
              <w:tl2br w:val="nil"/>
              <w:tr2bl w:val="nil"/>
            </w:tcBorders>
            <w:noWrap w:val="0"/>
            <w:vAlign w:val="center"/>
          </w:tcPr>
          <w:p>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196" w:type="dxa"/>
            <w:tcBorders>
              <w:tl2br w:val="nil"/>
              <w:tr2bl w:val="nil"/>
            </w:tcBorders>
            <w:noWrap w:val="0"/>
            <w:vAlign w:val="center"/>
          </w:tcPr>
          <w:p>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声环境</w:t>
            </w:r>
          </w:p>
        </w:tc>
        <w:tc>
          <w:tcPr>
            <w:tcW w:w="253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隔声降噪、合理布置、加强管理施，工机械定期保养、维护</w:t>
            </w:r>
          </w:p>
        </w:tc>
        <w:tc>
          <w:tcPr>
            <w:tcW w:w="2576" w:type="dxa"/>
            <w:tcBorders>
              <w:tl2br w:val="nil"/>
              <w:tr2bl w:val="nil"/>
            </w:tcBorders>
            <w:noWrap w:val="0"/>
            <w:vAlign w:val="center"/>
          </w:tcPr>
          <w:p>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调查施工期隔声设施落实情况，或走访沿线住户、环保部门调查有无施工期噪声投诉情况。</w:t>
            </w:r>
          </w:p>
        </w:tc>
        <w:tc>
          <w:tcPr>
            <w:tcW w:w="1704" w:type="dxa"/>
            <w:tcBorders>
              <w:tl2br w:val="nil"/>
              <w:tr2bl w:val="nil"/>
            </w:tcBorders>
            <w:noWrap w:val="0"/>
            <w:vAlign w:val="center"/>
          </w:tcPr>
          <w:p>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w:t>
            </w:r>
          </w:p>
        </w:tc>
        <w:tc>
          <w:tcPr>
            <w:tcW w:w="1268" w:type="dxa"/>
            <w:tcBorders>
              <w:tl2br w:val="nil"/>
              <w:tr2bl w:val="nil"/>
            </w:tcBorders>
            <w:noWrap w:val="0"/>
            <w:vAlign w:val="center"/>
          </w:tcPr>
          <w:p>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196" w:type="dxa"/>
            <w:tcBorders>
              <w:tl2br w:val="nil"/>
              <w:tr2bl w:val="nil"/>
            </w:tcBorders>
            <w:noWrap w:val="0"/>
            <w:vAlign w:val="center"/>
          </w:tcPr>
          <w:p>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振动</w:t>
            </w:r>
          </w:p>
        </w:tc>
        <w:tc>
          <w:tcPr>
            <w:tcW w:w="2538" w:type="dxa"/>
            <w:tcBorders>
              <w:tl2br w:val="nil"/>
              <w:tr2bl w:val="nil"/>
            </w:tcBorders>
            <w:noWrap w:val="0"/>
            <w:vAlign w:val="center"/>
          </w:tcPr>
          <w:p>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w:t>
            </w:r>
          </w:p>
        </w:tc>
        <w:tc>
          <w:tcPr>
            <w:tcW w:w="2576" w:type="dxa"/>
            <w:tcBorders>
              <w:tl2br w:val="nil"/>
              <w:tr2bl w:val="nil"/>
            </w:tcBorders>
            <w:noWrap w:val="0"/>
            <w:vAlign w:val="center"/>
          </w:tcPr>
          <w:p>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w:t>
            </w:r>
          </w:p>
        </w:tc>
        <w:tc>
          <w:tcPr>
            <w:tcW w:w="1704" w:type="dxa"/>
            <w:tcBorders>
              <w:tl2br w:val="nil"/>
              <w:tr2bl w:val="nil"/>
            </w:tcBorders>
            <w:noWrap w:val="0"/>
            <w:vAlign w:val="center"/>
          </w:tcPr>
          <w:p>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w:t>
            </w:r>
          </w:p>
        </w:tc>
        <w:tc>
          <w:tcPr>
            <w:tcW w:w="1268" w:type="dxa"/>
            <w:tcBorders>
              <w:tl2br w:val="nil"/>
              <w:tr2bl w:val="nil"/>
            </w:tcBorders>
            <w:noWrap w:val="0"/>
            <w:vAlign w:val="center"/>
          </w:tcPr>
          <w:p>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196" w:type="dxa"/>
            <w:tcBorders>
              <w:tl2br w:val="nil"/>
              <w:tr2bl w:val="nil"/>
            </w:tcBorders>
            <w:noWrap w:val="0"/>
            <w:vAlign w:val="center"/>
          </w:tcPr>
          <w:p>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大气环境</w:t>
            </w:r>
          </w:p>
        </w:tc>
        <w:tc>
          <w:tcPr>
            <w:tcW w:w="2538" w:type="dxa"/>
            <w:tcBorders>
              <w:tl2br w:val="nil"/>
              <w:tr2bl w:val="nil"/>
            </w:tcBorders>
            <w:noWrap w:val="0"/>
            <w:vAlign w:val="center"/>
          </w:tcPr>
          <w:p>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施工扬尘防治，定时现场洒水降尘、车辆运输时覆盖帆布、裸露土地采取密目网遮盖、进出施工场地车胎清洗，加强施工区域管理，加强施工机械保养维护；采用优质、污染小的燃油等。</w:t>
            </w:r>
          </w:p>
        </w:tc>
        <w:tc>
          <w:tcPr>
            <w:tcW w:w="2576" w:type="dxa"/>
            <w:tcBorders>
              <w:tl2br w:val="nil"/>
              <w:tr2bl w:val="nil"/>
            </w:tcBorders>
            <w:noWrap w:val="0"/>
            <w:vAlign w:val="center"/>
          </w:tcPr>
          <w:p>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调查施工期废气落实情况，或走访沿线住户、环保部门调查有无施工期扬尘投诉情况。</w:t>
            </w:r>
          </w:p>
        </w:tc>
        <w:tc>
          <w:tcPr>
            <w:tcW w:w="1704" w:type="dxa"/>
            <w:tcBorders>
              <w:tl2br w:val="nil"/>
              <w:tr2bl w:val="nil"/>
            </w:tcBorders>
            <w:noWrap w:val="0"/>
            <w:vAlign w:val="center"/>
          </w:tcPr>
          <w:p>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w:t>
            </w:r>
          </w:p>
        </w:tc>
        <w:tc>
          <w:tcPr>
            <w:tcW w:w="1268" w:type="dxa"/>
            <w:tcBorders>
              <w:tl2br w:val="nil"/>
              <w:tr2bl w:val="nil"/>
            </w:tcBorders>
            <w:noWrap w:val="0"/>
            <w:vAlign w:val="center"/>
          </w:tcPr>
          <w:p>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196" w:type="dxa"/>
            <w:tcBorders>
              <w:tl2br w:val="nil"/>
              <w:tr2bl w:val="nil"/>
            </w:tcBorders>
            <w:noWrap w:val="0"/>
            <w:vAlign w:val="center"/>
          </w:tcPr>
          <w:p>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固体废物</w:t>
            </w:r>
          </w:p>
        </w:tc>
        <w:tc>
          <w:tcPr>
            <w:tcW w:w="2538" w:type="dxa"/>
            <w:tcBorders>
              <w:tl2br w:val="nil"/>
              <w:tr2bl w:val="nil"/>
            </w:tcBorders>
            <w:noWrap w:val="0"/>
            <w:vAlign w:val="center"/>
          </w:tcPr>
          <w:p>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b/>
                <w:bCs/>
                <w:color w:val="auto"/>
                <w:sz w:val="24"/>
                <w:szCs w:val="24"/>
                <w:lang w:val="en-US" w:eastAsia="zh-CN"/>
              </w:rPr>
              <w:t>生活垃圾</w:t>
            </w:r>
            <w:r>
              <w:rPr>
                <w:rFonts w:hint="default" w:ascii="Times New Roman" w:hAnsi="Times New Roman" w:eastAsia="宋体" w:cs="Times New Roman"/>
                <w:color w:val="auto"/>
                <w:sz w:val="24"/>
                <w:szCs w:val="24"/>
                <w:lang w:val="en-US" w:eastAsia="zh-CN"/>
              </w:rPr>
              <w:t>：经袋装收集，由环卫部门统一运送到垃圾处理场集中处理；</w:t>
            </w:r>
          </w:p>
          <w:p>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b/>
                <w:bCs/>
                <w:color w:val="auto"/>
                <w:sz w:val="24"/>
                <w:szCs w:val="24"/>
                <w:lang w:val="en-US" w:eastAsia="zh-CN"/>
              </w:rPr>
              <w:t>建筑垃圾：</w:t>
            </w:r>
            <w:r>
              <w:rPr>
                <w:rFonts w:hint="default" w:ascii="Times New Roman" w:hAnsi="Times New Roman" w:eastAsia="宋体" w:cs="Times New Roman"/>
                <w:color w:val="auto"/>
                <w:sz w:val="24"/>
                <w:szCs w:val="24"/>
                <w:lang w:val="en-US" w:eastAsia="zh-CN"/>
              </w:rPr>
              <w:t>可回收部分交废物收购站处理；不能回收部分及时清运到政府部门指定建筑垃圾堆放场。</w:t>
            </w:r>
          </w:p>
          <w:p>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b/>
                <w:bCs/>
                <w:color w:val="auto"/>
                <w:sz w:val="24"/>
                <w:szCs w:val="24"/>
                <w:lang w:val="en-US" w:eastAsia="zh-CN"/>
              </w:rPr>
              <w:t>土石方</w:t>
            </w:r>
            <w:r>
              <w:rPr>
                <w:rFonts w:hint="default" w:ascii="Times New Roman" w:hAnsi="Times New Roman" w:eastAsia="宋体" w:cs="Times New Roman"/>
                <w:color w:val="auto"/>
                <w:sz w:val="24"/>
                <w:szCs w:val="24"/>
                <w:lang w:val="en-US" w:eastAsia="zh-CN"/>
              </w:rPr>
              <w:t>：</w:t>
            </w:r>
            <w:r>
              <w:rPr>
                <w:rFonts w:hint="default" w:ascii="Times New Roman" w:hAnsi="Times New Roman" w:cs="Times New Roman"/>
                <w:color w:val="auto"/>
              </w:rPr>
              <w:t>开挖</w:t>
            </w:r>
            <w:r>
              <w:rPr>
                <w:rFonts w:hint="default" w:ascii="Times New Roman" w:hAnsi="Times New Roman" w:cs="Times New Roman"/>
                <w:color w:val="auto"/>
                <w:lang w:val="en-US" w:eastAsia="zh-CN"/>
              </w:rPr>
              <w:t>土</w:t>
            </w:r>
            <w:r>
              <w:rPr>
                <w:rFonts w:hint="default" w:ascii="Times New Roman" w:hAnsi="Times New Roman" w:cs="Times New Roman"/>
                <w:color w:val="auto"/>
              </w:rPr>
              <w:t>石方用于堤后回填</w:t>
            </w:r>
            <w:r>
              <w:rPr>
                <w:rFonts w:hint="default" w:ascii="Times New Roman" w:hAnsi="Times New Roman" w:cs="Times New Roman"/>
                <w:color w:val="auto"/>
                <w:lang w:val="en-US" w:eastAsia="zh-CN"/>
              </w:rPr>
              <w:t>和草皮护坡的种植土</w:t>
            </w:r>
            <w:r>
              <w:rPr>
                <w:rFonts w:hint="default" w:ascii="Times New Roman" w:hAnsi="Times New Roman" w:cs="Times New Roman"/>
                <w:color w:val="auto"/>
              </w:rPr>
              <w:t>，</w:t>
            </w:r>
            <w:r>
              <w:rPr>
                <w:rFonts w:hint="default" w:ascii="Times New Roman" w:hAnsi="Times New Roman" w:cs="Times New Roman"/>
                <w:color w:val="auto"/>
                <w:sz w:val="24"/>
                <w:szCs w:val="24"/>
                <w:highlight w:val="none"/>
                <w:lang w:val="en-US" w:eastAsia="zh-CN"/>
              </w:rPr>
              <w:t>多余的</w:t>
            </w:r>
            <w:r>
              <w:rPr>
                <w:rFonts w:hint="default" w:ascii="Times New Roman" w:hAnsi="Times New Roman" w:cs="Times New Roman"/>
                <w:lang w:val="en-US" w:eastAsia="zh-CN"/>
              </w:rPr>
              <w:t>经10t</w:t>
            </w:r>
            <w:r>
              <w:rPr>
                <w:rFonts w:hint="default" w:ascii="Times New Roman" w:hAnsi="Times New Roman" w:eastAsia="微软雅黑" w:cs="Times New Roman"/>
                <w:lang w:val="en-US" w:eastAsia="zh-CN"/>
              </w:rPr>
              <w:t>~15t</w:t>
            </w:r>
            <w:r>
              <w:rPr>
                <w:rFonts w:hint="default" w:ascii="Times New Roman" w:hAnsi="Times New Roman" w:eastAsia="宋体" w:cs="Times New Roman"/>
                <w:lang w:val="en-US" w:eastAsia="zh-CN"/>
              </w:rPr>
              <w:t>自卸汽车运输至</w:t>
            </w:r>
            <w:r>
              <w:rPr>
                <w:rFonts w:hint="default" w:ascii="Times New Roman" w:hAnsi="Times New Roman" w:cs="Times New Roman"/>
              </w:rPr>
              <w:t>胡家城市规划区内</w:t>
            </w:r>
            <w:r>
              <w:rPr>
                <w:rFonts w:hint="default" w:ascii="Times New Roman" w:hAnsi="Times New Roman" w:cs="Times New Roman"/>
                <w:lang w:eastAsia="zh-CN"/>
              </w:rPr>
              <w:t>，</w:t>
            </w:r>
            <w:r>
              <w:rPr>
                <w:rFonts w:hint="default" w:ascii="Times New Roman" w:hAnsi="Times New Roman" w:cs="Times New Roman"/>
                <w:lang w:val="en-US" w:eastAsia="zh-CN"/>
              </w:rPr>
              <w:t>平均</w:t>
            </w:r>
            <w:r>
              <w:rPr>
                <w:rFonts w:hint="default" w:ascii="Times New Roman" w:hAnsi="Times New Roman" w:cs="Times New Roman"/>
                <w:spacing w:val="4"/>
              </w:rPr>
              <w:t>运距</w:t>
            </w:r>
            <w:r>
              <w:rPr>
                <w:rFonts w:hint="default" w:ascii="Times New Roman" w:hAnsi="Times New Roman" w:eastAsia="Times New Roman" w:cs="Times New Roman"/>
                <w:spacing w:val="4"/>
                <w:sz w:val="24"/>
                <w:szCs w:val="24"/>
              </w:rPr>
              <w:t>1.0</w:t>
            </w:r>
            <w:r>
              <w:rPr>
                <w:rFonts w:hint="default" w:ascii="Times New Roman" w:hAnsi="Times New Roman" w:eastAsia="Times New Roman" w:cs="Times New Roman"/>
                <w:sz w:val="24"/>
                <w:szCs w:val="24"/>
              </w:rPr>
              <w:t>km</w:t>
            </w:r>
            <w:r>
              <w:rPr>
                <w:rFonts w:hint="default" w:ascii="Times New Roman" w:hAnsi="Times New Roman" w:eastAsia="宋体" w:cs="Times New Roman"/>
                <w:sz w:val="24"/>
                <w:szCs w:val="24"/>
                <w:lang w:eastAsia="zh-CN"/>
              </w:rPr>
              <w:t>。</w:t>
            </w:r>
          </w:p>
        </w:tc>
        <w:tc>
          <w:tcPr>
            <w:tcW w:w="2576" w:type="dxa"/>
            <w:tcBorders>
              <w:tl2br w:val="nil"/>
              <w:tr2bl w:val="nil"/>
            </w:tcBorders>
            <w:noWrap w:val="0"/>
            <w:vAlign w:val="center"/>
          </w:tcPr>
          <w:p>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b/>
                <w:bCs/>
                <w:color w:val="auto"/>
                <w:sz w:val="24"/>
                <w:szCs w:val="24"/>
                <w:lang w:val="en-US" w:eastAsia="zh-CN"/>
              </w:rPr>
              <w:t>生活垃圾处置验收要求</w:t>
            </w:r>
            <w:r>
              <w:rPr>
                <w:rFonts w:hint="default" w:ascii="Times New Roman" w:hAnsi="Times New Roman" w:eastAsia="宋体" w:cs="Times New Roman"/>
                <w:color w:val="auto"/>
                <w:sz w:val="24"/>
                <w:szCs w:val="24"/>
                <w:lang w:val="en-US" w:eastAsia="zh-CN"/>
              </w:rPr>
              <w:t>：生活垃圾全部由环卫部门处置，施工现场不得有生活垃圾堆存；</w:t>
            </w:r>
          </w:p>
          <w:p>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b/>
                <w:bCs/>
                <w:color w:val="auto"/>
                <w:sz w:val="24"/>
                <w:szCs w:val="24"/>
                <w:lang w:val="en-US" w:eastAsia="zh-CN"/>
              </w:rPr>
              <w:t>建筑垃圾处置验收要求</w:t>
            </w:r>
            <w:r>
              <w:rPr>
                <w:rFonts w:hint="default" w:ascii="Times New Roman" w:hAnsi="Times New Roman" w:eastAsia="宋体" w:cs="Times New Roman"/>
                <w:color w:val="auto"/>
                <w:sz w:val="24"/>
                <w:szCs w:val="24"/>
                <w:lang w:val="en-US" w:eastAsia="zh-CN"/>
              </w:rPr>
              <w:t>：建筑垃圾全部妥善处置，施工现场及</w:t>
            </w:r>
            <w:r>
              <w:rPr>
                <w:rFonts w:hint="default" w:ascii="Times New Roman" w:hAnsi="Times New Roman" w:cs="Times New Roman"/>
                <w:color w:val="auto"/>
                <w:sz w:val="24"/>
                <w:szCs w:val="24"/>
                <w:lang w:val="en-US" w:eastAsia="zh-CN"/>
              </w:rPr>
              <w:t>临时堆渣场</w:t>
            </w:r>
            <w:r>
              <w:rPr>
                <w:rFonts w:hint="default" w:ascii="Times New Roman" w:hAnsi="Times New Roman" w:eastAsia="宋体" w:cs="Times New Roman"/>
                <w:color w:val="auto"/>
                <w:sz w:val="24"/>
                <w:szCs w:val="24"/>
                <w:lang w:val="en-US" w:eastAsia="zh-CN"/>
              </w:rPr>
              <w:t>不得有建筑垃圾堆存；</w:t>
            </w:r>
          </w:p>
          <w:p>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b/>
                <w:bCs/>
                <w:color w:val="auto"/>
                <w:sz w:val="24"/>
                <w:szCs w:val="24"/>
                <w:lang w:val="en-US" w:eastAsia="zh-CN"/>
              </w:rPr>
              <w:t>土石方处置验收要求</w:t>
            </w:r>
            <w:r>
              <w:rPr>
                <w:rFonts w:hint="default" w:ascii="Times New Roman" w:hAnsi="Times New Roman" w:eastAsia="宋体" w:cs="Times New Roman"/>
                <w:color w:val="auto"/>
                <w:sz w:val="24"/>
                <w:szCs w:val="24"/>
                <w:lang w:val="en-US" w:eastAsia="zh-CN"/>
              </w:rPr>
              <w:t>：施工迹地无弃土弃渣</w:t>
            </w:r>
            <w:r>
              <w:rPr>
                <w:rFonts w:hint="default" w:ascii="Times New Roman" w:hAnsi="Times New Roman" w:cs="Times New Roman"/>
                <w:color w:val="auto"/>
                <w:sz w:val="24"/>
                <w:szCs w:val="24"/>
                <w:lang w:val="en-US" w:eastAsia="zh-CN"/>
              </w:rPr>
              <w:t>。</w:t>
            </w:r>
          </w:p>
        </w:tc>
        <w:tc>
          <w:tcPr>
            <w:tcW w:w="1704" w:type="dxa"/>
            <w:tcBorders>
              <w:tl2br w:val="nil"/>
              <w:tr2bl w:val="nil"/>
            </w:tcBorders>
            <w:noWrap w:val="0"/>
            <w:vAlign w:val="center"/>
          </w:tcPr>
          <w:p>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w:t>
            </w:r>
          </w:p>
        </w:tc>
        <w:tc>
          <w:tcPr>
            <w:tcW w:w="1268" w:type="dxa"/>
            <w:tcBorders>
              <w:tl2br w:val="nil"/>
              <w:tr2bl w:val="nil"/>
            </w:tcBorders>
            <w:noWrap w:val="0"/>
            <w:vAlign w:val="center"/>
          </w:tcPr>
          <w:p>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196" w:type="dxa"/>
            <w:tcBorders>
              <w:tl2br w:val="nil"/>
              <w:tr2bl w:val="nil"/>
            </w:tcBorders>
            <w:noWrap w:val="0"/>
            <w:vAlign w:val="center"/>
          </w:tcPr>
          <w:p>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电磁环境</w:t>
            </w:r>
          </w:p>
        </w:tc>
        <w:tc>
          <w:tcPr>
            <w:tcW w:w="2538" w:type="dxa"/>
            <w:tcBorders>
              <w:tl2br w:val="nil"/>
              <w:tr2bl w:val="nil"/>
            </w:tcBorders>
            <w:noWrap w:val="0"/>
            <w:vAlign w:val="center"/>
          </w:tcPr>
          <w:p>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w:t>
            </w:r>
          </w:p>
        </w:tc>
        <w:tc>
          <w:tcPr>
            <w:tcW w:w="2576" w:type="dxa"/>
            <w:tcBorders>
              <w:tl2br w:val="nil"/>
              <w:tr2bl w:val="nil"/>
            </w:tcBorders>
            <w:noWrap w:val="0"/>
            <w:vAlign w:val="center"/>
          </w:tcPr>
          <w:p>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w:t>
            </w:r>
          </w:p>
        </w:tc>
        <w:tc>
          <w:tcPr>
            <w:tcW w:w="1704" w:type="dxa"/>
            <w:tcBorders>
              <w:tl2br w:val="nil"/>
              <w:tr2bl w:val="nil"/>
            </w:tcBorders>
            <w:noWrap w:val="0"/>
            <w:vAlign w:val="center"/>
          </w:tcPr>
          <w:p>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w:t>
            </w:r>
          </w:p>
        </w:tc>
        <w:tc>
          <w:tcPr>
            <w:tcW w:w="1268" w:type="dxa"/>
            <w:tcBorders>
              <w:tl2br w:val="nil"/>
              <w:tr2bl w:val="nil"/>
            </w:tcBorders>
            <w:noWrap w:val="0"/>
            <w:vAlign w:val="center"/>
          </w:tcPr>
          <w:p>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196" w:type="dxa"/>
            <w:tcBorders>
              <w:tl2br w:val="nil"/>
              <w:tr2bl w:val="nil"/>
            </w:tcBorders>
            <w:noWrap w:val="0"/>
            <w:vAlign w:val="center"/>
          </w:tcPr>
          <w:p>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环境风险</w:t>
            </w:r>
          </w:p>
        </w:tc>
        <w:tc>
          <w:tcPr>
            <w:tcW w:w="2538" w:type="dxa"/>
            <w:tcBorders>
              <w:tl2br w:val="nil"/>
              <w:tr2bl w:val="nil"/>
            </w:tcBorders>
            <w:noWrap w:val="0"/>
            <w:vAlign w:val="center"/>
          </w:tcPr>
          <w:p>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zh-CN" w:eastAsia="zh-CN"/>
              </w:rPr>
              <w:t>加强管理，精心施工；防灾减灾，加强施工期、安全性监测。</w:t>
            </w:r>
          </w:p>
        </w:tc>
        <w:tc>
          <w:tcPr>
            <w:tcW w:w="2576" w:type="dxa"/>
            <w:tcBorders>
              <w:tl2br w:val="nil"/>
              <w:tr2bl w:val="nil"/>
            </w:tcBorders>
            <w:noWrap w:val="0"/>
            <w:vAlign w:val="center"/>
          </w:tcPr>
          <w:p>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w:t>
            </w:r>
          </w:p>
        </w:tc>
        <w:tc>
          <w:tcPr>
            <w:tcW w:w="1704" w:type="dxa"/>
            <w:tcBorders>
              <w:tl2br w:val="nil"/>
              <w:tr2bl w:val="nil"/>
            </w:tcBorders>
            <w:noWrap w:val="0"/>
            <w:vAlign w:val="center"/>
          </w:tcPr>
          <w:p>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w:t>
            </w:r>
          </w:p>
        </w:tc>
        <w:tc>
          <w:tcPr>
            <w:tcW w:w="1268" w:type="dxa"/>
            <w:tcBorders>
              <w:tl2br w:val="nil"/>
              <w:tr2bl w:val="nil"/>
            </w:tcBorders>
            <w:noWrap w:val="0"/>
            <w:vAlign w:val="center"/>
          </w:tcPr>
          <w:p>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196" w:type="dxa"/>
            <w:tcBorders>
              <w:tl2br w:val="nil"/>
              <w:tr2bl w:val="nil"/>
            </w:tcBorders>
            <w:noWrap w:val="0"/>
            <w:vAlign w:val="center"/>
          </w:tcPr>
          <w:p>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其他</w:t>
            </w:r>
          </w:p>
        </w:tc>
        <w:tc>
          <w:tcPr>
            <w:tcW w:w="8086" w:type="dxa"/>
            <w:gridSpan w:val="4"/>
            <w:tcBorders>
              <w:tl2br w:val="nil"/>
              <w:tr2bl w:val="nil"/>
            </w:tcBorders>
            <w:noWrap w:val="0"/>
            <w:vAlign w:val="center"/>
          </w:tcPr>
          <w:p>
            <w:pPr>
              <w:adjustRightInd w:val="0"/>
              <w:snapToGrid w:val="0"/>
              <w:spacing w:line="240" w:lineRule="auto"/>
              <w:ind w:left="0" w:leftChars="0" w:firstLine="0" w:firstLineChars="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r>
    </w:tbl>
    <w:p>
      <w:pPr>
        <w:rPr>
          <w:rFonts w:hint="default" w:ascii="宋体" w:hAnsi="宋体" w:eastAsia="宋体"/>
          <w:b w:val="0"/>
          <w:bCs w:val="0"/>
          <w:sz w:val="28"/>
          <w:szCs w:val="28"/>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2"/>
        <w:bidi w:val="0"/>
        <w:rPr>
          <w:color w:val="auto"/>
        </w:rPr>
      </w:pPr>
      <w:bookmarkStart w:id="99" w:name="_Toc389"/>
      <w:bookmarkStart w:id="100" w:name="_Toc10392"/>
      <w:bookmarkStart w:id="101" w:name="_Toc13444"/>
      <w:bookmarkStart w:id="102" w:name="_Toc11837"/>
      <w:bookmarkStart w:id="103" w:name="_Toc2411"/>
      <w:bookmarkStart w:id="104" w:name="_Toc28633"/>
      <w:bookmarkStart w:id="105" w:name="_Toc27034"/>
      <w:bookmarkStart w:id="106" w:name="_Toc25886"/>
      <w:bookmarkStart w:id="107" w:name="_Toc3630"/>
      <w:bookmarkStart w:id="108" w:name="_Toc8604"/>
      <w:bookmarkStart w:id="109" w:name="_Toc17665"/>
      <w:bookmarkStart w:id="110" w:name="_Toc27993"/>
      <w:bookmarkStart w:id="111" w:name="_Toc22170"/>
      <w:bookmarkStart w:id="112" w:name="_Toc23552"/>
      <w:bookmarkStart w:id="113" w:name="_Toc11986"/>
      <w:bookmarkStart w:id="114" w:name="_Toc12316"/>
      <w:bookmarkStart w:id="115" w:name="_Toc26771"/>
      <w:r>
        <w:rPr>
          <w:rFonts w:hint="eastAsia"/>
          <w:color w:val="auto"/>
          <w:lang w:val="en-US" w:eastAsia="zh-CN"/>
        </w:rPr>
        <w:t>七、</w:t>
      </w:r>
      <w:r>
        <w:rPr>
          <w:rFonts w:hint="eastAsia"/>
          <w:color w:val="auto"/>
        </w:rPr>
        <w:t>结论</w:t>
      </w:r>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p>
    <w:tbl>
      <w:tblPr>
        <w:tblStyle w:val="11"/>
        <w:tblW w:w="8919" w:type="dxa"/>
        <w:jc w:val="center"/>
        <w:tblBorders>
          <w:top w:val="single" w:color="auto" w:sz="12" w:space="0"/>
          <w:left w:val="single" w:color="auto" w:sz="12" w:space="0"/>
          <w:bottom w:val="single" w:color="auto" w:sz="12" w:space="0"/>
          <w:right w:val="single" w:color="auto" w:sz="12" w:space="0"/>
          <w:insideH w:val="single" w:color="auto" w:sz="4" w:space="0"/>
          <w:insideV w:val="none" w:color="auto" w:sz="0" w:space="0"/>
        </w:tblBorders>
        <w:tblLayout w:type="fixed"/>
        <w:tblCellMar>
          <w:top w:w="0" w:type="dxa"/>
          <w:left w:w="108" w:type="dxa"/>
          <w:bottom w:w="0" w:type="dxa"/>
          <w:right w:w="108" w:type="dxa"/>
        </w:tblCellMar>
      </w:tblPr>
      <w:tblGrid>
        <w:gridCol w:w="8919"/>
      </w:tblGrid>
      <w:tr>
        <w:tblPrEx>
          <w:tblBorders>
            <w:top w:val="single" w:color="auto" w:sz="12" w:space="0"/>
            <w:left w:val="single" w:color="auto" w:sz="12" w:space="0"/>
            <w:bottom w:val="single" w:color="auto" w:sz="12" w:space="0"/>
            <w:right w:val="single" w:color="auto" w:sz="12" w:space="0"/>
            <w:insideH w:val="single" w:color="auto" w:sz="4" w:space="0"/>
            <w:insideV w:val="none" w:color="auto" w:sz="0" w:space="0"/>
          </w:tblBorders>
          <w:tblCellMar>
            <w:top w:w="0" w:type="dxa"/>
            <w:left w:w="108" w:type="dxa"/>
            <w:bottom w:w="0" w:type="dxa"/>
            <w:right w:w="108" w:type="dxa"/>
          </w:tblCellMar>
        </w:tblPrEx>
        <w:trPr>
          <w:trHeight w:val="11965" w:hRule="atLeast"/>
          <w:jc w:val="center"/>
        </w:trPr>
        <w:tc>
          <w:tcPr>
            <w:tcW w:w="8919" w:type="dxa"/>
            <w:tcBorders>
              <w:tl2br w:val="nil"/>
              <w:tr2bl w:val="nil"/>
            </w:tcBorders>
            <w:noWrap w:val="0"/>
            <w:vAlign w:val="top"/>
          </w:tcPr>
          <w:p>
            <w:pPr>
              <w:bidi w:val="0"/>
              <w:rPr>
                <w:rFonts w:hint="eastAsia"/>
                <w:color w:val="auto"/>
              </w:rPr>
            </w:pPr>
            <w:r>
              <w:rPr>
                <w:rFonts w:hint="default"/>
                <w:color w:val="auto"/>
              </w:rPr>
              <w:t>本项目为</w:t>
            </w:r>
            <w:r>
              <w:rPr>
                <w:rFonts w:hint="default" w:ascii="Times New Roman" w:hAnsi="Times New Roman" w:cs="Times New Roman"/>
                <w:color w:val="auto"/>
                <w:lang w:val="en-US" w:eastAsia="zh-CN"/>
              </w:rPr>
              <w:t>防洪除涝</w:t>
            </w:r>
            <w:r>
              <w:rPr>
                <w:rFonts w:hint="eastAsia" w:ascii="Times New Roman" w:hAnsi="Times New Roman" w:cs="Times New Roman"/>
                <w:color w:val="auto"/>
                <w:lang w:val="en-US" w:eastAsia="zh-CN"/>
              </w:rPr>
              <w:t>工程</w:t>
            </w:r>
            <w:r>
              <w:rPr>
                <w:rFonts w:hint="default"/>
                <w:color w:val="auto"/>
              </w:rPr>
              <w:t>项目，</w:t>
            </w:r>
            <w:r>
              <w:rPr>
                <w:rFonts w:hint="default" w:ascii="Times New Roman" w:hAnsi="Times New Roman" w:eastAsia="宋体"/>
                <w:color w:val="auto"/>
              </w:rPr>
              <w:t>项目建设符合</w:t>
            </w:r>
            <w:r>
              <w:rPr>
                <w:rFonts w:hint="eastAsia" w:ascii="Times New Roman" w:hAnsi="Times New Roman" w:eastAsia="宋体"/>
                <w:color w:val="auto"/>
                <w:lang w:val="en-US" w:eastAsia="zh-CN"/>
              </w:rPr>
              <w:t>国家现行产业政策，选址符合当地规划、符合法律法规及相关规划要求</w:t>
            </w:r>
            <w:r>
              <w:rPr>
                <w:rFonts w:hint="default" w:ascii="Times New Roman" w:hAnsi="Times New Roman" w:eastAsia="宋体"/>
                <w:color w:val="auto"/>
              </w:rPr>
              <w:t>。在施工运营阶段采取环评提出的各项环保措施后，对周边环境的影响较小。本项目属</w:t>
            </w:r>
            <w:r>
              <w:rPr>
                <w:rFonts w:hint="default"/>
                <w:color w:val="auto"/>
              </w:rPr>
              <w:t>于公益性河道整治工程，</w:t>
            </w:r>
            <w:r>
              <w:rPr>
                <w:rFonts w:hint="eastAsia"/>
                <w:color w:val="auto"/>
                <w:lang w:eastAsia="zh-CN"/>
              </w:rPr>
              <w:t>环保效益、</w:t>
            </w:r>
            <w:r>
              <w:rPr>
                <w:rFonts w:hint="default"/>
                <w:color w:val="auto"/>
              </w:rPr>
              <w:t>社会经济效益明显。工程实施后，可巩固提高河道防洪能力，有效消除河道内源污染，大幅提升周边</w:t>
            </w:r>
            <w:r>
              <w:rPr>
                <w:rFonts w:hint="eastAsia"/>
                <w:color w:val="auto"/>
                <w:lang w:val="en-US" w:eastAsia="zh-CN"/>
              </w:rPr>
              <w:t>生态环</w:t>
            </w:r>
            <w:r>
              <w:rPr>
                <w:rFonts w:hint="default"/>
                <w:color w:val="auto"/>
              </w:rPr>
              <w:t>境质量。采取的“三废”及噪声污染治理措施经济技术可行。工程实施后不会改变地表水、环境空气、声学等环境质量级别和现有功能。</w:t>
            </w:r>
            <w:r>
              <w:rPr>
                <w:rFonts w:hint="eastAsia"/>
                <w:color w:val="auto"/>
                <w:lang w:eastAsia="zh-CN"/>
              </w:rPr>
              <w:t>因此，</w:t>
            </w:r>
            <w:r>
              <w:rPr>
                <w:rFonts w:hint="eastAsia"/>
                <w:color w:val="auto"/>
              </w:rPr>
              <w:t>从环境保护角度而言，项目建设可行。</w:t>
            </w:r>
          </w:p>
          <w:p>
            <w:pPr>
              <w:ind w:left="0" w:leftChars="0" w:firstLine="0" w:firstLineChars="0"/>
              <w:rPr>
                <w:color w:val="auto"/>
              </w:rPr>
            </w:pPr>
          </w:p>
        </w:tc>
      </w:tr>
    </w:tbl>
    <w:p>
      <w:pPr>
        <w:rPr>
          <w:rFonts w:hint="default" w:ascii="宋体" w:hAnsi="宋体" w:eastAsia="宋体"/>
          <w:b w:val="0"/>
          <w:bCs w:val="0"/>
          <w:sz w:val="28"/>
          <w:szCs w:val="28"/>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18"/>
        <w:bidi w:val="0"/>
        <w:rPr>
          <w:rFonts w:hint="eastAsia"/>
          <w:lang w:val="en-US" w:eastAsia="zh-CN"/>
        </w:rPr>
      </w:pPr>
      <w:r>
        <w:rPr>
          <w:rFonts w:hint="eastAsia"/>
          <w:lang w:val="en-US" w:eastAsia="zh-CN"/>
        </w:rPr>
        <w:drawing>
          <wp:inline distT="0" distB="0" distL="114300" distR="114300">
            <wp:extent cx="9763125" cy="6299835"/>
            <wp:effectExtent l="9525" t="9525" r="19050" b="15240"/>
            <wp:docPr id="9" name="图片 9" descr="胡家河地理位置图"/>
            <wp:cNvGraphicFramePr/>
            <a:graphic xmlns:a="http://schemas.openxmlformats.org/drawingml/2006/main">
              <a:graphicData uri="http://schemas.openxmlformats.org/drawingml/2006/picture">
                <pic:pic xmlns:pic="http://schemas.openxmlformats.org/drawingml/2006/picture">
                  <pic:nvPicPr>
                    <pic:cNvPr id="9" name="图片 9" descr="胡家河地理位置图"/>
                    <pic:cNvPicPr/>
                  </pic:nvPicPr>
                  <pic:blipFill>
                    <a:blip r:embed="rId26"/>
                    <a:srcRect l="5068" t="3013" r="4458" b="7476"/>
                    <a:stretch>
                      <a:fillRect/>
                    </a:stretch>
                  </pic:blipFill>
                  <pic:spPr>
                    <a:xfrm>
                      <a:off x="0" y="0"/>
                      <a:ext cx="9763125" cy="6299835"/>
                    </a:xfrm>
                    <a:prstGeom prst="rect">
                      <a:avLst/>
                    </a:prstGeom>
                    <a:ln>
                      <a:solidFill>
                        <a:schemeClr val="tx1"/>
                      </a:solidFill>
                    </a:ln>
                  </pic:spPr>
                </pic:pic>
              </a:graphicData>
            </a:graphic>
          </wp:inline>
        </w:drawing>
      </w:r>
    </w:p>
    <w:p>
      <w:pPr>
        <w:pStyle w:val="18"/>
        <w:bidi w:val="0"/>
        <w:rPr>
          <w:rFonts w:hint="eastAsia"/>
          <w:lang w:val="en-US" w:eastAsia="zh-CN"/>
        </w:rPr>
      </w:pPr>
      <w:r>
        <w:rPr>
          <w:rFonts w:hint="eastAsia"/>
          <w:lang w:val="en-US" w:eastAsia="zh-CN"/>
        </w:rPr>
        <w:t>附图1  项目地理位置图</w:t>
      </w:r>
    </w:p>
    <w:p>
      <w:pPr>
        <w:ind w:left="0" w:leftChars="0" w:firstLine="0" w:firstLineChars="0"/>
        <w:rPr>
          <w:rFonts w:hint="default"/>
          <w:lang w:val="en-US" w:eastAsia="zh-CN"/>
        </w:rPr>
        <w:sectPr>
          <w:footerReference r:id="rId10" w:type="default"/>
          <w:pgSz w:w="16838" w:h="11906" w:orient="landscape"/>
          <w:pgMar w:top="720" w:right="720" w:bottom="720" w:left="720" w:header="113" w:footer="113" w:gutter="0"/>
          <w:pgBorders>
            <w:top w:val="none" w:sz="0" w:space="0"/>
            <w:left w:val="none" w:sz="0" w:space="0"/>
            <w:bottom w:val="none" w:sz="0" w:space="0"/>
            <w:right w:val="none" w:sz="0" w:space="0"/>
          </w:pgBorders>
          <w:pgNumType w:fmt="decimal"/>
          <w:cols w:space="425" w:num="1"/>
          <w:docGrid w:type="lines" w:linePitch="312" w:charSpace="0"/>
        </w:sectPr>
      </w:pPr>
    </w:p>
    <w:p>
      <w:pPr>
        <w:ind w:left="0" w:leftChars="0" w:firstLine="0" w:firstLineChars="0"/>
        <w:rPr>
          <w:rFonts w:hint="default" w:ascii="宋体" w:hAnsi="宋体" w:eastAsia="宋体"/>
          <w:b w:val="0"/>
          <w:bCs w:val="0"/>
          <w:sz w:val="28"/>
          <w:szCs w:val="28"/>
          <w:lang w:val="en-US" w:eastAsia="zh-CN"/>
        </w:rPr>
      </w:pPr>
      <w:r>
        <w:rPr>
          <w:rFonts w:hint="default" w:ascii="宋体" w:hAnsi="宋体" w:eastAsia="宋体"/>
          <w:b w:val="0"/>
          <w:bCs w:val="0"/>
          <w:sz w:val="28"/>
          <w:szCs w:val="28"/>
          <w:lang w:val="en-US" w:eastAsia="zh-CN"/>
        </w:rPr>
        <w:drawing>
          <wp:inline distT="0" distB="0" distL="114300" distR="114300">
            <wp:extent cx="9763125" cy="6299835"/>
            <wp:effectExtent l="9525" t="9525" r="19050" b="15240"/>
            <wp:docPr id="12" name="图片 12" descr="宣汉水系图 Model (1)_00"/>
            <wp:cNvGraphicFramePr/>
            <a:graphic xmlns:a="http://schemas.openxmlformats.org/drawingml/2006/main">
              <a:graphicData uri="http://schemas.openxmlformats.org/drawingml/2006/picture">
                <pic:pic xmlns:pic="http://schemas.openxmlformats.org/drawingml/2006/picture">
                  <pic:nvPicPr>
                    <pic:cNvPr id="12" name="图片 12" descr="宣汉水系图 Model (1)_00"/>
                    <pic:cNvPicPr/>
                  </pic:nvPicPr>
                  <pic:blipFill>
                    <a:blip r:embed="rId27"/>
                    <a:stretch>
                      <a:fillRect/>
                    </a:stretch>
                  </pic:blipFill>
                  <pic:spPr>
                    <a:xfrm>
                      <a:off x="0" y="0"/>
                      <a:ext cx="9763125" cy="6299835"/>
                    </a:xfrm>
                    <a:prstGeom prst="rect">
                      <a:avLst/>
                    </a:prstGeom>
                    <a:ln>
                      <a:solidFill>
                        <a:schemeClr val="tx1"/>
                      </a:solidFill>
                    </a:ln>
                  </pic:spPr>
                </pic:pic>
              </a:graphicData>
            </a:graphic>
          </wp:inline>
        </w:drawing>
      </w:r>
    </w:p>
    <w:p>
      <w:pPr>
        <w:pStyle w:val="18"/>
        <w:bidi w:val="0"/>
        <w:rPr>
          <w:rFonts w:hint="eastAsia"/>
          <w:lang w:val="en-US" w:eastAsia="zh-CN"/>
        </w:rPr>
        <w:sectPr>
          <w:pgSz w:w="16838" w:h="11906" w:orient="landscape"/>
          <w:pgMar w:top="720" w:right="720" w:bottom="720" w:left="720" w:header="113" w:footer="113"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lang w:val="en-US" w:eastAsia="zh-CN"/>
        </w:rPr>
        <w:t>附图2  项目流域水系图</w:t>
      </w:r>
    </w:p>
    <w:p>
      <w:pPr>
        <w:ind w:left="0" w:leftChars="0" w:firstLine="0" w:firstLineChars="0"/>
        <w:rPr>
          <w:rFonts w:hint="default"/>
          <w:color w:val="auto"/>
          <w:lang w:val="en-US" w:eastAsia="zh-CN"/>
        </w:rPr>
      </w:pPr>
      <w:r>
        <w:rPr>
          <w:rFonts w:hint="default"/>
          <w:color w:val="auto"/>
          <w:lang w:val="en-US" w:eastAsia="zh-CN"/>
        </w:rPr>
        <w:drawing>
          <wp:inline distT="0" distB="0" distL="114300" distR="114300">
            <wp:extent cx="9763125" cy="6299835"/>
            <wp:effectExtent l="9525" t="9525" r="19050" b="15240"/>
            <wp:docPr id="15" name="图片 15" descr="四川省主体功能区划（宣汉县）"/>
            <wp:cNvGraphicFramePr/>
            <a:graphic xmlns:a="http://schemas.openxmlformats.org/drawingml/2006/main">
              <a:graphicData uri="http://schemas.openxmlformats.org/drawingml/2006/picture">
                <pic:pic xmlns:pic="http://schemas.openxmlformats.org/drawingml/2006/picture">
                  <pic:nvPicPr>
                    <pic:cNvPr id="15" name="图片 15" descr="四川省主体功能区划（宣汉县）"/>
                    <pic:cNvPicPr/>
                  </pic:nvPicPr>
                  <pic:blipFill>
                    <a:blip r:embed="rId28"/>
                    <a:srcRect l="15476" t="4828" r="14689" b="2334"/>
                    <a:stretch>
                      <a:fillRect/>
                    </a:stretch>
                  </pic:blipFill>
                  <pic:spPr>
                    <a:xfrm>
                      <a:off x="0" y="0"/>
                      <a:ext cx="9763125" cy="6299835"/>
                    </a:xfrm>
                    <a:prstGeom prst="rect">
                      <a:avLst/>
                    </a:prstGeom>
                    <a:ln>
                      <a:solidFill>
                        <a:schemeClr val="tx1"/>
                      </a:solidFill>
                    </a:ln>
                  </pic:spPr>
                </pic:pic>
              </a:graphicData>
            </a:graphic>
          </wp:inline>
        </w:drawing>
      </w:r>
    </w:p>
    <w:p>
      <w:pPr>
        <w:bidi w:val="0"/>
        <w:ind w:left="0" w:leftChars="0" w:firstLine="0" w:firstLineChars="0"/>
        <w:jc w:val="center"/>
        <w:rPr>
          <w:rFonts w:hint="default"/>
          <w:b/>
          <w:bCs/>
          <w:color w:val="auto"/>
          <w:lang w:val="en-US" w:eastAsia="zh-CN"/>
        </w:rPr>
      </w:pPr>
      <w:r>
        <w:rPr>
          <w:rFonts w:hint="eastAsia"/>
          <w:b/>
          <w:bCs/>
          <w:color w:val="auto"/>
          <w:lang w:val="en-US" w:eastAsia="zh-CN"/>
        </w:rPr>
        <w:t>附图3  主体功能区划分图</w:t>
      </w:r>
    </w:p>
    <w:p>
      <w:pPr>
        <w:rPr>
          <w:rFonts w:hint="default"/>
          <w:lang w:val="en-US" w:eastAsia="zh-CN"/>
        </w:rPr>
        <w:sectPr>
          <w:pgSz w:w="16838" w:h="11906" w:orient="landscape"/>
          <w:pgMar w:top="720" w:right="720" w:bottom="720" w:left="720" w:header="113" w:footer="113" w:gutter="0"/>
          <w:pgBorders>
            <w:top w:val="none" w:sz="0" w:space="0"/>
            <w:left w:val="none" w:sz="0" w:space="0"/>
            <w:bottom w:val="none" w:sz="0" w:space="0"/>
            <w:right w:val="none" w:sz="0" w:space="0"/>
          </w:pgBorders>
          <w:pgNumType w:fmt="decimal"/>
          <w:cols w:space="425" w:num="1"/>
          <w:docGrid w:type="lines" w:linePitch="312" w:charSpace="0"/>
        </w:sectPr>
      </w:pPr>
    </w:p>
    <w:p>
      <w:pPr>
        <w:ind w:left="0" w:leftChars="0" w:firstLine="0" w:firstLineChars="0"/>
        <w:rPr>
          <w:rFonts w:hint="default"/>
          <w:color w:val="auto"/>
          <w:lang w:val="en-US" w:eastAsia="zh-CN"/>
        </w:rPr>
      </w:pPr>
      <w:r>
        <w:rPr>
          <w:rFonts w:hint="default"/>
          <w:color w:val="auto"/>
          <w:lang w:val="en-US" w:eastAsia="zh-CN"/>
        </w:rPr>
        <w:drawing>
          <wp:inline distT="0" distB="0" distL="114300" distR="114300">
            <wp:extent cx="9763125" cy="6299835"/>
            <wp:effectExtent l="9525" t="9525" r="19050" b="15240"/>
            <wp:docPr id="6" name="图片 6" descr="胡家施施工平面布置图"/>
            <wp:cNvGraphicFramePr/>
            <a:graphic xmlns:a="http://schemas.openxmlformats.org/drawingml/2006/main">
              <a:graphicData uri="http://schemas.openxmlformats.org/drawingml/2006/picture">
                <pic:pic xmlns:pic="http://schemas.openxmlformats.org/drawingml/2006/picture">
                  <pic:nvPicPr>
                    <pic:cNvPr id="6" name="图片 6" descr="胡家施施工平面布置图"/>
                    <pic:cNvPicPr/>
                  </pic:nvPicPr>
                  <pic:blipFill>
                    <a:blip r:embed="rId29"/>
                    <a:srcRect l="10442" t="11506" r="10239" b="4543"/>
                    <a:stretch>
                      <a:fillRect/>
                    </a:stretch>
                  </pic:blipFill>
                  <pic:spPr>
                    <a:xfrm>
                      <a:off x="0" y="0"/>
                      <a:ext cx="9763125" cy="6299835"/>
                    </a:xfrm>
                    <a:prstGeom prst="rect">
                      <a:avLst/>
                    </a:prstGeom>
                    <a:ln>
                      <a:solidFill>
                        <a:schemeClr val="tx1"/>
                      </a:solidFill>
                    </a:ln>
                  </pic:spPr>
                </pic:pic>
              </a:graphicData>
            </a:graphic>
          </wp:inline>
        </w:drawing>
      </w:r>
    </w:p>
    <w:p>
      <w:pPr>
        <w:bidi w:val="0"/>
        <w:ind w:left="0" w:leftChars="0" w:firstLine="0" w:firstLineChars="0"/>
        <w:jc w:val="center"/>
        <w:rPr>
          <w:rFonts w:hint="eastAsia"/>
          <w:b/>
          <w:bCs/>
          <w:color w:val="auto"/>
          <w:lang w:val="en-US" w:eastAsia="zh-CN"/>
        </w:rPr>
      </w:pPr>
      <w:r>
        <w:rPr>
          <w:rFonts w:hint="eastAsia"/>
          <w:b/>
          <w:bCs/>
          <w:color w:val="auto"/>
          <w:lang w:val="en-US" w:eastAsia="zh-CN"/>
        </w:rPr>
        <w:t>附图4  胡家河防洪治理工程施工平面布置图</w:t>
      </w:r>
    </w:p>
    <w:p>
      <w:pPr>
        <w:jc w:val="center"/>
        <w:rPr>
          <w:rFonts w:hint="eastAsia"/>
          <w:lang w:val="en-US" w:eastAsia="zh-CN"/>
        </w:rPr>
        <w:sectPr>
          <w:pgSz w:w="16838" w:h="11906" w:orient="landscape"/>
          <w:pgMar w:top="720" w:right="720" w:bottom="720" w:left="720" w:header="113" w:footer="113" w:gutter="0"/>
          <w:pgBorders>
            <w:top w:val="none" w:sz="0" w:space="0"/>
            <w:left w:val="none" w:sz="0" w:space="0"/>
            <w:bottom w:val="none" w:sz="0" w:space="0"/>
            <w:right w:val="none" w:sz="0" w:space="0"/>
          </w:pgBorders>
          <w:pgNumType w:fmt="decimal"/>
          <w:cols w:space="425" w:num="1"/>
          <w:docGrid w:type="lines" w:linePitch="312" w:charSpace="0"/>
        </w:sectPr>
      </w:pPr>
    </w:p>
    <w:p>
      <w:pPr>
        <w:ind w:left="0" w:leftChars="0" w:firstLine="0" w:firstLineChars="0"/>
        <w:rPr>
          <w:rFonts w:hint="default"/>
          <w:color w:val="auto"/>
          <w:lang w:val="en-US" w:eastAsia="zh-CN"/>
        </w:rPr>
      </w:pPr>
      <w:r>
        <w:rPr>
          <w:rFonts w:hint="default"/>
          <w:color w:val="auto"/>
          <w:lang w:val="en-US" w:eastAsia="zh-CN"/>
        </w:rPr>
        <w:drawing>
          <wp:inline distT="0" distB="0" distL="114300" distR="114300">
            <wp:extent cx="9763125" cy="6299835"/>
            <wp:effectExtent l="9525" t="9525" r="19050" b="15240"/>
            <wp:docPr id="3" name="图片 3" descr="图片2"/>
            <wp:cNvGraphicFramePr/>
            <a:graphic xmlns:a="http://schemas.openxmlformats.org/drawingml/2006/main">
              <a:graphicData uri="http://schemas.openxmlformats.org/drawingml/2006/picture">
                <pic:pic xmlns:pic="http://schemas.openxmlformats.org/drawingml/2006/picture">
                  <pic:nvPicPr>
                    <pic:cNvPr id="3" name="图片 3" descr="图片2"/>
                    <pic:cNvPicPr/>
                  </pic:nvPicPr>
                  <pic:blipFill>
                    <a:blip r:embed="rId30"/>
                    <a:stretch>
                      <a:fillRect/>
                    </a:stretch>
                  </pic:blipFill>
                  <pic:spPr>
                    <a:xfrm>
                      <a:off x="0" y="0"/>
                      <a:ext cx="9763125" cy="6299835"/>
                    </a:xfrm>
                    <a:prstGeom prst="rect">
                      <a:avLst/>
                    </a:prstGeom>
                    <a:ln>
                      <a:solidFill>
                        <a:schemeClr val="tx1"/>
                      </a:solidFill>
                    </a:ln>
                  </pic:spPr>
                </pic:pic>
              </a:graphicData>
            </a:graphic>
          </wp:inline>
        </w:drawing>
      </w:r>
    </w:p>
    <w:p>
      <w:pPr>
        <w:pStyle w:val="18"/>
        <w:bidi w:val="0"/>
        <w:rPr>
          <w:rFonts w:hint="default"/>
          <w:lang w:val="en-US" w:eastAsia="zh-CN"/>
        </w:rPr>
        <w:sectPr>
          <w:pgSz w:w="16838" w:h="11906" w:orient="landscape"/>
          <w:pgMar w:top="720" w:right="720" w:bottom="720" w:left="720" w:header="113" w:footer="113"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lang w:val="en-US" w:eastAsia="zh-CN"/>
        </w:rPr>
        <w:t>附图5  项目周边环境敏感目标</w:t>
      </w:r>
    </w:p>
    <w:p>
      <w:pPr>
        <w:ind w:left="0" w:leftChars="0" w:firstLine="0" w:firstLineChars="0"/>
        <w:rPr>
          <w:rFonts w:hint="eastAsia" w:eastAsia="宋体"/>
          <w:lang w:eastAsia="zh-CN"/>
        </w:rPr>
      </w:pPr>
      <w:r>
        <w:rPr>
          <w:rFonts w:hint="eastAsia" w:eastAsia="宋体"/>
          <w:lang w:eastAsia="zh-CN"/>
        </w:rPr>
        <w:drawing>
          <wp:inline distT="0" distB="0" distL="114300" distR="114300">
            <wp:extent cx="9763125" cy="6299835"/>
            <wp:effectExtent l="9525" t="9525" r="19050" b="15240"/>
            <wp:docPr id="1" name="图片 1" descr="11"/>
            <wp:cNvGraphicFramePr/>
            <a:graphic xmlns:a="http://schemas.openxmlformats.org/drawingml/2006/main">
              <a:graphicData uri="http://schemas.openxmlformats.org/drawingml/2006/picture">
                <pic:pic xmlns:pic="http://schemas.openxmlformats.org/drawingml/2006/picture">
                  <pic:nvPicPr>
                    <pic:cNvPr id="1" name="图片 1" descr="11"/>
                    <pic:cNvPicPr/>
                  </pic:nvPicPr>
                  <pic:blipFill>
                    <a:blip r:embed="rId31"/>
                    <a:stretch>
                      <a:fillRect/>
                    </a:stretch>
                  </pic:blipFill>
                  <pic:spPr>
                    <a:xfrm>
                      <a:off x="0" y="0"/>
                      <a:ext cx="9763125" cy="6299835"/>
                    </a:xfrm>
                    <a:prstGeom prst="rect">
                      <a:avLst/>
                    </a:prstGeom>
                    <a:ln>
                      <a:solidFill>
                        <a:schemeClr val="tx1"/>
                      </a:solidFill>
                    </a:ln>
                  </pic:spPr>
                </pic:pic>
              </a:graphicData>
            </a:graphic>
          </wp:inline>
        </w:drawing>
      </w:r>
    </w:p>
    <w:p>
      <w:pPr>
        <w:pStyle w:val="18"/>
        <w:bidi w:val="0"/>
        <w:rPr>
          <w:rFonts w:hint="default"/>
          <w:lang w:val="en-US" w:eastAsia="zh-CN"/>
        </w:rPr>
        <w:sectPr>
          <w:pgSz w:w="16838" w:h="11906" w:orient="landscape"/>
          <w:pgMar w:top="720" w:right="720" w:bottom="720" w:left="720" w:header="113" w:footer="113"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lang w:val="en-US" w:eastAsia="zh-CN"/>
        </w:rPr>
        <w:t>附图6  项目监测点位图</w:t>
      </w:r>
    </w:p>
    <w:p>
      <w:pPr>
        <w:ind w:left="0" w:leftChars="0" w:firstLine="0" w:firstLineChars="0"/>
        <w:rPr>
          <w:rFonts w:hint="default" w:eastAsia="宋体"/>
          <w:lang w:val="en-US" w:eastAsia="zh-CN"/>
        </w:rPr>
      </w:pPr>
      <w:r>
        <w:rPr>
          <w:rFonts w:hint="default" w:eastAsia="宋体"/>
          <w:lang w:val="en-US" w:eastAsia="zh-CN"/>
        </w:rPr>
        <w:drawing>
          <wp:inline distT="0" distB="0" distL="114300" distR="114300">
            <wp:extent cx="9763125" cy="6299835"/>
            <wp:effectExtent l="9525" t="9525" r="19050" b="15240"/>
            <wp:docPr id="4" name="图片 4" descr="微信图片_20240227112922"/>
            <wp:cNvGraphicFramePr/>
            <a:graphic xmlns:a="http://schemas.openxmlformats.org/drawingml/2006/main">
              <a:graphicData uri="http://schemas.openxmlformats.org/drawingml/2006/picture">
                <pic:pic xmlns:pic="http://schemas.openxmlformats.org/drawingml/2006/picture">
                  <pic:nvPicPr>
                    <pic:cNvPr id="4" name="图片 4" descr="微信图片_20240227112922"/>
                    <pic:cNvPicPr/>
                  </pic:nvPicPr>
                  <pic:blipFill>
                    <a:blip r:embed="rId32"/>
                    <a:stretch>
                      <a:fillRect/>
                    </a:stretch>
                  </pic:blipFill>
                  <pic:spPr>
                    <a:xfrm>
                      <a:off x="0" y="0"/>
                      <a:ext cx="9763125" cy="6299835"/>
                    </a:xfrm>
                    <a:prstGeom prst="rect">
                      <a:avLst/>
                    </a:prstGeom>
                    <a:ln>
                      <a:solidFill>
                        <a:schemeClr val="tx1"/>
                      </a:solidFill>
                    </a:ln>
                  </pic:spPr>
                </pic:pic>
              </a:graphicData>
            </a:graphic>
          </wp:inline>
        </w:drawing>
      </w:r>
    </w:p>
    <w:p>
      <w:pPr>
        <w:pStyle w:val="18"/>
        <w:bidi w:val="0"/>
        <w:rPr>
          <w:rFonts w:hint="eastAsia"/>
          <w:lang w:val="en-US" w:eastAsia="zh-CN"/>
        </w:rPr>
        <w:sectPr>
          <w:pgSz w:w="16838" w:h="11906" w:orient="landscape"/>
          <w:pgMar w:top="720" w:right="720" w:bottom="720" w:left="720" w:header="113" w:footer="113"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lang w:val="en-US" w:eastAsia="zh-CN"/>
        </w:rPr>
        <w:t>附图7  项目工程河段与周边饮用水水源保护区位置关系图</w:t>
      </w:r>
    </w:p>
    <w:p>
      <w:pPr>
        <w:ind w:left="0" w:leftChars="0" w:firstLine="0" w:firstLineChars="0"/>
        <w:rPr>
          <w:rFonts w:hint="eastAsia"/>
          <w:lang w:val="en-US" w:eastAsia="zh-CN"/>
        </w:rPr>
      </w:pPr>
      <w:r>
        <w:rPr>
          <w:rFonts w:hint="eastAsia"/>
          <w:lang w:val="en-US" w:eastAsia="zh-CN"/>
        </w:rPr>
        <w:drawing>
          <wp:inline distT="0" distB="0" distL="114300" distR="114300">
            <wp:extent cx="9763125" cy="6299835"/>
            <wp:effectExtent l="9525" t="9525" r="19050" b="15240"/>
            <wp:docPr id="33" name="图片 33" descr="胡家施工专业图_00"/>
            <wp:cNvGraphicFramePr/>
            <a:graphic xmlns:a="http://schemas.openxmlformats.org/drawingml/2006/main">
              <a:graphicData uri="http://schemas.openxmlformats.org/drawingml/2006/picture">
                <pic:pic xmlns:pic="http://schemas.openxmlformats.org/drawingml/2006/picture">
                  <pic:nvPicPr>
                    <pic:cNvPr id="33" name="图片 33" descr="胡家施工专业图_00"/>
                    <pic:cNvPicPr/>
                  </pic:nvPicPr>
                  <pic:blipFill>
                    <a:blip r:embed="rId33"/>
                    <a:srcRect l="8108" t="4323" r="4105" b="4046"/>
                    <a:stretch>
                      <a:fillRect/>
                    </a:stretch>
                  </pic:blipFill>
                  <pic:spPr>
                    <a:xfrm>
                      <a:off x="0" y="0"/>
                      <a:ext cx="9763125" cy="6299835"/>
                    </a:xfrm>
                    <a:prstGeom prst="rect">
                      <a:avLst/>
                    </a:prstGeom>
                    <a:ln>
                      <a:solidFill>
                        <a:schemeClr val="tx1"/>
                      </a:solidFill>
                    </a:ln>
                  </pic:spPr>
                </pic:pic>
              </a:graphicData>
            </a:graphic>
          </wp:inline>
        </w:drawing>
      </w:r>
    </w:p>
    <w:p>
      <w:pPr>
        <w:pStyle w:val="18"/>
        <w:bidi w:val="0"/>
        <w:rPr>
          <w:rFonts w:hint="default"/>
          <w:lang w:val="en-US" w:eastAsia="zh-CN"/>
        </w:rPr>
        <w:sectPr>
          <w:pgSz w:w="16838" w:h="11906" w:orient="landscape"/>
          <w:pgMar w:top="720" w:right="720" w:bottom="720" w:left="720" w:header="113" w:footer="113"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lang w:val="en-US" w:eastAsia="zh-CN"/>
        </w:rPr>
        <w:t xml:space="preserve">附图8  </w:t>
      </w:r>
      <w:r>
        <w:rPr>
          <w:rFonts w:hint="default" w:ascii="Times New Roman" w:hAnsi="Times New Roman" w:cs="Times New Roman"/>
          <w:lang w:val="en-US" w:eastAsia="zh-CN"/>
        </w:rPr>
        <w:t>工程主要生态保护措施图</w:t>
      </w:r>
    </w:p>
    <w:p>
      <w:pPr>
        <w:ind w:left="0" w:leftChars="0" w:firstLine="0" w:firstLineChars="0"/>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drawing>
          <wp:inline distT="0" distB="0" distL="114300" distR="114300">
            <wp:extent cx="6659880" cy="9396095"/>
            <wp:effectExtent l="0" t="0" r="7620" b="14605"/>
            <wp:docPr id="13" name="图片 13" descr="【2024】4号胡家镇初设批复_00"/>
            <wp:cNvGraphicFramePr/>
            <a:graphic xmlns:a="http://schemas.openxmlformats.org/drawingml/2006/main">
              <a:graphicData uri="http://schemas.openxmlformats.org/drawingml/2006/picture">
                <pic:pic xmlns:pic="http://schemas.openxmlformats.org/drawingml/2006/picture">
                  <pic:nvPicPr>
                    <pic:cNvPr id="13" name="图片 13" descr="【2024】4号胡家镇初设批复_00"/>
                    <pic:cNvPicPr/>
                  </pic:nvPicPr>
                  <pic:blipFill>
                    <a:blip r:embed="rId34"/>
                    <a:stretch>
                      <a:fillRect/>
                    </a:stretch>
                  </pic:blipFill>
                  <pic:spPr>
                    <a:xfrm>
                      <a:off x="0" y="0"/>
                      <a:ext cx="6659880" cy="9396095"/>
                    </a:xfrm>
                    <a:prstGeom prst="rect">
                      <a:avLst/>
                    </a:prstGeom>
                  </pic:spPr>
                </pic:pic>
              </a:graphicData>
            </a:graphic>
          </wp:inline>
        </w:drawing>
      </w:r>
    </w:p>
    <w:p>
      <w:pPr>
        <w:ind w:left="0" w:leftChars="0" w:firstLine="0" w:firstLineChars="0"/>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drawing>
          <wp:inline distT="0" distB="0" distL="114300" distR="114300">
            <wp:extent cx="6659880" cy="9611995"/>
            <wp:effectExtent l="0" t="0" r="7620" b="8255"/>
            <wp:docPr id="14" name="图片 14" descr="【2024】4号胡家镇初设批复_01"/>
            <wp:cNvGraphicFramePr/>
            <a:graphic xmlns:a="http://schemas.openxmlformats.org/drawingml/2006/main">
              <a:graphicData uri="http://schemas.openxmlformats.org/drawingml/2006/picture">
                <pic:pic xmlns:pic="http://schemas.openxmlformats.org/drawingml/2006/picture">
                  <pic:nvPicPr>
                    <pic:cNvPr id="14" name="图片 14" descr="【2024】4号胡家镇初设批复_01"/>
                    <pic:cNvPicPr/>
                  </pic:nvPicPr>
                  <pic:blipFill>
                    <a:blip r:embed="rId35"/>
                    <a:stretch>
                      <a:fillRect/>
                    </a:stretch>
                  </pic:blipFill>
                  <pic:spPr>
                    <a:xfrm>
                      <a:off x="0" y="0"/>
                      <a:ext cx="6659880" cy="9611995"/>
                    </a:xfrm>
                    <a:prstGeom prst="rect">
                      <a:avLst/>
                    </a:prstGeom>
                  </pic:spPr>
                </pic:pic>
              </a:graphicData>
            </a:graphic>
          </wp:inline>
        </w:drawing>
      </w:r>
    </w:p>
    <w:p>
      <w:pPr>
        <w:ind w:left="0" w:leftChars="0" w:firstLine="0" w:firstLineChars="0"/>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drawing>
          <wp:inline distT="0" distB="0" distL="114300" distR="114300">
            <wp:extent cx="6659880" cy="9611995"/>
            <wp:effectExtent l="0" t="0" r="7620" b="8255"/>
            <wp:docPr id="16" name="图片 16" descr="【2024】4号胡家镇初设批复_02"/>
            <wp:cNvGraphicFramePr/>
            <a:graphic xmlns:a="http://schemas.openxmlformats.org/drawingml/2006/main">
              <a:graphicData uri="http://schemas.openxmlformats.org/drawingml/2006/picture">
                <pic:pic xmlns:pic="http://schemas.openxmlformats.org/drawingml/2006/picture">
                  <pic:nvPicPr>
                    <pic:cNvPr id="16" name="图片 16" descr="【2024】4号胡家镇初设批复_02"/>
                    <pic:cNvPicPr/>
                  </pic:nvPicPr>
                  <pic:blipFill>
                    <a:blip r:embed="rId36"/>
                    <a:stretch>
                      <a:fillRect/>
                    </a:stretch>
                  </pic:blipFill>
                  <pic:spPr>
                    <a:xfrm>
                      <a:off x="0" y="0"/>
                      <a:ext cx="6659880" cy="9611995"/>
                    </a:xfrm>
                    <a:prstGeom prst="rect">
                      <a:avLst/>
                    </a:prstGeom>
                  </pic:spPr>
                </pic:pic>
              </a:graphicData>
            </a:graphic>
          </wp:inline>
        </w:drawing>
      </w:r>
    </w:p>
    <w:p>
      <w:pPr>
        <w:ind w:left="0" w:leftChars="0" w:firstLine="0" w:firstLineChars="0"/>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drawing>
          <wp:inline distT="0" distB="0" distL="114300" distR="114300">
            <wp:extent cx="6659880" cy="9648190"/>
            <wp:effectExtent l="0" t="0" r="7620" b="10160"/>
            <wp:docPr id="17" name="图片 17" descr="【2024】4号胡家镇初设批复_03"/>
            <wp:cNvGraphicFramePr/>
            <a:graphic xmlns:a="http://schemas.openxmlformats.org/drawingml/2006/main">
              <a:graphicData uri="http://schemas.openxmlformats.org/drawingml/2006/picture">
                <pic:pic xmlns:pic="http://schemas.openxmlformats.org/drawingml/2006/picture">
                  <pic:nvPicPr>
                    <pic:cNvPr id="17" name="图片 17" descr="【2024】4号胡家镇初设批复_03"/>
                    <pic:cNvPicPr/>
                  </pic:nvPicPr>
                  <pic:blipFill>
                    <a:blip r:embed="rId37"/>
                    <a:stretch>
                      <a:fillRect/>
                    </a:stretch>
                  </pic:blipFill>
                  <pic:spPr>
                    <a:xfrm>
                      <a:off x="0" y="0"/>
                      <a:ext cx="6659880" cy="9648190"/>
                    </a:xfrm>
                    <a:prstGeom prst="rect">
                      <a:avLst/>
                    </a:prstGeom>
                  </pic:spPr>
                </pic:pic>
              </a:graphicData>
            </a:graphic>
          </wp:inline>
        </w:drawing>
      </w:r>
    </w:p>
    <w:p>
      <w:pPr>
        <w:ind w:left="0" w:leftChars="0" w:firstLine="0" w:firstLineChars="0"/>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drawing>
          <wp:inline distT="0" distB="0" distL="114300" distR="114300">
            <wp:extent cx="6659880" cy="9648190"/>
            <wp:effectExtent l="0" t="0" r="7620" b="10160"/>
            <wp:docPr id="18" name="图片 18" descr="【2024】4号胡家镇初设批复_04"/>
            <wp:cNvGraphicFramePr/>
            <a:graphic xmlns:a="http://schemas.openxmlformats.org/drawingml/2006/main">
              <a:graphicData uri="http://schemas.openxmlformats.org/drawingml/2006/picture">
                <pic:pic xmlns:pic="http://schemas.openxmlformats.org/drawingml/2006/picture">
                  <pic:nvPicPr>
                    <pic:cNvPr id="18" name="图片 18" descr="【2024】4号胡家镇初设批复_04"/>
                    <pic:cNvPicPr/>
                  </pic:nvPicPr>
                  <pic:blipFill>
                    <a:blip r:embed="rId38"/>
                    <a:stretch>
                      <a:fillRect/>
                    </a:stretch>
                  </pic:blipFill>
                  <pic:spPr>
                    <a:xfrm>
                      <a:off x="0" y="0"/>
                      <a:ext cx="6659880" cy="9648190"/>
                    </a:xfrm>
                    <a:prstGeom prst="rect">
                      <a:avLst/>
                    </a:prstGeom>
                  </pic:spPr>
                </pic:pic>
              </a:graphicData>
            </a:graphic>
          </wp:inline>
        </w:drawing>
      </w:r>
    </w:p>
    <w:p>
      <w:pPr>
        <w:ind w:left="0" w:leftChars="0" w:firstLine="0" w:firstLineChars="0"/>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drawing>
          <wp:inline distT="0" distB="0" distL="114300" distR="114300">
            <wp:extent cx="6659880" cy="9648190"/>
            <wp:effectExtent l="0" t="0" r="7620" b="10160"/>
            <wp:docPr id="19" name="图片 19" descr="【2024】4号胡家镇初设批复_05"/>
            <wp:cNvGraphicFramePr/>
            <a:graphic xmlns:a="http://schemas.openxmlformats.org/drawingml/2006/main">
              <a:graphicData uri="http://schemas.openxmlformats.org/drawingml/2006/picture">
                <pic:pic xmlns:pic="http://schemas.openxmlformats.org/drawingml/2006/picture">
                  <pic:nvPicPr>
                    <pic:cNvPr id="19" name="图片 19" descr="【2024】4号胡家镇初设批复_05"/>
                    <pic:cNvPicPr/>
                  </pic:nvPicPr>
                  <pic:blipFill>
                    <a:blip r:embed="rId39"/>
                    <a:stretch>
                      <a:fillRect/>
                    </a:stretch>
                  </pic:blipFill>
                  <pic:spPr>
                    <a:xfrm>
                      <a:off x="0" y="0"/>
                      <a:ext cx="6659880" cy="9648190"/>
                    </a:xfrm>
                    <a:prstGeom prst="rect">
                      <a:avLst/>
                    </a:prstGeom>
                  </pic:spPr>
                </pic:pic>
              </a:graphicData>
            </a:graphic>
          </wp:inline>
        </w:drawing>
      </w:r>
    </w:p>
    <w:p>
      <w:pPr>
        <w:ind w:left="0" w:leftChars="0" w:firstLine="0" w:firstLineChars="0"/>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drawing>
          <wp:inline distT="0" distB="0" distL="114300" distR="114300">
            <wp:extent cx="6659880" cy="9648190"/>
            <wp:effectExtent l="0" t="0" r="7620" b="10160"/>
            <wp:docPr id="20" name="图片 20" descr="【2024】4号胡家镇初设批复_06"/>
            <wp:cNvGraphicFramePr/>
            <a:graphic xmlns:a="http://schemas.openxmlformats.org/drawingml/2006/main">
              <a:graphicData uri="http://schemas.openxmlformats.org/drawingml/2006/picture">
                <pic:pic xmlns:pic="http://schemas.openxmlformats.org/drawingml/2006/picture">
                  <pic:nvPicPr>
                    <pic:cNvPr id="20" name="图片 20" descr="【2024】4号胡家镇初设批复_06"/>
                    <pic:cNvPicPr/>
                  </pic:nvPicPr>
                  <pic:blipFill>
                    <a:blip r:embed="rId40"/>
                    <a:stretch>
                      <a:fillRect/>
                    </a:stretch>
                  </pic:blipFill>
                  <pic:spPr>
                    <a:xfrm>
                      <a:off x="0" y="0"/>
                      <a:ext cx="6659880" cy="9648190"/>
                    </a:xfrm>
                    <a:prstGeom prst="rect">
                      <a:avLst/>
                    </a:prstGeom>
                  </pic:spPr>
                </pic:pic>
              </a:graphicData>
            </a:graphic>
          </wp:inline>
        </w:drawing>
      </w:r>
    </w:p>
    <w:p>
      <w:pPr>
        <w:ind w:left="0" w:leftChars="0" w:firstLine="0" w:firstLineChars="0"/>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drawing>
          <wp:inline distT="0" distB="0" distL="114300" distR="114300">
            <wp:extent cx="6659880" cy="9648190"/>
            <wp:effectExtent l="0" t="0" r="7620" b="10160"/>
            <wp:docPr id="21" name="图片 21" descr="【2024】4号胡家镇初设批复_07"/>
            <wp:cNvGraphicFramePr/>
            <a:graphic xmlns:a="http://schemas.openxmlformats.org/drawingml/2006/main">
              <a:graphicData uri="http://schemas.openxmlformats.org/drawingml/2006/picture">
                <pic:pic xmlns:pic="http://schemas.openxmlformats.org/drawingml/2006/picture">
                  <pic:nvPicPr>
                    <pic:cNvPr id="21" name="图片 21" descr="【2024】4号胡家镇初设批复_07"/>
                    <pic:cNvPicPr/>
                  </pic:nvPicPr>
                  <pic:blipFill>
                    <a:blip r:embed="rId41"/>
                    <a:stretch>
                      <a:fillRect/>
                    </a:stretch>
                  </pic:blipFill>
                  <pic:spPr>
                    <a:xfrm>
                      <a:off x="0" y="0"/>
                      <a:ext cx="6659880" cy="9648190"/>
                    </a:xfrm>
                    <a:prstGeom prst="rect">
                      <a:avLst/>
                    </a:prstGeom>
                  </pic:spPr>
                </pic:pic>
              </a:graphicData>
            </a:graphic>
          </wp:inline>
        </w:drawing>
      </w:r>
    </w:p>
    <w:p>
      <w:pPr>
        <w:ind w:left="0" w:leftChars="0" w:firstLine="0" w:firstLineChars="0"/>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drawing>
          <wp:inline distT="0" distB="0" distL="114300" distR="114300">
            <wp:extent cx="6659880" cy="9648190"/>
            <wp:effectExtent l="0" t="0" r="7620" b="10160"/>
            <wp:docPr id="22" name="图片 22" descr="【2024】4号胡家镇初设批复_08"/>
            <wp:cNvGraphicFramePr/>
            <a:graphic xmlns:a="http://schemas.openxmlformats.org/drawingml/2006/main">
              <a:graphicData uri="http://schemas.openxmlformats.org/drawingml/2006/picture">
                <pic:pic xmlns:pic="http://schemas.openxmlformats.org/drawingml/2006/picture">
                  <pic:nvPicPr>
                    <pic:cNvPr id="22" name="图片 22" descr="【2024】4号胡家镇初设批复_08"/>
                    <pic:cNvPicPr/>
                  </pic:nvPicPr>
                  <pic:blipFill>
                    <a:blip r:embed="rId42"/>
                    <a:stretch>
                      <a:fillRect/>
                    </a:stretch>
                  </pic:blipFill>
                  <pic:spPr>
                    <a:xfrm>
                      <a:off x="0" y="0"/>
                      <a:ext cx="6659880" cy="9648190"/>
                    </a:xfrm>
                    <a:prstGeom prst="rect">
                      <a:avLst/>
                    </a:prstGeom>
                  </pic:spPr>
                </pic:pic>
              </a:graphicData>
            </a:graphic>
          </wp:inline>
        </w:drawing>
      </w:r>
    </w:p>
    <w:p>
      <w:pPr>
        <w:ind w:left="0" w:leftChars="0" w:firstLine="0" w:firstLineChars="0"/>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drawing>
          <wp:inline distT="0" distB="0" distL="114300" distR="114300">
            <wp:extent cx="6659880" cy="9648190"/>
            <wp:effectExtent l="0" t="0" r="7620" b="10160"/>
            <wp:docPr id="23" name="图片 23" descr="【2024】4号胡家镇初设批复_09"/>
            <wp:cNvGraphicFramePr/>
            <a:graphic xmlns:a="http://schemas.openxmlformats.org/drawingml/2006/main">
              <a:graphicData uri="http://schemas.openxmlformats.org/drawingml/2006/picture">
                <pic:pic xmlns:pic="http://schemas.openxmlformats.org/drawingml/2006/picture">
                  <pic:nvPicPr>
                    <pic:cNvPr id="23" name="图片 23" descr="【2024】4号胡家镇初设批复_09"/>
                    <pic:cNvPicPr/>
                  </pic:nvPicPr>
                  <pic:blipFill>
                    <a:blip r:embed="rId43"/>
                    <a:stretch>
                      <a:fillRect/>
                    </a:stretch>
                  </pic:blipFill>
                  <pic:spPr>
                    <a:xfrm>
                      <a:off x="0" y="0"/>
                      <a:ext cx="6659880" cy="9648190"/>
                    </a:xfrm>
                    <a:prstGeom prst="rect">
                      <a:avLst/>
                    </a:prstGeom>
                  </pic:spPr>
                </pic:pic>
              </a:graphicData>
            </a:graphic>
          </wp:inline>
        </w:drawing>
      </w:r>
    </w:p>
    <w:p>
      <w:pPr>
        <w:ind w:left="0" w:leftChars="0" w:firstLine="0" w:firstLineChars="0"/>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drawing>
          <wp:inline distT="0" distB="0" distL="114300" distR="114300">
            <wp:extent cx="6659880" cy="9648190"/>
            <wp:effectExtent l="0" t="0" r="7620" b="10160"/>
            <wp:docPr id="24" name="图片 24" descr="【2024】4号胡家镇初设批复_10"/>
            <wp:cNvGraphicFramePr/>
            <a:graphic xmlns:a="http://schemas.openxmlformats.org/drawingml/2006/main">
              <a:graphicData uri="http://schemas.openxmlformats.org/drawingml/2006/picture">
                <pic:pic xmlns:pic="http://schemas.openxmlformats.org/drawingml/2006/picture">
                  <pic:nvPicPr>
                    <pic:cNvPr id="24" name="图片 24" descr="【2024】4号胡家镇初设批复_10"/>
                    <pic:cNvPicPr/>
                  </pic:nvPicPr>
                  <pic:blipFill>
                    <a:blip r:embed="rId44"/>
                    <a:stretch>
                      <a:fillRect/>
                    </a:stretch>
                  </pic:blipFill>
                  <pic:spPr>
                    <a:xfrm>
                      <a:off x="0" y="0"/>
                      <a:ext cx="6659880" cy="9648190"/>
                    </a:xfrm>
                    <a:prstGeom prst="rect">
                      <a:avLst/>
                    </a:prstGeom>
                  </pic:spPr>
                </pic:pic>
              </a:graphicData>
            </a:graphic>
          </wp:inline>
        </w:drawing>
      </w:r>
    </w:p>
    <w:p>
      <w:pPr>
        <w:ind w:left="0" w:leftChars="0" w:firstLine="0" w:firstLineChars="0"/>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drawing>
          <wp:inline distT="0" distB="0" distL="114300" distR="114300">
            <wp:extent cx="6659880" cy="9648190"/>
            <wp:effectExtent l="0" t="0" r="7620" b="10160"/>
            <wp:docPr id="25" name="图片 25" descr="【2024】4号胡家镇初设批复_11"/>
            <wp:cNvGraphicFramePr/>
            <a:graphic xmlns:a="http://schemas.openxmlformats.org/drawingml/2006/main">
              <a:graphicData uri="http://schemas.openxmlformats.org/drawingml/2006/picture">
                <pic:pic xmlns:pic="http://schemas.openxmlformats.org/drawingml/2006/picture">
                  <pic:nvPicPr>
                    <pic:cNvPr id="25" name="图片 25" descr="【2024】4号胡家镇初设批复_11"/>
                    <pic:cNvPicPr/>
                  </pic:nvPicPr>
                  <pic:blipFill>
                    <a:blip r:embed="rId45"/>
                    <a:stretch>
                      <a:fillRect/>
                    </a:stretch>
                  </pic:blipFill>
                  <pic:spPr>
                    <a:xfrm>
                      <a:off x="0" y="0"/>
                      <a:ext cx="6659880" cy="9648190"/>
                    </a:xfrm>
                    <a:prstGeom prst="rect">
                      <a:avLst/>
                    </a:prstGeom>
                  </pic:spPr>
                </pic:pic>
              </a:graphicData>
            </a:graphic>
          </wp:inline>
        </w:drawing>
      </w:r>
    </w:p>
    <w:p>
      <w:pPr>
        <w:ind w:left="0" w:leftChars="0" w:firstLine="0" w:firstLineChars="0"/>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drawing>
          <wp:inline distT="0" distB="0" distL="114300" distR="114300">
            <wp:extent cx="6659880" cy="9648190"/>
            <wp:effectExtent l="0" t="0" r="7620" b="10160"/>
            <wp:docPr id="26" name="图片 26" descr="【2024】4号胡家镇初设批复_12"/>
            <wp:cNvGraphicFramePr/>
            <a:graphic xmlns:a="http://schemas.openxmlformats.org/drawingml/2006/main">
              <a:graphicData uri="http://schemas.openxmlformats.org/drawingml/2006/picture">
                <pic:pic xmlns:pic="http://schemas.openxmlformats.org/drawingml/2006/picture">
                  <pic:nvPicPr>
                    <pic:cNvPr id="26" name="图片 26" descr="【2024】4号胡家镇初设批复_12"/>
                    <pic:cNvPicPr/>
                  </pic:nvPicPr>
                  <pic:blipFill>
                    <a:blip r:embed="rId46"/>
                    <a:stretch>
                      <a:fillRect/>
                    </a:stretch>
                  </pic:blipFill>
                  <pic:spPr>
                    <a:xfrm>
                      <a:off x="0" y="0"/>
                      <a:ext cx="6659880" cy="9648190"/>
                    </a:xfrm>
                    <a:prstGeom prst="rect">
                      <a:avLst/>
                    </a:prstGeom>
                  </pic:spPr>
                </pic:pic>
              </a:graphicData>
            </a:graphic>
          </wp:inline>
        </w:drawing>
      </w:r>
    </w:p>
    <w:p>
      <w:pPr>
        <w:ind w:left="0" w:leftChars="0" w:firstLine="0" w:firstLineChars="0"/>
        <w:rPr>
          <w:rFonts w:hint="default" w:ascii="Times New Roman" w:hAnsi="Times New Roman" w:cs="Times New Roman"/>
          <w:b/>
          <w:bCs/>
          <w:color w:val="auto"/>
          <w:lang w:val="en-US" w:eastAsia="zh-CN"/>
        </w:rPr>
        <w:sectPr>
          <w:pgSz w:w="11906" w:h="16838"/>
          <w:pgMar w:top="720" w:right="720" w:bottom="720" w:left="720" w:header="113" w:footer="113" w:gutter="0"/>
          <w:pgBorders>
            <w:top w:val="none" w:sz="0" w:space="0"/>
            <w:left w:val="none" w:sz="0" w:space="0"/>
            <w:bottom w:val="none" w:sz="0" w:space="0"/>
            <w:right w:val="none" w:sz="0" w:space="0"/>
          </w:pgBorders>
          <w:pgNumType w:fmt="decimal"/>
          <w:cols w:space="425" w:num="1"/>
          <w:docGrid w:type="lines" w:linePitch="312" w:charSpace="0"/>
        </w:sectPr>
      </w:pPr>
      <w:r>
        <w:rPr>
          <w:rFonts w:hint="default" w:ascii="Times New Roman" w:hAnsi="Times New Roman" w:cs="Times New Roman"/>
          <w:b/>
          <w:bCs/>
          <w:color w:val="auto"/>
          <w:lang w:val="en-US" w:eastAsia="zh-CN"/>
        </w:rPr>
        <w:drawing>
          <wp:inline distT="0" distB="0" distL="114300" distR="114300">
            <wp:extent cx="6659880" cy="9648190"/>
            <wp:effectExtent l="0" t="0" r="7620" b="10160"/>
            <wp:docPr id="27" name="图片 27" descr="【2024】4号胡家镇初设批复_13"/>
            <wp:cNvGraphicFramePr/>
            <a:graphic xmlns:a="http://schemas.openxmlformats.org/drawingml/2006/main">
              <a:graphicData uri="http://schemas.openxmlformats.org/drawingml/2006/picture">
                <pic:pic xmlns:pic="http://schemas.openxmlformats.org/drawingml/2006/picture">
                  <pic:nvPicPr>
                    <pic:cNvPr id="27" name="图片 27" descr="【2024】4号胡家镇初设批复_13"/>
                    <pic:cNvPicPr/>
                  </pic:nvPicPr>
                  <pic:blipFill>
                    <a:blip r:embed="rId47"/>
                    <a:stretch>
                      <a:fillRect/>
                    </a:stretch>
                  </pic:blipFill>
                  <pic:spPr>
                    <a:xfrm>
                      <a:off x="0" y="0"/>
                      <a:ext cx="6659880" cy="9648190"/>
                    </a:xfrm>
                    <a:prstGeom prst="rect">
                      <a:avLst/>
                    </a:prstGeom>
                  </pic:spPr>
                </pic:pic>
              </a:graphicData>
            </a:graphic>
          </wp:inline>
        </w:drawing>
      </w:r>
      <w:r>
        <w:rPr>
          <w:rFonts w:hint="default" w:ascii="Times New Roman" w:hAnsi="Times New Roman" w:cs="Times New Roman"/>
          <w:b/>
          <w:bCs/>
          <w:color w:val="auto"/>
          <w:lang w:val="en-US" w:eastAsia="zh-CN"/>
        </w:rPr>
        <w:drawing>
          <wp:inline distT="0" distB="0" distL="114300" distR="114300">
            <wp:extent cx="6644005" cy="9401810"/>
            <wp:effectExtent l="0" t="0" r="4445" b="8890"/>
            <wp:docPr id="43" name="图片 43" descr="1_胡家河用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1_胡家河用地"/>
                    <pic:cNvPicPr>
                      <a:picLocks noChangeAspect="1"/>
                    </pic:cNvPicPr>
                  </pic:nvPicPr>
                  <pic:blipFill>
                    <a:blip r:embed="rId48"/>
                    <a:stretch>
                      <a:fillRect/>
                    </a:stretch>
                  </pic:blipFill>
                  <pic:spPr>
                    <a:xfrm>
                      <a:off x="0" y="0"/>
                      <a:ext cx="6644005" cy="9401810"/>
                    </a:xfrm>
                    <a:prstGeom prst="rect">
                      <a:avLst/>
                    </a:prstGeom>
                  </pic:spPr>
                </pic:pic>
              </a:graphicData>
            </a:graphic>
          </wp:inline>
        </w:drawing>
      </w:r>
      <w:r>
        <w:rPr>
          <w:rFonts w:hint="default" w:ascii="Times New Roman" w:hAnsi="Times New Roman" w:cs="Times New Roman"/>
          <w:b/>
          <w:bCs/>
          <w:color w:val="auto"/>
          <w:lang w:val="en-US" w:eastAsia="zh-CN"/>
        </w:rPr>
        <w:drawing>
          <wp:inline distT="0" distB="0" distL="114300" distR="114300">
            <wp:extent cx="6639560" cy="9391650"/>
            <wp:effectExtent l="0" t="0" r="8890" b="0"/>
            <wp:docPr id="42" name="图片 42" descr="2401239宣汉县胡家镇胡家河山洪沟防洪治理工程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2401239宣汉县胡家镇胡家河山洪沟防洪治理工程_页面_1"/>
                    <pic:cNvPicPr>
                      <a:picLocks noChangeAspect="1"/>
                    </pic:cNvPicPr>
                  </pic:nvPicPr>
                  <pic:blipFill>
                    <a:blip r:embed="rId49"/>
                    <a:stretch>
                      <a:fillRect/>
                    </a:stretch>
                  </pic:blipFill>
                  <pic:spPr>
                    <a:xfrm>
                      <a:off x="0" y="0"/>
                      <a:ext cx="6639560" cy="9391650"/>
                    </a:xfrm>
                    <a:prstGeom prst="rect">
                      <a:avLst/>
                    </a:prstGeom>
                  </pic:spPr>
                </pic:pic>
              </a:graphicData>
            </a:graphic>
          </wp:inline>
        </w:drawing>
      </w:r>
      <w:r>
        <w:rPr>
          <w:rFonts w:hint="default" w:ascii="Times New Roman" w:hAnsi="Times New Roman" w:cs="Times New Roman"/>
          <w:b/>
          <w:bCs/>
          <w:color w:val="auto"/>
          <w:lang w:val="en-US" w:eastAsia="zh-CN"/>
        </w:rPr>
        <w:drawing>
          <wp:inline distT="0" distB="0" distL="114300" distR="114300">
            <wp:extent cx="6639560" cy="9391650"/>
            <wp:effectExtent l="0" t="0" r="8890" b="0"/>
            <wp:docPr id="41" name="图片 41" descr="2401239宣汉县胡家镇胡家河山洪沟防洪治理工程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2401239宣汉县胡家镇胡家河山洪沟防洪治理工程_页面_2"/>
                    <pic:cNvPicPr>
                      <a:picLocks noChangeAspect="1"/>
                    </pic:cNvPicPr>
                  </pic:nvPicPr>
                  <pic:blipFill>
                    <a:blip r:embed="rId50"/>
                    <a:stretch>
                      <a:fillRect/>
                    </a:stretch>
                  </pic:blipFill>
                  <pic:spPr>
                    <a:xfrm>
                      <a:off x="0" y="0"/>
                      <a:ext cx="6639560" cy="9391650"/>
                    </a:xfrm>
                    <a:prstGeom prst="rect">
                      <a:avLst/>
                    </a:prstGeom>
                  </pic:spPr>
                </pic:pic>
              </a:graphicData>
            </a:graphic>
          </wp:inline>
        </w:drawing>
      </w:r>
      <w:r>
        <w:rPr>
          <w:rFonts w:hint="default" w:ascii="Times New Roman" w:hAnsi="Times New Roman" w:cs="Times New Roman"/>
          <w:b/>
          <w:bCs/>
          <w:color w:val="auto"/>
          <w:lang w:val="en-US" w:eastAsia="zh-CN"/>
        </w:rPr>
        <w:drawing>
          <wp:inline distT="0" distB="0" distL="114300" distR="114300">
            <wp:extent cx="6639560" cy="9391650"/>
            <wp:effectExtent l="0" t="0" r="8890" b="0"/>
            <wp:docPr id="40" name="图片 40" descr="2401239宣汉县胡家镇胡家河山洪沟防洪治理工程_页面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2401239宣汉县胡家镇胡家河山洪沟防洪治理工程_页面_3"/>
                    <pic:cNvPicPr>
                      <a:picLocks noChangeAspect="1"/>
                    </pic:cNvPicPr>
                  </pic:nvPicPr>
                  <pic:blipFill>
                    <a:blip r:embed="rId51"/>
                    <a:stretch>
                      <a:fillRect/>
                    </a:stretch>
                  </pic:blipFill>
                  <pic:spPr>
                    <a:xfrm>
                      <a:off x="0" y="0"/>
                      <a:ext cx="6639560" cy="9391650"/>
                    </a:xfrm>
                    <a:prstGeom prst="rect">
                      <a:avLst/>
                    </a:prstGeom>
                  </pic:spPr>
                </pic:pic>
              </a:graphicData>
            </a:graphic>
          </wp:inline>
        </w:drawing>
      </w:r>
      <w:r>
        <w:rPr>
          <w:rFonts w:hint="default" w:ascii="Times New Roman" w:hAnsi="Times New Roman" w:cs="Times New Roman"/>
          <w:b/>
          <w:bCs/>
          <w:color w:val="auto"/>
          <w:lang w:val="en-US" w:eastAsia="zh-CN"/>
        </w:rPr>
        <w:drawing>
          <wp:inline distT="0" distB="0" distL="114300" distR="114300">
            <wp:extent cx="6639560" cy="9391650"/>
            <wp:effectExtent l="0" t="0" r="8890" b="0"/>
            <wp:docPr id="39" name="图片 39" descr="2401239宣汉县胡家镇胡家河山洪沟防洪治理工程_页面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2401239宣汉县胡家镇胡家河山洪沟防洪治理工程_页面_4"/>
                    <pic:cNvPicPr>
                      <a:picLocks noChangeAspect="1"/>
                    </pic:cNvPicPr>
                  </pic:nvPicPr>
                  <pic:blipFill>
                    <a:blip r:embed="rId52"/>
                    <a:stretch>
                      <a:fillRect/>
                    </a:stretch>
                  </pic:blipFill>
                  <pic:spPr>
                    <a:xfrm>
                      <a:off x="0" y="0"/>
                      <a:ext cx="6639560" cy="9391650"/>
                    </a:xfrm>
                    <a:prstGeom prst="rect">
                      <a:avLst/>
                    </a:prstGeom>
                  </pic:spPr>
                </pic:pic>
              </a:graphicData>
            </a:graphic>
          </wp:inline>
        </w:drawing>
      </w:r>
      <w:r>
        <w:rPr>
          <w:rFonts w:hint="default" w:ascii="Times New Roman" w:hAnsi="Times New Roman" w:cs="Times New Roman"/>
          <w:b/>
          <w:bCs/>
          <w:color w:val="auto"/>
          <w:lang w:val="en-US" w:eastAsia="zh-CN"/>
        </w:rPr>
        <w:drawing>
          <wp:inline distT="0" distB="0" distL="114300" distR="114300">
            <wp:extent cx="6639560" cy="9391650"/>
            <wp:effectExtent l="0" t="0" r="8890" b="0"/>
            <wp:docPr id="38" name="图片 38" descr="2401239宣汉县胡家镇胡家河山洪沟防洪治理工程_页面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2401239宣汉县胡家镇胡家河山洪沟防洪治理工程_页面_5"/>
                    <pic:cNvPicPr>
                      <a:picLocks noChangeAspect="1"/>
                    </pic:cNvPicPr>
                  </pic:nvPicPr>
                  <pic:blipFill>
                    <a:blip r:embed="rId53"/>
                    <a:stretch>
                      <a:fillRect/>
                    </a:stretch>
                  </pic:blipFill>
                  <pic:spPr>
                    <a:xfrm>
                      <a:off x="0" y="0"/>
                      <a:ext cx="6639560" cy="9391650"/>
                    </a:xfrm>
                    <a:prstGeom prst="rect">
                      <a:avLst/>
                    </a:prstGeom>
                  </pic:spPr>
                </pic:pic>
              </a:graphicData>
            </a:graphic>
          </wp:inline>
        </w:drawing>
      </w:r>
      <w:r>
        <w:rPr>
          <w:rFonts w:hint="default" w:ascii="Times New Roman" w:hAnsi="Times New Roman" w:cs="Times New Roman"/>
          <w:b/>
          <w:bCs/>
          <w:color w:val="auto"/>
          <w:lang w:val="en-US" w:eastAsia="zh-CN"/>
        </w:rPr>
        <w:drawing>
          <wp:inline distT="0" distB="0" distL="114300" distR="114300">
            <wp:extent cx="6639560" cy="9391650"/>
            <wp:effectExtent l="0" t="0" r="8890" b="0"/>
            <wp:docPr id="37" name="图片 37" descr="2401239宣汉县胡家镇胡家河山洪沟防洪治理工程_页面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2401239宣汉县胡家镇胡家河山洪沟防洪治理工程_页面_6"/>
                    <pic:cNvPicPr>
                      <a:picLocks noChangeAspect="1"/>
                    </pic:cNvPicPr>
                  </pic:nvPicPr>
                  <pic:blipFill>
                    <a:blip r:embed="rId54"/>
                    <a:stretch>
                      <a:fillRect/>
                    </a:stretch>
                  </pic:blipFill>
                  <pic:spPr>
                    <a:xfrm>
                      <a:off x="0" y="0"/>
                      <a:ext cx="6639560" cy="9391650"/>
                    </a:xfrm>
                    <a:prstGeom prst="rect">
                      <a:avLst/>
                    </a:prstGeom>
                  </pic:spPr>
                </pic:pic>
              </a:graphicData>
            </a:graphic>
          </wp:inline>
        </w:drawing>
      </w:r>
    </w:p>
    <w:p>
      <w:pPr>
        <w:ind w:left="0" w:leftChars="0" w:firstLine="0" w:firstLineChars="0"/>
        <w:rPr>
          <w:rFonts w:hint="default" w:ascii="Times New Roman" w:hAnsi="Times New Roman" w:cs="Times New Roman"/>
          <w:b/>
          <w:bCs/>
          <w:lang w:val="en-US" w:eastAsia="zh-CN"/>
        </w:rPr>
      </w:pPr>
      <w:r>
        <w:rPr>
          <w:rFonts w:hint="default" w:ascii="Times New Roman" w:hAnsi="Times New Roman" w:cs="Times New Roman"/>
          <w:b/>
          <w:bCs/>
          <w:lang w:val="en-US" w:eastAsia="zh-CN"/>
        </w:rPr>
        <w:drawing>
          <wp:inline distT="0" distB="0" distL="114300" distR="114300">
            <wp:extent cx="6659880" cy="9432290"/>
            <wp:effectExtent l="0" t="0" r="7620" b="16510"/>
            <wp:docPr id="28" name="图片 28" descr="附件9 3031-宣汉县胡家镇生活污水处理厂入河排污口论证报告_00"/>
            <wp:cNvGraphicFramePr/>
            <a:graphic xmlns:a="http://schemas.openxmlformats.org/drawingml/2006/main">
              <a:graphicData uri="http://schemas.openxmlformats.org/drawingml/2006/picture">
                <pic:pic xmlns:pic="http://schemas.openxmlformats.org/drawingml/2006/picture">
                  <pic:nvPicPr>
                    <pic:cNvPr id="28" name="图片 28" descr="附件9 3031-宣汉县胡家镇生活污水处理厂入河排污口论证报告_00"/>
                    <pic:cNvPicPr/>
                  </pic:nvPicPr>
                  <pic:blipFill>
                    <a:blip r:embed="rId55"/>
                    <a:stretch>
                      <a:fillRect/>
                    </a:stretch>
                  </pic:blipFill>
                  <pic:spPr>
                    <a:xfrm>
                      <a:off x="0" y="0"/>
                      <a:ext cx="6659880" cy="9432290"/>
                    </a:xfrm>
                    <a:prstGeom prst="rect">
                      <a:avLst/>
                    </a:prstGeom>
                  </pic:spPr>
                </pic:pic>
              </a:graphicData>
            </a:graphic>
          </wp:inline>
        </w:drawing>
      </w:r>
    </w:p>
    <w:p>
      <w:pPr>
        <w:ind w:left="0" w:leftChars="0" w:firstLine="0" w:firstLineChars="0"/>
        <w:rPr>
          <w:rFonts w:hint="default" w:ascii="Times New Roman" w:hAnsi="Times New Roman" w:cs="Times New Roman"/>
          <w:b/>
          <w:bCs/>
          <w:lang w:val="en-US" w:eastAsia="zh-CN"/>
        </w:rPr>
      </w:pPr>
      <w:r>
        <w:rPr>
          <w:rFonts w:hint="default" w:ascii="Times New Roman" w:hAnsi="Times New Roman" w:cs="Times New Roman"/>
          <w:b/>
          <w:bCs/>
          <w:lang w:val="en-US" w:eastAsia="zh-CN"/>
        </w:rPr>
        <w:drawing>
          <wp:inline distT="0" distB="0" distL="114300" distR="114300">
            <wp:extent cx="6659880" cy="9648190"/>
            <wp:effectExtent l="0" t="0" r="7620" b="10160"/>
            <wp:docPr id="29" name="图片 29" descr="附件9 3031-宣汉县胡家镇生活污水处理厂入河排污口论证报告_01"/>
            <wp:cNvGraphicFramePr/>
            <a:graphic xmlns:a="http://schemas.openxmlformats.org/drawingml/2006/main">
              <a:graphicData uri="http://schemas.openxmlformats.org/drawingml/2006/picture">
                <pic:pic xmlns:pic="http://schemas.openxmlformats.org/drawingml/2006/picture">
                  <pic:nvPicPr>
                    <pic:cNvPr id="29" name="图片 29" descr="附件9 3031-宣汉县胡家镇生活污水处理厂入河排污口论证报告_01"/>
                    <pic:cNvPicPr/>
                  </pic:nvPicPr>
                  <pic:blipFill>
                    <a:blip r:embed="rId56"/>
                    <a:stretch>
                      <a:fillRect/>
                    </a:stretch>
                  </pic:blipFill>
                  <pic:spPr>
                    <a:xfrm>
                      <a:off x="0" y="0"/>
                      <a:ext cx="6659880" cy="9648190"/>
                    </a:xfrm>
                    <a:prstGeom prst="rect">
                      <a:avLst/>
                    </a:prstGeom>
                  </pic:spPr>
                </pic:pic>
              </a:graphicData>
            </a:graphic>
          </wp:inline>
        </w:drawing>
      </w:r>
    </w:p>
    <w:p>
      <w:pPr>
        <w:ind w:left="0" w:leftChars="0" w:firstLine="0" w:firstLineChars="0"/>
        <w:rPr>
          <w:rFonts w:hint="default" w:ascii="Times New Roman" w:hAnsi="Times New Roman" w:cs="Times New Roman"/>
          <w:b/>
          <w:bCs/>
          <w:lang w:val="en-US" w:eastAsia="zh-CN"/>
        </w:rPr>
      </w:pPr>
      <w:r>
        <w:rPr>
          <w:rFonts w:hint="default" w:ascii="Times New Roman" w:hAnsi="Times New Roman" w:cs="Times New Roman"/>
          <w:b/>
          <w:bCs/>
          <w:lang w:val="en-US" w:eastAsia="zh-CN"/>
        </w:rPr>
        <w:drawing>
          <wp:inline distT="0" distB="0" distL="114300" distR="114300">
            <wp:extent cx="6659880" cy="9648190"/>
            <wp:effectExtent l="0" t="0" r="7620" b="10160"/>
            <wp:docPr id="30" name="图片 30" descr="附件9 3031-宣汉县胡家镇生活污水处理厂入河排污口论证报告_02"/>
            <wp:cNvGraphicFramePr/>
            <a:graphic xmlns:a="http://schemas.openxmlformats.org/drawingml/2006/main">
              <a:graphicData uri="http://schemas.openxmlformats.org/drawingml/2006/picture">
                <pic:pic xmlns:pic="http://schemas.openxmlformats.org/drawingml/2006/picture">
                  <pic:nvPicPr>
                    <pic:cNvPr id="30" name="图片 30" descr="附件9 3031-宣汉县胡家镇生活污水处理厂入河排污口论证报告_02"/>
                    <pic:cNvPicPr/>
                  </pic:nvPicPr>
                  <pic:blipFill>
                    <a:blip r:embed="rId57"/>
                    <a:stretch>
                      <a:fillRect/>
                    </a:stretch>
                  </pic:blipFill>
                  <pic:spPr>
                    <a:xfrm>
                      <a:off x="0" y="0"/>
                      <a:ext cx="6659880" cy="9648190"/>
                    </a:xfrm>
                    <a:prstGeom prst="rect">
                      <a:avLst/>
                    </a:prstGeom>
                  </pic:spPr>
                </pic:pic>
              </a:graphicData>
            </a:graphic>
          </wp:inline>
        </w:drawing>
      </w:r>
    </w:p>
    <w:p>
      <w:pPr>
        <w:ind w:left="0" w:leftChars="0" w:firstLine="0" w:firstLineChars="0"/>
        <w:rPr>
          <w:rFonts w:hint="default" w:ascii="Times New Roman" w:hAnsi="Times New Roman" w:cs="Times New Roman"/>
          <w:b/>
          <w:bCs/>
          <w:lang w:val="en-US" w:eastAsia="zh-CN"/>
        </w:rPr>
      </w:pPr>
      <w:r>
        <w:rPr>
          <w:rFonts w:hint="default" w:ascii="Times New Roman" w:hAnsi="Times New Roman" w:cs="Times New Roman"/>
          <w:b/>
          <w:bCs/>
          <w:lang w:val="en-US" w:eastAsia="zh-CN"/>
        </w:rPr>
        <w:drawing>
          <wp:inline distT="0" distB="0" distL="114300" distR="114300">
            <wp:extent cx="6659880" cy="9648190"/>
            <wp:effectExtent l="0" t="0" r="7620" b="10160"/>
            <wp:docPr id="31" name="图片 31" descr="附件9 3031-宣汉县胡家镇生活污水处理厂入河排污口论证报告_03"/>
            <wp:cNvGraphicFramePr/>
            <a:graphic xmlns:a="http://schemas.openxmlformats.org/drawingml/2006/main">
              <a:graphicData uri="http://schemas.openxmlformats.org/drawingml/2006/picture">
                <pic:pic xmlns:pic="http://schemas.openxmlformats.org/drawingml/2006/picture">
                  <pic:nvPicPr>
                    <pic:cNvPr id="31" name="图片 31" descr="附件9 3031-宣汉县胡家镇生活污水处理厂入河排污口论证报告_03"/>
                    <pic:cNvPicPr/>
                  </pic:nvPicPr>
                  <pic:blipFill>
                    <a:blip r:embed="rId58"/>
                    <a:stretch>
                      <a:fillRect/>
                    </a:stretch>
                  </pic:blipFill>
                  <pic:spPr>
                    <a:xfrm>
                      <a:off x="0" y="0"/>
                      <a:ext cx="6659880" cy="9648190"/>
                    </a:xfrm>
                    <a:prstGeom prst="rect">
                      <a:avLst/>
                    </a:prstGeom>
                  </pic:spPr>
                </pic:pic>
              </a:graphicData>
            </a:graphic>
          </wp:inline>
        </w:drawing>
      </w:r>
    </w:p>
    <w:p>
      <w:pPr>
        <w:ind w:left="0" w:leftChars="0" w:firstLine="0" w:firstLineChars="0"/>
        <w:rPr>
          <w:rFonts w:hint="default" w:ascii="Times New Roman" w:hAnsi="Times New Roman" w:cs="Times New Roman"/>
          <w:b/>
          <w:bCs/>
          <w:lang w:val="en-US" w:eastAsia="zh-CN"/>
        </w:rPr>
      </w:pPr>
      <w:r>
        <w:rPr>
          <w:rFonts w:hint="default" w:ascii="Times New Roman" w:hAnsi="Times New Roman" w:cs="Times New Roman"/>
          <w:b/>
          <w:bCs/>
          <w:lang w:val="en-US" w:eastAsia="zh-CN"/>
        </w:rPr>
        <w:drawing>
          <wp:inline distT="0" distB="0" distL="114300" distR="114300">
            <wp:extent cx="6659880" cy="9648190"/>
            <wp:effectExtent l="0" t="0" r="7620" b="10160"/>
            <wp:docPr id="32" name="图片 32" descr="附件9 3031-宣汉县胡家镇生活污水处理厂入河排污口论证报告_04"/>
            <wp:cNvGraphicFramePr/>
            <a:graphic xmlns:a="http://schemas.openxmlformats.org/drawingml/2006/main">
              <a:graphicData uri="http://schemas.openxmlformats.org/drawingml/2006/picture">
                <pic:pic xmlns:pic="http://schemas.openxmlformats.org/drawingml/2006/picture">
                  <pic:nvPicPr>
                    <pic:cNvPr id="32" name="图片 32" descr="附件9 3031-宣汉县胡家镇生活污水处理厂入河排污口论证报告_04"/>
                    <pic:cNvPicPr/>
                  </pic:nvPicPr>
                  <pic:blipFill>
                    <a:blip r:embed="rId59"/>
                    <a:stretch>
                      <a:fillRect/>
                    </a:stretch>
                  </pic:blipFill>
                  <pic:spPr>
                    <a:xfrm>
                      <a:off x="0" y="0"/>
                      <a:ext cx="6659880" cy="9648190"/>
                    </a:xfrm>
                    <a:prstGeom prst="rect">
                      <a:avLst/>
                    </a:prstGeom>
                  </pic:spPr>
                </pic:pic>
              </a:graphicData>
            </a:graphic>
          </wp:inline>
        </w:drawing>
      </w:r>
    </w:p>
    <w:sectPr>
      <w:pgSz w:w="11906" w:h="16838"/>
      <w:pgMar w:top="720" w:right="720" w:bottom="720" w:left="720" w:header="113" w:footer="113" w:gutter="0"/>
      <w:pgBorders>
        <w:top w:val="none" w:sz="0" w:space="0"/>
        <w:left w:val="none" w:sz="0" w:space="0"/>
        <w:bottom w:val="none" w:sz="0" w:space="0"/>
        <w:right w:val="none" w:sz="0" w:space="0"/>
      </w:pgBorders>
      <w:pgNumType w:fmt="decimal"/>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华文中宋">
    <w:panose1 w:val="02010600040101010101"/>
    <w:charset w:val="86"/>
    <w:family w:val="auto"/>
    <w:pitch w:val="default"/>
    <w:sig w:usb0="00000287" w:usb1="080F0000" w:usb2="00000000" w:usb3="00000000" w:csb0="0004009F" w:csb1="DFD70000"/>
  </w:font>
  <w:font w:name="仿宋_GB2312">
    <w:panose1 w:val="02010609030101010101"/>
    <w:charset w:val="86"/>
    <w:family w:val="modern"/>
    <w:pitch w:val="default"/>
    <w:sig w:usb0="00000001" w:usb1="080E0000" w:usb2="00000000" w:usb3="00000000" w:csb0="00040000" w:csb1="00000000"/>
  </w:font>
  <w:font w:name="仿宋">
    <w:panose1 w:val="02010609060101010101"/>
    <w:charset w:val="86"/>
    <w:family w:val="auto"/>
    <w:pitch w:val="default"/>
    <w:sig w:usb0="800002BF" w:usb1="38CF7CFA" w:usb2="00000016" w:usb3="00000000" w:csb0="00040001" w:csb1="00000000"/>
  </w:font>
  <w:font w:name="方正小标宋_GBK">
    <w:altName w:val="微软雅黑"/>
    <w:panose1 w:val="03000509000000000000"/>
    <w:charset w:val="86"/>
    <w:family w:val="script"/>
    <w:pitch w:val="default"/>
    <w:sig w:usb0="00000000" w:usb1="00000000" w:usb2="00000000" w:usb3="00000000" w:csb0="00040001" w:csb1="00000000"/>
  </w:font>
  <w:font w:name="楷体_GB2312">
    <w:panose1 w:val="02010609030101010101"/>
    <w:charset w:val="86"/>
    <w:family w:val="modern"/>
    <w:pitch w:val="default"/>
    <w:sig w:usb0="00000001" w:usb1="080E0000" w:usb2="00000000" w:usb3="00000000" w:csb0="00040000" w:csb1="00000000"/>
  </w:font>
  <w:font w:name="Wingdings 2">
    <w:panose1 w:val="05020102010507070707"/>
    <w:charset w:val="00"/>
    <w:family w:val="auto"/>
    <w:pitch w:val="default"/>
    <w:sig w:usb0="00000000" w:usb1="00000000" w:usb2="00000000" w:usb3="00000000" w:csb0="80000000" w:csb1="00000000"/>
  </w:font>
  <w:font w:name="微软雅黑">
    <w:panose1 w:val="020B0503020204020204"/>
    <w:charset w:val="86"/>
    <w:family w:val="auto"/>
    <w:pitch w:val="default"/>
    <w:sig w:usb0="80000287" w:usb1="280F3C52" w:usb2="00000016" w:usb3="00000000" w:csb0="0004001F" w:csb1="00000000"/>
  </w:font>
  <w:font w:name="Cambria Math">
    <w:panose1 w:val="02040503050406030204"/>
    <w:charset w:val="00"/>
    <w:family w:val="auto"/>
    <w:pitch w:val="default"/>
    <w:sig w:usb0="E00002FF" w:usb1="420024FF" w:usb2="00000000" w:usb3="00000000" w:csb0="2000019F" w:csb1="00000000"/>
  </w:font>
  <w:font w:name="T">
    <w:altName w:val="Times New Roman"/>
    <w:panose1 w:val="00000000000000000000"/>
    <w:charset w:val="00"/>
    <w:family w:val="roman"/>
    <w:pitch w:val="default"/>
    <w:sig w:usb0="00000000" w:usb1="00000000" w:usb2="00000000"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rPr>
        <w:rStyle w:val="14"/>
      </w:rPr>
    </w:pPr>
  </w:p>
  <w:p>
    <w:pPr>
      <w:pStyle w:val="7"/>
      <w:framePr w:wrap="around" w:vAnchor="text" w:hAnchor="margin" w:xAlign="center" w:y="1"/>
      <w:ind w:right="360"/>
      <w:rPr>
        <w:rStyle w:val="14"/>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rPr>
        <w:rStyle w:val="14"/>
      </w:rP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34" name="文本框 3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ptGXYzAgAAYwQAAA4AAABkcnMvZTJvRG9jLnhtbK1UzY7TMBC+I/EO&#10;lu80aRdWVd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EptGXYzAgAAYwQAAA4AAAAAAAAAAQAgAAAAHwEAAGRycy9lMm9Eb2MueG1sUEsF&#10;BgAAAAAGAAYAWQEAAMQFAAAAAA==&#10;">
              <v:fill on="f" focussize="0,0"/>
              <v:stroke on="f" weight="0.5pt"/>
              <v:imagedata o:title=""/>
              <o:lock v:ext="edit" aspectratio="f"/>
              <v:textbox inset="0mm,0mm,0mm,0mm" style="mso-fit-shape-to-text:t;">
                <w:txbxContent>
                  <w:p>
                    <w:pPr>
                      <w:pStyle w:val="7"/>
                    </w:pPr>
                    <w:r>
                      <w:fldChar w:fldCharType="begin"/>
                    </w:r>
                    <w:r>
                      <w:instrText xml:space="preserve"> PAGE  \* MERGEFORMAT </w:instrText>
                    </w:r>
                    <w:r>
                      <w:fldChar w:fldCharType="separate"/>
                    </w:r>
                    <w:r>
                      <w:t>2</w:t>
                    </w:r>
                    <w:r>
                      <w:fldChar w:fldCharType="end"/>
                    </w:r>
                  </w:p>
                </w:txbxContent>
              </v:textbox>
            </v:shape>
          </w:pict>
        </mc:Fallback>
      </mc:AlternateContent>
    </w:r>
  </w:p>
  <w:p>
    <w:pPr>
      <w:pStyle w:val="7"/>
      <w:framePr w:wrap="around" w:vAnchor="text" w:hAnchor="margin" w:xAlign="center" w:y="1"/>
      <w:ind w:right="360"/>
      <w:rPr>
        <w:rStyle w:val="14"/>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rPr>
        <w:rStyle w:val="14"/>
      </w:rPr>
    </w:pPr>
  </w:p>
  <w:p>
    <w:pPr>
      <w:pStyle w:val="7"/>
      <w:framePr w:wrap="around" w:vAnchor="text" w:hAnchor="margin" w:xAlign="center" w:y="1"/>
      <w:ind w:right="360"/>
      <w:rPr>
        <w:rStyle w:val="14"/>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left" w:pos="2548"/>
        <w:tab w:val="right" w:pos="8306"/>
      </w:tabs>
      <w:rPr>
        <w:rFonts w:hint="eastAsia" w:eastAsia="宋体"/>
        <w:sz w:val="21"/>
        <w:szCs w:val="21"/>
        <w:u w:val="single"/>
        <w:lang w:eastAsia="zh-CN"/>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D54884A"/>
    <w:multiLevelType w:val="singleLevel"/>
    <w:tmpl w:val="AD54884A"/>
    <w:lvl w:ilvl="0" w:tentative="0">
      <w:start w:val="4"/>
      <w:numFmt w:val="chineseCounting"/>
      <w:suff w:val="nothing"/>
      <w:lvlText w:val="%1、"/>
      <w:lvlJc w:val="left"/>
      <w:rPr>
        <w:rFonts w:hint="eastAsia"/>
      </w:rPr>
    </w:lvl>
  </w:abstractNum>
  <w:abstractNum w:abstractNumId="1">
    <w:nsid w:val="B2C90CFF"/>
    <w:multiLevelType w:val="singleLevel"/>
    <w:tmpl w:val="B2C90CFF"/>
    <w:lvl w:ilvl="0" w:tentative="0">
      <w:start w:val="1"/>
      <w:numFmt w:val="decimal"/>
      <w:suff w:val="nothing"/>
      <w:lvlText w:val="%1、"/>
      <w:lvlJc w:val="left"/>
    </w:lvl>
  </w:abstractNum>
  <w:abstractNum w:abstractNumId="2">
    <w:nsid w:val="CE190FD3"/>
    <w:multiLevelType w:val="singleLevel"/>
    <w:tmpl w:val="CE190FD3"/>
    <w:lvl w:ilvl="0" w:tentative="0">
      <w:start w:val="2"/>
      <w:numFmt w:val="decimal"/>
      <w:suff w:val="nothing"/>
      <w:lvlText w:val="（%1）"/>
      <w:lvlJc w:val="left"/>
    </w:lvl>
  </w:abstractNum>
  <w:abstractNum w:abstractNumId="3">
    <w:nsid w:val="DA4BC00F"/>
    <w:multiLevelType w:val="singleLevel"/>
    <w:tmpl w:val="DA4BC00F"/>
    <w:lvl w:ilvl="0" w:tentative="0">
      <w:start w:val="8"/>
      <w:numFmt w:val="chineseCounting"/>
      <w:suff w:val="nothing"/>
      <w:lvlText w:val="%1、"/>
      <w:lvlJc w:val="left"/>
      <w:rPr>
        <w:rFonts w:hint="eastAsia"/>
      </w:rPr>
    </w:lvl>
  </w:abstractNum>
  <w:abstractNum w:abstractNumId="4">
    <w:nsid w:val="E3EDEB0D"/>
    <w:multiLevelType w:val="singleLevel"/>
    <w:tmpl w:val="E3EDEB0D"/>
    <w:lvl w:ilvl="0" w:tentative="0">
      <w:start w:val="1"/>
      <w:numFmt w:val="decimal"/>
      <w:suff w:val="nothing"/>
      <w:lvlText w:val="%1、"/>
      <w:lvlJc w:val="left"/>
    </w:lvl>
  </w:abstractNum>
  <w:abstractNum w:abstractNumId="5">
    <w:nsid w:val="E89A39E4"/>
    <w:multiLevelType w:val="singleLevel"/>
    <w:tmpl w:val="E89A39E4"/>
    <w:lvl w:ilvl="0" w:tentative="0">
      <w:start w:val="1"/>
      <w:numFmt w:val="chineseCounting"/>
      <w:suff w:val="nothing"/>
      <w:lvlText w:val="%1、"/>
      <w:lvlJc w:val="left"/>
      <w:rPr>
        <w:rFonts w:hint="eastAsia"/>
      </w:rPr>
    </w:lvl>
  </w:abstractNum>
  <w:abstractNum w:abstractNumId="6">
    <w:nsid w:val="ED348639"/>
    <w:multiLevelType w:val="singleLevel"/>
    <w:tmpl w:val="ED348639"/>
    <w:lvl w:ilvl="0" w:tentative="0">
      <w:start w:val="6"/>
      <w:numFmt w:val="chineseCounting"/>
      <w:suff w:val="nothing"/>
      <w:lvlText w:val="%1、"/>
      <w:lvlJc w:val="left"/>
      <w:rPr>
        <w:rFonts w:hint="eastAsia"/>
      </w:rPr>
    </w:lvl>
  </w:abstractNum>
  <w:abstractNum w:abstractNumId="7">
    <w:nsid w:val="EE4F2929"/>
    <w:multiLevelType w:val="singleLevel"/>
    <w:tmpl w:val="EE4F2929"/>
    <w:lvl w:ilvl="0" w:tentative="0">
      <w:start w:val="1"/>
      <w:numFmt w:val="decimal"/>
      <w:suff w:val="nothing"/>
      <w:lvlText w:val="%1、"/>
      <w:lvlJc w:val="left"/>
    </w:lvl>
  </w:abstractNum>
  <w:abstractNum w:abstractNumId="8">
    <w:nsid w:val="FD17B971"/>
    <w:multiLevelType w:val="singleLevel"/>
    <w:tmpl w:val="FD17B971"/>
    <w:lvl w:ilvl="0" w:tentative="0">
      <w:start w:val="2"/>
      <w:numFmt w:val="decimal"/>
      <w:suff w:val="nothing"/>
      <w:lvlText w:val="%1、"/>
      <w:lvlJc w:val="left"/>
    </w:lvl>
  </w:abstractNum>
  <w:abstractNum w:abstractNumId="9">
    <w:nsid w:val="09B7F921"/>
    <w:multiLevelType w:val="singleLevel"/>
    <w:tmpl w:val="09B7F921"/>
    <w:lvl w:ilvl="0" w:tentative="0">
      <w:start w:val="1"/>
      <w:numFmt w:val="chineseCounting"/>
      <w:suff w:val="nothing"/>
      <w:lvlText w:val="%1、"/>
      <w:lvlJc w:val="left"/>
      <w:rPr>
        <w:rFonts w:hint="eastAsia"/>
      </w:rPr>
    </w:lvl>
  </w:abstractNum>
  <w:abstractNum w:abstractNumId="10">
    <w:nsid w:val="1B89F585"/>
    <w:multiLevelType w:val="singleLevel"/>
    <w:tmpl w:val="1B89F585"/>
    <w:lvl w:ilvl="0" w:tentative="0">
      <w:start w:val="1"/>
      <w:numFmt w:val="decimal"/>
      <w:suff w:val="nothing"/>
      <w:lvlText w:val="（%1）"/>
      <w:lvlJc w:val="left"/>
      <w:pPr>
        <w:ind w:left="60"/>
      </w:pPr>
    </w:lvl>
  </w:abstractNum>
  <w:abstractNum w:abstractNumId="11">
    <w:nsid w:val="3F647FD8"/>
    <w:multiLevelType w:val="singleLevel"/>
    <w:tmpl w:val="3F647FD8"/>
    <w:lvl w:ilvl="0" w:tentative="0">
      <w:start w:val="2"/>
      <w:numFmt w:val="decimal"/>
      <w:suff w:val="nothing"/>
      <w:lvlText w:val="%1、"/>
      <w:lvlJc w:val="left"/>
    </w:lvl>
  </w:abstractNum>
  <w:abstractNum w:abstractNumId="12">
    <w:nsid w:val="57668044"/>
    <w:multiLevelType w:val="singleLevel"/>
    <w:tmpl w:val="57668044"/>
    <w:lvl w:ilvl="0" w:tentative="0">
      <w:start w:val="2"/>
      <w:numFmt w:val="decimal"/>
      <w:suff w:val="nothing"/>
      <w:lvlText w:val="%1）"/>
      <w:lvlJc w:val="left"/>
    </w:lvl>
  </w:abstractNum>
  <w:abstractNum w:abstractNumId="13">
    <w:nsid w:val="5D3EBF21"/>
    <w:multiLevelType w:val="singleLevel"/>
    <w:tmpl w:val="5D3EBF21"/>
    <w:lvl w:ilvl="0" w:tentative="0">
      <w:start w:val="1"/>
      <w:numFmt w:val="decimal"/>
      <w:suff w:val="nothing"/>
      <w:lvlText w:val="%1、"/>
      <w:lvlJc w:val="left"/>
    </w:lvl>
  </w:abstractNum>
  <w:abstractNum w:abstractNumId="14">
    <w:nsid w:val="64A26C79"/>
    <w:multiLevelType w:val="singleLevel"/>
    <w:tmpl w:val="64A26C79"/>
    <w:lvl w:ilvl="0" w:tentative="0">
      <w:start w:val="3"/>
      <w:numFmt w:val="decimal"/>
      <w:suff w:val="nothing"/>
      <w:lvlText w:val="（%1）"/>
      <w:lvlJc w:val="left"/>
    </w:lvl>
  </w:abstractNum>
  <w:abstractNum w:abstractNumId="15">
    <w:nsid w:val="7BDFE00B"/>
    <w:multiLevelType w:val="singleLevel"/>
    <w:tmpl w:val="7BDFE00B"/>
    <w:lvl w:ilvl="0" w:tentative="0">
      <w:start w:val="2"/>
      <w:numFmt w:val="decimal"/>
      <w:suff w:val="nothing"/>
      <w:lvlText w:val="（%1）"/>
      <w:lvlJc w:val="left"/>
    </w:lvl>
  </w:abstractNum>
  <w:num w:numId="1">
    <w:abstractNumId w:val="8"/>
  </w:num>
  <w:num w:numId="2">
    <w:abstractNumId w:val="15"/>
  </w:num>
  <w:num w:numId="3">
    <w:abstractNumId w:val="13"/>
  </w:num>
  <w:num w:numId="4">
    <w:abstractNumId w:val="0"/>
  </w:num>
  <w:num w:numId="5">
    <w:abstractNumId w:val="3"/>
  </w:num>
  <w:num w:numId="6">
    <w:abstractNumId w:val="4"/>
  </w:num>
  <w:num w:numId="7">
    <w:abstractNumId w:val="11"/>
  </w:num>
  <w:num w:numId="8">
    <w:abstractNumId w:val="12"/>
  </w:num>
  <w:num w:numId="9">
    <w:abstractNumId w:val="14"/>
  </w:num>
  <w:num w:numId="10">
    <w:abstractNumId w:val="7"/>
  </w:num>
  <w:num w:numId="11">
    <w:abstractNumId w:val="9"/>
  </w:num>
  <w:num w:numId="12">
    <w:abstractNumId w:val="5"/>
  </w:num>
  <w:num w:numId="13">
    <w:abstractNumId w:val="10"/>
  </w:num>
  <w:num w:numId="14">
    <w:abstractNumId w:val="1"/>
  </w:num>
  <w:num w:numId="15">
    <w:abstractNumId w:val="2"/>
  </w:num>
  <w:num w:numId="1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jQyMjhkYTYyOTE5MzZkNTk3MjI4ZjVjYWI2MzM3NjkifQ=="/>
  </w:docVars>
  <w:rsids>
    <w:rsidRoot w:val="7CAA35CB"/>
    <w:rsid w:val="01440AF6"/>
    <w:rsid w:val="034058F0"/>
    <w:rsid w:val="05082CCE"/>
    <w:rsid w:val="05922FA0"/>
    <w:rsid w:val="05C0366A"/>
    <w:rsid w:val="05F23A3F"/>
    <w:rsid w:val="072D4BCD"/>
    <w:rsid w:val="07577B0A"/>
    <w:rsid w:val="09137F54"/>
    <w:rsid w:val="0A627318"/>
    <w:rsid w:val="0DFB4773"/>
    <w:rsid w:val="0E01144E"/>
    <w:rsid w:val="0E6F69A5"/>
    <w:rsid w:val="10060813"/>
    <w:rsid w:val="10142F30"/>
    <w:rsid w:val="15354622"/>
    <w:rsid w:val="16D03928"/>
    <w:rsid w:val="16EB2D0F"/>
    <w:rsid w:val="1B234CB0"/>
    <w:rsid w:val="1B293607"/>
    <w:rsid w:val="1B3A75C2"/>
    <w:rsid w:val="1E3D335C"/>
    <w:rsid w:val="1F035B07"/>
    <w:rsid w:val="1FC52D11"/>
    <w:rsid w:val="21D00C81"/>
    <w:rsid w:val="222A65E3"/>
    <w:rsid w:val="233B65CE"/>
    <w:rsid w:val="248771DF"/>
    <w:rsid w:val="250C6474"/>
    <w:rsid w:val="271433BD"/>
    <w:rsid w:val="27147E07"/>
    <w:rsid w:val="287E1436"/>
    <w:rsid w:val="2AED4651"/>
    <w:rsid w:val="2AEF03C9"/>
    <w:rsid w:val="2B8E7BE2"/>
    <w:rsid w:val="2B9A195E"/>
    <w:rsid w:val="2D2D73B2"/>
    <w:rsid w:val="2E5F5866"/>
    <w:rsid w:val="2F34294C"/>
    <w:rsid w:val="32931F82"/>
    <w:rsid w:val="34C515AC"/>
    <w:rsid w:val="39480C82"/>
    <w:rsid w:val="3B974076"/>
    <w:rsid w:val="3C8C2874"/>
    <w:rsid w:val="3F5F6916"/>
    <w:rsid w:val="3FB341E2"/>
    <w:rsid w:val="40A435AC"/>
    <w:rsid w:val="42A863CB"/>
    <w:rsid w:val="43A538C3"/>
    <w:rsid w:val="43B53676"/>
    <w:rsid w:val="480C5CBF"/>
    <w:rsid w:val="49BC1967"/>
    <w:rsid w:val="4A450EF1"/>
    <w:rsid w:val="4BDB0732"/>
    <w:rsid w:val="4BF13F75"/>
    <w:rsid w:val="4CC757F8"/>
    <w:rsid w:val="4D1D013C"/>
    <w:rsid w:val="4FDA48F5"/>
    <w:rsid w:val="50ED2406"/>
    <w:rsid w:val="52353D73"/>
    <w:rsid w:val="52EF487C"/>
    <w:rsid w:val="540B3C3A"/>
    <w:rsid w:val="54CA1B63"/>
    <w:rsid w:val="58391304"/>
    <w:rsid w:val="59C83A10"/>
    <w:rsid w:val="5AA601F5"/>
    <w:rsid w:val="5B3A26EB"/>
    <w:rsid w:val="61BA6334"/>
    <w:rsid w:val="61EB7186"/>
    <w:rsid w:val="632F73ED"/>
    <w:rsid w:val="647B7FFD"/>
    <w:rsid w:val="64AA5EB1"/>
    <w:rsid w:val="65935BB2"/>
    <w:rsid w:val="68DB72BC"/>
    <w:rsid w:val="6AB9187F"/>
    <w:rsid w:val="6C1D59F8"/>
    <w:rsid w:val="6D5110E5"/>
    <w:rsid w:val="6FAF2132"/>
    <w:rsid w:val="702F0BF6"/>
    <w:rsid w:val="704E2A69"/>
    <w:rsid w:val="744E39C5"/>
    <w:rsid w:val="74A40EEA"/>
    <w:rsid w:val="74F310D7"/>
    <w:rsid w:val="771357EC"/>
    <w:rsid w:val="7A992B33"/>
    <w:rsid w:val="7CAA35CB"/>
    <w:rsid w:val="7D72451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qFormat="1"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3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ind w:firstLine="420" w:firstLineChars="200"/>
      <w:jc w:val="both"/>
    </w:pPr>
    <w:rPr>
      <w:rFonts w:ascii="Times New Roman" w:hAnsi="Times New Roman" w:eastAsia="宋体" w:cstheme="minorBidi"/>
      <w:kern w:val="2"/>
      <w:sz w:val="24"/>
      <w:szCs w:val="24"/>
      <w:lang w:val="en-US" w:eastAsia="zh-CN" w:bidi="ar-SA"/>
    </w:rPr>
  </w:style>
  <w:style w:type="paragraph" w:styleId="2">
    <w:name w:val="heading 1"/>
    <w:basedOn w:val="1"/>
    <w:next w:val="1"/>
    <w:qFormat/>
    <w:uiPriority w:val="0"/>
    <w:pPr>
      <w:keepNext/>
      <w:keepLines/>
      <w:spacing w:before="340" w:beforeLines="0" w:beforeAutospacing="0" w:after="330" w:afterLines="0" w:afterAutospacing="0" w:line="416" w:lineRule="auto"/>
      <w:ind w:firstLine="0" w:firstLineChars="0"/>
      <w:jc w:val="center"/>
      <w:outlineLvl w:val="0"/>
    </w:pPr>
    <w:rPr>
      <w:rFonts w:eastAsia="黑体"/>
      <w:b/>
      <w:bCs/>
      <w:kern w:val="44"/>
      <w:sz w:val="32"/>
      <w:szCs w:val="32"/>
    </w:rPr>
  </w:style>
  <w:style w:type="paragraph" w:styleId="3">
    <w:name w:val="heading 2"/>
    <w:basedOn w:val="1"/>
    <w:next w:val="1"/>
    <w:semiHidden/>
    <w:unhideWhenUsed/>
    <w:qFormat/>
    <w:uiPriority w:val="0"/>
    <w:pPr>
      <w:keepNext/>
      <w:keepLines/>
      <w:spacing w:before="120" w:beforeLines="0" w:beforeAutospacing="0" w:after="120" w:afterLines="0" w:afterAutospacing="0" w:line="416" w:lineRule="auto"/>
      <w:ind w:firstLine="0" w:firstLineChars="0"/>
      <w:outlineLvl w:val="1"/>
    </w:pPr>
    <w:rPr>
      <w:rFonts w:eastAsia="黑体"/>
      <w:b/>
      <w:bCs/>
      <w:sz w:val="30"/>
      <w:szCs w:val="30"/>
    </w:rPr>
  </w:style>
  <w:style w:type="paragraph" w:styleId="4">
    <w:name w:val="heading 3"/>
    <w:basedOn w:val="1"/>
    <w:next w:val="1"/>
    <w:semiHidden/>
    <w:unhideWhenUsed/>
    <w:qFormat/>
    <w:uiPriority w:val="0"/>
    <w:pPr>
      <w:keepNext/>
      <w:keepLines/>
      <w:spacing w:beforeLines="0" w:beforeAutospacing="0" w:afterLines="0" w:afterAutospacing="0" w:line="416" w:lineRule="auto"/>
      <w:ind w:firstLine="0" w:firstLineChars="0"/>
      <w:outlineLvl w:val="2"/>
    </w:pPr>
    <w:rPr>
      <w:rFonts w:eastAsia="黑体"/>
      <w:b/>
      <w:bCs/>
      <w:sz w:val="28"/>
      <w:szCs w:val="28"/>
    </w:rPr>
  </w:style>
  <w:style w:type="paragraph" w:styleId="5">
    <w:name w:val="heading 4"/>
    <w:basedOn w:val="1"/>
    <w:next w:val="1"/>
    <w:semiHidden/>
    <w:unhideWhenUsed/>
    <w:qFormat/>
    <w:uiPriority w:val="0"/>
    <w:pPr>
      <w:keepNext/>
      <w:keepLines/>
      <w:spacing w:beforeLines="0" w:beforeAutospacing="0" w:afterLines="0" w:afterAutospacing="0" w:line="360" w:lineRule="auto"/>
      <w:ind w:firstLine="0" w:firstLineChars="0"/>
      <w:outlineLvl w:val="3"/>
    </w:pPr>
    <w:rPr>
      <w:rFonts w:eastAsia="黑体"/>
      <w:b/>
      <w:bCs/>
    </w:rPr>
  </w:style>
  <w:style w:type="character" w:default="1" w:styleId="13">
    <w:name w:val="Default Paragraph Font"/>
    <w:semiHidden/>
    <w:qFormat/>
    <w:uiPriority w:val="0"/>
  </w:style>
  <w:style w:type="table" w:default="1" w:styleId="11">
    <w:name w:val="Normal Table"/>
    <w:semiHidden/>
    <w:qFormat/>
    <w:uiPriority w:val="0"/>
    <w:tblPr>
      <w:tblCellMar>
        <w:top w:w="0" w:type="dxa"/>
        <w:left w:w="108" w:type="dxa"/>
        <w:bottom w:w="0" w:type="dxa"/>
        <w:right w:w="108" w:type="dxa"/>
      </w:tblCellMar>
    </w:tblPr>
  </w:style>
  <w:style w:type="paragraph" w:styleId="6">
    <w:name w:val="Body Text"/>
    <w:basedOn w:val="1"/>
    <w:semiHidden/>
    <w:qFormat/>
    <w:uiPriority w:val="0"/>
    <w:rPr>
      <w:rFonts w:ascii="华文中宋" w:hAnsi="华文中宋" w:eastAsia="华文中宋" w:cs="华文中宋"/>
      <w:sz w:val="23"/>
      <w:szCs w:val="23"/>
      <w:lang w:val="en-US" w:eastAsia="en-US" w:bidi="ar-SA"/>
    </w:rPr>
  </w:style>
  <w:style w:type="paragraph" w:styleId="7">
    <w:name w:val="footer"/>
    <w:basedOn w:val="1"/>
    <w:qFormat/>
    <w:uiPriority w:val="99"/>
    <w:pPr>
      <w:tabs>
        <w:tab w:val="center" w:pos="4153"/>
        <w:tab w:val="right" w:pos="8306"/>
      </w:tabs>
      <w:snapToGrid w:val="0"/>
      <w:jc w:val="left"/>
    </w:pPr>
    <w:rPr>
      <w:rFonts w:hint="default" w:ascii="Calibri" w:hAnsi="Calibri"/>
      <w:kern w:val="2"/>
      <w:sz w:val="18"/>
      <w:szCs w:val="18"/>
    </w:rPr>
  </w:style>
  <w:style w:type="paragraph" w:styleId="8">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9">
    <w:name w:val="toc 1"/>
    <w:basedOn w:val="1"/>
    <w:next w:val="1"/>
    <w:qFormat/>
    <w:uiPriority w:val="0"/>
    <w:rPr>
      <w:rFonts w:ascii="Times New Roman" w:hAnsi="Times New Roman" w:eastAsia="宋体"/>
      <w:b/>
    </w:rPr>
  </w:style>
  <w:style w:type="paragraph" w:styleId="10">
    <w:name w:val="table of figures"/>
    <w:basedOn w:val="1"/>
    <w:next w:val="1"/>
    <w:qFormat/>
    <w:uiPriority w:val="0"/>
    <w:pPr>
      <w:ind w:left="200" w:leftChars="200" w:hanging="200" w:hangingChars="200"/>
    </w:pPr>
    <w:rPr>
      <w:szCs w:val="24"/>
    </w:rPr>
  </w:style>
  <w:style w:type="table" w:styleId="12">
    <w:name w:val="Table Grid"/>
    <w:basedOn w:val="11"/>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4">
    <w:name w:val="page number"/>
    <w:qFormat/>
    <w:uiPriority w:val="0"/>
    <w:rPr>
      <w:rFonts w:ascii="宋体" w:hAnsi="宋体" w:eastAsia="宋体"/>
    </w:rPr>
  </w:style>
  <w:style w:type="paragraph" w:customStyle="1" w:styleId="15">
    <w:name w:val="表格文字"/>
    <w:basedOn w:val="1"/>
    <w:next w:val="1"/>
    <w:qFormat/>
    <w:uiPriority w:val="0"/>
    <w:pPr>
      <w:spacing w:line="240" w:lineRule="auto"/>
      <w:ind w:firstLine="0" w:firstLineChars="0"/>
      <w:jc w:val="center"/>
    </w:pPr>
    <w:rPr>
      <w:sz w:val="21"/>
      <w:szCs w:val="21"/>
    </w:rPr>
  </w:style>
  <w:style w:type="paragraph" w:customStyle="1" w:styleId="16">
    <w:name w:val="表头"/>
    <w:basedOn w:val="17"/>
    <w:next w:val="1"/>
    <w:qFormat/>
    <w:uiPriority w:val="0"/>
    <w:pPr>
      <w:spacing w:before="50" w:beforeLines="50" w:line="240" w:lineRule="auto"/>
      <w:ind w:firstLine="0" w:firstLineChars="0"/>
      <w:jc w:val="center"/>
    </w:pPr>
    <w:rPr>
      <w:rFonts w:eastAsia="黑体"/>
      <w:b/>
      <w:bCs/>
      <w:sz w:val="24"/>
    </w:rPr>
  </w:style>
  <w:style w:type="paragraph" w:customStyle="1" w:styleId="17">
    <w:name w:val="T正文"/>
    <w:qFormat/>
    <w:uiPriority w:val="0"/>
    <w:pPr>
      <w:widowControl w:val="0"/>
      <w:adjustRightInd w:val="0"/>
      <w:snapToGrid w:val="0"/>
      <w:spacing w:line="360" w:lineRule="auto"/>
      <w:ind w:firstLine="200" w:firstLineChars="200"/>
      <w:jc w:val="both"/>
    </w:pPr>
    <w:rPr>
      <w:rFonts w:ascii="Calibri" w:hAnsi="Calibri" w:eastAsia="仿宋_GB2312" w:cs="Times New Roman"/>
      <w:sz w:val="28"/>
      <w:lang w:val="en-US" w:eastAsia="zh-CN" w:bidi="ar-SA"/>
    </w:rPr>
  </w:style>
  <w:style w:type="paragraph" w:customStyle="1" w:styleId="18">
    <w:name w:val="图号"/>
    <w:basedOn w:val="1"/>
    <w:next w:val="1"/>
    <w:qFormat/>
    <w:uiPriority w:val="0"/>
    <w:pPr>
      <w:spacing w:after="50" w:afterLines="50" w:line="240" w:lineRule="auto"/>
      <w:ind w:firstLine="0" w:firstLineChars="0"/>
      <w:jc w:val="center"/>
    </w:pPr>
    <w:rPr>
      <w:rFonts w:eastAsia="黑体"/>
      <w:b/>
      <w:bCs/>
    </w:rPr>
  </w:style>
  <w:style w:type="table" w:customStyle="1" w:styleId="19">
    <w:name w:val="Table Normal"/>
    <w:semiHidden/>
    <w:unhideWhenUsed/>
    <w:qFormat/>
    <w:uiPriority w:val="0"/>
    <w:tblPr>
      <w:tblCellMar>
        <w:top w:w="0" w:type="dxa"/>
        <w:left w:w="0" w:type="dxa"/>
        <w:bottom w:w="0" w:type="dxa"/>
        <w:right w:w="0" w:type="dxa"/>
      </w:tblCellMar>
    </w:tblPr>
  </w:style>
  <w:style w:type="paragraph" w:customStyle="1" w:styleId="20">
    <w:name w:val="Table Text"/>
    <w:basedOn w:val="1"/>
    <w:semiHidden/>
    <w:qFormat/>
    <w:uiPriority w:val="0"/>
    <w:rPr>
      <w:rFonts w:ascii="Times New Roman" w:hAnsi="Times New Roman" w:eastAsia="Times New Roman" w:cs="Times New Roman"/>
      <w:sz w:val="21"/>
      <w:szCs w:val="21"/>
      <w:lang w:val="en-US" w:eastAsia="en-US" w:bidi="ar-SA"/>
    </w:rPr>
  </w:style>
  <w:style w:type="paragraph" w:customStyle="1" w:styleId="21">
    <w:name w:val="Normal_0"/>
    <w:qFormat/>
    <w:uiPriority w:val="0"/>
    <w:pPr>
      <w:widowControl w:val="0"/>
      <w:spacing w:line="360" w:lineRule="auto"/>
      <w:ind w:firstLine="200" w:firstLineChars="200"/>
      <w:jc w:val="both"/>
    </w:pPr>
    <w:rPr>
      <w:rFonts w:ascii="Times New Roman" w:hAnsi="Times New Roman" w:eastAsia="仿宋" w:cs="Times New Roman"/>
      <w:kern w:val="2"/>
      <w:sz w:val="28"/>
      <w:szCs w:val="21"/>
    </w:rPr>
  </w:style>
  <w:style w:type="table" w:customStyle="1" w:styleId="22">
    <w:name w:val="Table Grid_0"/>
    <w:basedOn w:val="11"/>
    <w:qFormat/>
    <w:uiPriority w:val="0"/>
    <w:rPr>
      <w:rFonts w:ascii="Times New Roman" w:hAnsi="Times New Roman" w:eastAsia="仿宋"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23">
    <w:name w:val="Normal_0_0"/>
    <w:qFormat/>
    <w:uiPriority w:val="0"/>
    <w:pPr>
      <w:widowControl w:val="0"/>
      <w:spacing w:line="360" w:lineRule="auto"/>
      <w:ind w:firstLine="200" w:firstLineChars="200"/>
      <w:jc w:val="both"/>
    </w:pPr>
    <w:rPr>
      <w:rFonts w:ascii="Times New Roman" w:hAnsi="Times New Roman" w:eastAsia="仿宋" w:cs="Times New Roman"/>
      <w:kern w:val="2"/>
      <w:sz w:val="28"/>
      <w:szCs w:val="21"/>
    </w:rPr>
  </w:style>
  <w:style w:type="paragraph" w:customStyle="1" w:styleId="24">
    <w:name w:val="Default"/>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footer" Target="footer2.xml"/><Relationship Id="rId7" Type="http://schemas.openxmlformats.org/officeDocument/2006/relationships/footer" Target="footer1.xml"/><Relationship Id="rId62" Type="http://schemas.openxmlformats.org/officeDocument/2006/relationships/fontTable" Target="fontTable.xml"/><Relationship Id="rId61" Type="http://schemas.openxmlformats.org/officeDocument/2006/relationships/numbering" Target="numbering.xml"/><Relationship Id="rId60" Type="http://schemas.openxmlformats.org/officeDocument/2006/relationships/customXml" Target="../customXml/item1.xml"/><Relationship Id="rId6" Type="http://schemas.openxmlformats.org/officeDocument/2006/relationships/header" Target="header2.xml"/><Relationship Id="rId59" Type="http://schemas.openxmlformats.org/officeDocument/2006/relationships/image" Target="media/image45.png"/><Relationship Id="rId58" Type="http://schemas.openxmlformats.org/officeDocument/2006/relationships/image" Target="media/image44.png"/><Relationship Id="rId57" Type="http://schemas.openxmlformats.org/officeDocument/2006/relationships/image" Target="media/image43.png"/><Relationship Id="rId56" Type="http://schemas.openxmlformats.org/officeDocument/2006/relationships/image" Target="media/image42.png"/><Relationship Id="rId55" Type="http://schemas.openxmlformats.org/officeDocument/2006/relationships/image" Target="media/image41.png"/><Relationship Id="rId54" Type="http://schemas.openxmlformats.org/officeDocument/2006/relationships/image" Target="media/image40.jpeg"/><Relationship Id="rId53" Type="http://schemas.openxmlformats.org/officeDocument/2006/relationships/image" Target="media/image39.jpeg"/><Relationship Id="rId52" Type="http://schemas.openxmlformats.org/officeDocument/2006/relationships/image" Target="media/image38.jpeg"/><Relationship Id="rId51" Type="http://schemas.openxmlformats.org/officeDocument/2006/relationships/image" Target="media/image37.jpeg"/><Relationship Id="rId50" Type="http://schemas.openxmlformats.org/officeDocument/2006/relationships/image" Target="media/image36.jpeg"/><Relationship Id="rId5" Type="http://schemas.openxmlformats.org/officeDocument/2006/relationships/header" Target="header1.xml"/><Relationship Id="rId49" Type="http://schemas.openxmlformats.org/officeDocument/2006/relationships/image" Target="media/image35.jpeg"/><Relationship Id="rId48" Type="http://schemas.openxmlformats.org/officeDocument/2006/relationships/image" Target="media/image34.jpeg"/><Relationship Id="rId47" Type="http://schemas.openxmlformats.org/officeDocument/2006/relationships/image" Target="media/image33.png"/><Relationship Id="rId46" Type="http://schemas.openxmlformats.org/officeDocument/2006/relationships/image" Target="media/image32.png"/><Relationship Id="rId45" Type="http://schemas.openxmlformats.org/officeDocument/2006/relationships/image" Target="media/image31.png"/><Relationship Id="rId44" Type="http://schemas.openxmlformats.org/officeDocument/2006/relationships/image" Target="media/image30.png"/><Relationship Id="rId43" Type="http://schemas.openxmlformats.org/officeDocument/2006/relationships/image" Target="media/image29.png"/><Relationship Id="rId42" Type="http://schemas.openxmlformats.org/officeDocument/2006/relationships/image" Target="media/image28.png"/><Relationship Id="rId41" Type="http://schemas.openxmlformats.org/officeDocument/2006/relationships/image" Target="media/image27.png"/><Relationship Id="rId40" Type="http://schemas.openxmlformats.org/officeDocument/2006/relationships/image" Target="media/image26.png"/><Relationship Id="rId4" Type="http://schemas.openxmlformats.org/officeDocument/2006/relationships/endnotes" Target="endnotes.xml"/><Relationship Id="rId39" Type="http://schemas.openxmlformats.org/officeDocument/2006/relationships/image" Target="media/image25.png"/><Relationship Id="rId38" Type="http://schemas.openxmlformats.org/officeDocument/2006/relationships/image" Target="media/image24.png"/><Relationship Id="rId37" Type="http://schemas.openxmlformats.org/officeDocument/2006/relationships/image" Target="media/image23.png"/><Relationship Id="rId36" Type="http://schemas.openxmlformats.org/officeDocument/2006/relationships/image" Target="media/image22.png"/><Relationship Id="rId35" Type="http://schemas.openxmlformats.org/officeDocument/2006/relationships/image" Target="media/image21.png"/><Relationship Id="rId34" Type="http://schemas.openxmlformats.org/officeDocument/2006/relationships/image" Target="media/image20.png"/><Relationship Id="rId33" Type="http://schemas.openxmlformats.org/officeDocument/2006/relationships/image" Target="media/image19.png"/><Relationship Id="rId32" Type="http://schemas.openxmlformats.org/officeDocument/2006/relationships/image" Target="media/image18.png"/><Relationship Id="rId31" Type="http://schemas.openxmlformats.org/officeDocument/2006/relationships/image" Target="media/image17.png"/><Relationship Id="rId30" Type="http://schemas.openxmlformats.org/officeDocument/2006/relationships/image" Target="media/image16.png"/><Relationship Id="rId3" Type="http://schemas.openxmlformats.org/officeDocument/2006/relationships/footnotes" Target="footnotes.xml"/><Relationship Id="rId29" Type="http://schemas.openxmlformats.org/officeDocument/2006/relationships/image" Target="media/image15.png"/><Relationship Id="rId28" Type="http://schemas.openxmlformats.org/officeDocument/2006/relationships/image" Target="media/image14.png"/><Relationship Id="rId27" Type="http://schemas.openxmlformats.org/officeDocument/2006/relationships/image" Target="media/image13.png"/><Relationship Id="rId26" Type="http://schemas.openxmlformats.org/officeDocument/2006/relationships/image" Target="media/image12.png"/><Relationship Id="rId25" Type="http://schemas.openxmlformats.org/officeDocument/2006/relationships/image" Target="media/image11.wmf"/><Relationship Id="rId24" Type="http://schemas.openxmlformats.org/officeDocument/2006/relationships/oleObject" Target="embeddings/oleObject3.bin"/><Relationship Id="rId23" Type="http://schemas.openxmlformats.org/officeDocument/2006/relationships/image" Target="media/image10.wmf"/><Relationship Id="rId22" Type="http://schemas.openxmlformats.org/officeDocument/2006/relationships/oleObject" Target="embeddings/oleObject2.bin"/><Relationship Id="rId21" Type="http://schemas.openxmlformats.org/officeDocument/2006/relationships/image" Target="media/image9.wmf"/><Relationship Id="rId20" Type="http://schemas.openxmlformats.org/officeDocument/2006/relationships/oleObject" Target="embeddings/oleObject1.bin"/><Relationship Id="rId2" Type="http://schemas.openxmlformats.org/officeDocument/2006/relationships/settings" Target="settings.xml"/><Relationship Id="rId19" Type="http://schemas.openxmlformats.org/officeDocument/2006/relationships/image" Target="media/image8.png"/><Relationship Id="rId18" Type="http://schemas.openxmlformats.org/officeDocument/2006/relationships/image" Target="media/image7.png"/><Relationship Id="rId17" Type="http://schemas.openxmlformats.org/officeDocument/2006/relationships/image" Target="media/image6.png"/><Relationship Id="rId16" Type="http://schemas.openxmlformats.org/officeDocument/2006/relationships/image" Target="media/image5.png"/><Relationship Id="rId15" Type="http://schemas.openxmlformats.org/officeDocument/2006/relationships/image" Target="media/image4.jpeg"/><Relationship Id="rId14" Type="http://schemas.openxmlformats.org/officeDocument/2006/relationships/image" Target="media/image3.jpeg"/><Relationship Id="rId13" Type="http://schemas.openxmlformats.org/officeDocument/2006/relationships/image" Target="media/image2.jpeg"/><Relationship Id="rId12" Type="http://schemas.openxmlformats.org/officeDocument/2006/relationships/image" Target="media/image1.jpeg"/><Relationship Id="rId11" Type="http://schemas.openxmlformats.org/officeDocument/2006/relationships/theme" Target="theme/theme1.xml"/><Relationship Id="rId10" Type="http://schemas.openxmlformats.org/officeDocument/2006/relationships/footer" Target="footer4.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101</Pages>
  <Words>67997</Words>
  <Characters>73282</Characters>
  <Lines>0</Lines>
  <Paragraphs>0</Paragraphs>
  <TotalTime>19</TotalTime>
  <ScaleCrop>false</ScaleCrop>
  <LinksUpToDate>false</LinksUpToDate>
  <CharactersWithSpaces>73506</CharactersWithSpaces>
  <Application>WPS Office_12.1.0.15990_F1E327BC-269C-435d-A152-05C5408002CA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2022-06-27T01:50:00Z</dcterms:created>
  <dc:creator>我阔乐要加冰呀</dc:creator>
  <cp:lastModifiedBy>Administrator</cp:lastModifiedBy>
  <dcterms:modified xsi:type="dcterms:W3CDTF">2024-03-28T07:23:53Z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2052-12.1.0.15990</vt:lpwstr>
  </property>
  <property fmtid="{D5CDD505-2E9C-101B-9397-08002B2CF9AE}" pid="3" name="ICV">
    <vt:lpwstr>934D8B87FB364E5D9AF69F8D11DFA720_13</vt:lpwstr>
  </property>
</Properties>
</file>